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22,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KOSMOS ENERGY LTD.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001-35167</w:t>
            </w:r>
          </w:p>
        </w:tc>
        <w:tc>
          <w:tcPr>
            <w:tcW w:w="100" w:type="dxa"/>
            <w:vAlign w:val="bottom"/>
          </w:tcPr>
          <w:p>
            <w:pPr>
              <w:spacing w:after="0"/>
              <w:rPr>
                <w:sz w:val="19"/>
                <w:szCs w:val="19"/>
                <w:color w:val="auto"/>
              </w:rPr>
            </w:pPr>
          </w:p>
        </w:tc>
        <w:tc>
          <w:tcPr>
            <w:tcW w:w="4380" w:type="dxa"/>
            <w:vAlign w:val="bottom"/>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98-0686001</w:t>
            </w:r>
          </w:p>
        </w:tc>
      </w:tr>
      <w:tr>
        <w:trPr>
          <w:trHeight w:val="234"/>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4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37"/>
        </w:trPr>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8176 Park Lane</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20"/>
        </w:trPr>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75231</w:t>
            </w:r>
          </w:p>
        </w:tc>
      </w:tr>
      <w:tr>
        <w:trPr>
          <w:trHeight w:val="234"/>
        </w:trPr>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59"/>
        </w:trPr>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4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KOS</w:t>
            </w:r>
          </w:p>
        </w:tc>
        <w:tc>
          <w:tcPr>
            <w:tcW w:w="100" w:type="dxa"/>
            <w:vAlign w:val="bottom"/>
          </w:tcPr>
          <w:p>
            <w:pPr>
              <w:spacing w:after="0"/>
              <w:rPr>
                <w:sz w:val="16"/>
                <w:szCs w:val="16"/>
                <w:color w:val="auto"/>
              </w:rPr>
            </w:pPr>
          </w:p>
        </w:tc>
        <w:tc>
          <w:tcPr>
            <w:tcW w:w="43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London Stock Exchange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+1 214 445 9600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16, 2026, Kosmos Energy Ltd. (the “Company”) completed its previously announced sale (the “Transaction”) of its participating interests in the Ceiba Field and Okume Complex production assets located in Block G offshore Equatorial Guinea to a subsidiary of Panoro Energy ASA (“Panoro”). The Transaction was governed by the Share Sale and Purchase Agreement, dated February 24, 2026 (the “Purchase Agreement”), by and between Kosmos Energy Operating, as seller, Panoro Energy Block G Limited, as purchaser, and Panoro, as purchaser guarantor. Pursuant to the terms of the Purchase Agreement, the Company received final cash consideration on completion, post-closing adjustments, of approximately $127 million. The closing adjustments reflect the cash received from the assets in the first half of 2026 to completion on June 16, 2026. The Company is also entitled to future contingent consideration of up to $39.5 million, comprised of $12.5 million linked to future production performance at the Ceiba field, and $9.0 million payable in each of the years 2027, 2028 and 2029, subject to certain production and oil price thresholds.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 and the Transaction does not purport to be complete and is qualified in its entirety by reference to the full text of the Purchase Agreement, which was previously filed by the Company as Exhibit 10.1 to the Company’s Quarterly Report on Form 10-Q filed on May 5, 2026 and is incorporated herein by reference.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 constituted a significant disposition for purposes of Item 2.01 of Form 8-K. Accordingly, the Company is filing this Current Report on Form 8-K to provide the pro forma information required by Item 9.01 of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Other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 forma financial information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the unaudited pro forma condensed financial statements of the Company as of and for the year ended December 31, 2025 and as of and for the three months ended March 31, 2026 filed as Exhibit 99.1 to this Current Report on Form 8-K.</w:t>
      </w:r>
    </w:p>
    <w:p>
      <w:pPr>
        <w:spacing w:after="0" w:line="162" w:lineRule="exact"/>
        <w:rPr>
          <w:sz w:val="20"/>
          <w:szCs w:val="20"/>
          <w:color w:val="auto"/>
        </w:rPr>
      </w:pPr>
    </w:p>
    <w:p>
      <w:pPr>
        <w:ind w:left="1140" w:hanging="113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following Exhibit Index are filed as part of this Current Report on Form 8-K .</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800" w:type="dxa"/>
            <w:vAlign w:val="bottom"/>
          </w:tcPr>
          <w:p>
            <w:pPr>
              <w:spacing w:after="0"/>
              <w:rPr>
                <w:sz w:val="20"/>
                <w:szCs w:val="20"/>
                <w:color w:val="auto"/>
              </w:rPr>
            </w:pPr>
          </w:p>
        </w:tc>
        <w:tc>
          <w:tcPr>
            <w:tcW w:w="63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4"/>
                <w:szCs w:val="24"/>
                <w:color w:val="auto"/>
              </w:rPr>
            </w:pPr>
          </w:p>
        </w:tc>
        <w:tc>
          <w:tcPr>
            <w:tcW w:w="10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Unaudited pro forma condensed financial statements</w:t>
            </w:r>
          </w:p>
        </w:tc>
      </w:tr>
      <w:tr>
        <w:trPr>
          <w:trHeight w:val="20"/>
        </w:trPr>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10"/>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22,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KOSMOS ENERGY LTD.</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NEAL D.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Neal D. Shah</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KOSMOS ENERGY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FINANCIAL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Unaudited Pro Forma Condensed Balance Sheet as of March 31, 2026 and the Unaudited Pro Forma Condensed Statements of Operations for the three months ended March 31, 2026 and for the year ended December 31, 2025 have been derived from the historical consolidated financial statements of Kosmos Energy Ltd. (together with its subsidiaries, “Kosmos” or the “Company”), as adjusted to give effect for the sale of all of the shares of Kosmos International Petroleum, Inc., which indirectly holds a 40.375% participating interest in the Ceiba Field and Okume Complex production assets located in Block G offshore Equatorial Guinea by the Company (the “Disposition”). In consideration for the Disposition, Kosmos received upfront cash of approximately $127.0 million based on an initial purchase price of $180.0 million reduced by certain purchase price adjustments totaling approximately $53.0 million, and is entitled to future contingent consideration of up to $39.5 million, comprising $12.5 million linked to production performance at the Ceiba field and $9.0 million payable in each of 2027, 2028 and 2029, which are subject to certain oil price and production thresholds. The contingent consideration has not been recognized in the pro forma balance sheet. The Unaudited Pro forma Condensed Financial Information is intended to reflect the estimated impact of the Disposition on the Company on a pro forma basis as of and for the periods indicated.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Unaudited Pro Forma Condensed Financial Information is based on and should be read in conjunction with:</w:t>
      </w:r>
    </w:p>
    <w:p>
      <w:pPr>
        <w:spacing w:after="0" w:line="225" w:lineRule="exact"/>
        <w:rPr>
          <w:sz w:val="20"/>
          <w:szCs w:val="20"/>
          <w:color w:val="auto"/>
        </w:rPr>
      </w:pPr>
    </w:p>
    <w:p>
      <w:pPr>
        <w:jc w:val="both"/>
        <w:ind w:left="820" w:right="20" w:hanging="488"/>
        <w:spacing w:after="0" w:line="266"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the Company and the related notes and “Management’s Discussion and Analysis of Financial Condition and Results of Operations” included in its Annual Report on Form 10-K for the fiscal year ended December 31, 2025, as filed with the Securities and Exchange Commission (“SEC”) on March 2, 2026;</w:t>
      </w:r>
    </w:p>
    <w:p>
      <w:pPr>
        <w:spacing w:after="0" w:line="175"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interim financial statements of the Company and the related notes and “Management’s Discussion and Analysis of Financial Condition and Results of Operations” included in its quarterly report on Form 10-Q for the three months ended March 31, 2026, as filed with the SEC on May 5, 2026.</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Balance Sheet as of March 31, 2026 and the Unaudited Pro Forma Condensed Statements of Operations for the three months ended March 31, 2026 and for the year ended December 31, 2025 give pro forma effects to the elimination of certain assets and liabilities associated with the Disposition as if it had been consummated on March 31, 2026 (in the case of the balance sheet) or January 1, 2025 (in the case of the statement of operations). The unaudited pro forma effects of the Disposition on the Company’s oil and gas reserves and the standardized measure of future net cash flows, give pro forma effect to the Dispositions of the reserves based on the information disclosed in the Company’s annual report as of and for the year ended December 31, 2025.</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Financial Information has been prepared to reflect adjustments to the Company’s historical consolidated financial information that are (i) directly attributable to the Disposition and (ii) factually supportable.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Financial Information is presented for informational purposes only and is not necessarily indicative of the operating results or financial position that actually would have been achieved if the Disposition had occurred on the dates indicated or that may be achieved in future periods. It also does not reflect any cost savings, operating synergies or revenue enhancements that the Company may achieve with respect to eliminating the companies or the impact of any non-recurring activity and any one-time transaction related costs. Synergies and integration costs have been excluded from consideration because they do not meet the criteria for unaudited pro forma adjustments.</w:t>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460" w:type="dxa"/>
            <w:vAlign w:val="bottom"/>
            <w:gridSpan w:val="5"/>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KOSMOS ENERGY LTD. AND SUBSIDIARIES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60" w:type="dxa"/>
            <w:vAlign w:val="bottom"/>
            <w:gridSpan w:val="5"/>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UNAUDITED PRO FORMA CONDENSED BALANCE SHEETS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40" w:type="dxa"/>
            <w:vAlign w:val="bottom"/>
          </w:tcPr>
          <w:p>
            <w:pPr>
              <w:jc w:val="center"/>
              <w:ind w:left="4230"/>
              <w:spacing w:after="0"/>
              <w:rPr>
                <w:sz w:val="20"/>
                <w:szCs w:val="20"/>
                <w:color w:val="auto"/>
              </w:rPr>
            </w:pPr>
            <w:r>
              <w:rPr>
                <w:rFonts w:ascii="Times New Roman" w:cs="Times New Roman" w:eastAsia="Times New Roman" w:hAnsi="Times New Roman"/>
                <w:sz w:val="18"/>
                <w:szCs w:val="18"/>
                <w:b w:val="1"/>
                <w:bCs w:val="1"/>
                <w:color w:val="auto"/>
                <w:w w:val="99"/>
              </w:rPr>
              <w:t>AS OF MARCH 31, 2026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40" w:type="dxa"/>
            <w:vAlign w:val="bottom"/>
          </w:tcPr>
          <w:p>
            <w:pPr>
              <w:jc w:val="center"/>
              <w:ind w:left="42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Kosmos</w:t>
            </w:r>
          </w:p>
        </w:tc>
        <w:tc>
          <w:tcPr>
            <w:tcW w:w="16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Disposition</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1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Adjustments (A)</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178"/>
        </w:trPr>
        <w:tc>
          <w:tcPr>
            <w:tcW w:w="69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D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129,957</w:t>
            </w:r>
          </w:p>
        </w:tc>
        <w:tc>
          <w:tcPr>
            <w:tcW w:w="100" w:type="dxa"/>
            <w:vAlign w:val="bottom"/>
            <w:shd w:val="clear" w:color="auto" w:fill="CCEDFF"/>
          </w:tcPr>
          <w:p>
            <w:pPr>
              <w:spacing w:after="0"/>
              <w:rPr>
                <w:sz w:val="18"/>
                <w:szCs w:val="18"/>
                <w:color w:val="auto"/>
              </w:rPr>
            </w:pPr>
          </w:p>
        </w:tc>
        <w:tc>
          <w:tcPr>
            <w:tcW w:w="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129,957</w:t>
            </w: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Receivables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110,510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110,510</w:t>
            </w:r>
          </w:p>
        </w:tc>
        <w:tc>
          <w:tcPr>
            <w:tcW w:w="0" w:type="dxa"/>
            <w:vAlign w:val="bottom"/>
          </w:tcPr>
          <w:p>
            <w:pPr>
              <w:spacing w:after="0"/>
              <w:rPr>
                <w:sz w:val="1"/>
                <w:szCs w:val="1"/>
                <w:color w:val="auto"/>
              </w:rPr>
            </w:pPr>
          </w:p>
        </w:tc>
      </w:tr>
      <w:tr>
        <w:trPr>
          <w:trHeight w:val="216"/>
        </w:trPr>
        <w:tc>
          <w:tcPr>
            <w:tcW w:w="6940" w:type="dxa"/>
            <w:vAlign w:val="bottom"/>
            <w:shd w:val="clear" w:color="auto" w:fill="CCED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4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182,725</w:t>
            </w:r>
          </w:p>
        </w:tc>
        <w:tc>
          <w:tcPr>
            <w:tcW w:w="10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2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182,725</w:t>
            </w: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11,543</w:t>
            </w:r>
          </w:p>
        </w:tc>
        <w:tc>
          <w:tcPr>
            <w:tcW w:w="0" w:type="dxa"/>
            <w:vAlign w:val="bottom"/>
          </w:tcPr>
          <w:p>
            <w:pPr>
              <w:spacing w:after="0"/>
              <w:rPr>
                <w:sz w:val="1"/>
                <w:szCs w:val="1"/>
                <w:color w:val="auto"/>
              </w:rPr>
            </w:pPr>
          </w:p>
        </w:tc>
      </w:tr>
      <w:tr>
        <w:trPr>
          <w:trHeight w:val="216"/>
        </w:trPr>
        <w:tc>
          <w:tcPr>
            <w:tcW w:w="6940" w:type="dxa"/>
            <w:vAlign w:val="bottom"/>
            <w:shd w:val="clear" w:color="auto" w:fill="CCEDFF"/>
          </w:tcPr>
          <w:p>
            <w:pPr>
              <w:ind w:left="340"/>
              <w:spacing w:after="0"/>
              <w:rPr>
                <w:sz w:val="20"/>
                <w:szCs w:val="20"/>
                <w:color w:val="auto"/>
              </w:rPr>
            </w:pPr>
            <w:r>
              <w:rPr>
                <w:rFonts w:ascii="Times New Roman" w:cs="Times New Roman" w:eastAsia="Times New Roman" w:hAnsi="Times New Roman"/>
                <w:sz w:val="18"/>
                <w:szCs w:val="18"/>
                <w:color w:val="auto"/>
              </w:rPr>
              <w:t>Derivatives</w:t>
            </w:r>
          </w:p>
        </w:tc>
        <w:tc>
          <w:tcPr>
            <w:tcW w:w="4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2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DFF"/>
          </w:tcPr>
          <w:p>
            <w:pPr>
              <w:spacing w:after="0"/>
              <w:rPr>
                <w:sz w:val="18"/>
                <w:szCs w:val="18"/>
                <w:color w:val="auto"/>
              </w:rPr>
            </w:pPr>
          </w:p>
        </w:tc>
        <w:tc>
          <w:tcPr>
            <w:tcW w:w="12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DFF"/>
            </w:tcBorders>
          </w:tcPr>
          <w:p>
            <w:pPr>
              <w:ind w:left="320"/>
              <w:spacing w:after="0"/>
              <w:rPr>
                <w:sz w:val="20"/>
                <w:szCs w:val="20"/>
                <w:color w:val="auto"/>
              </w:rPr>
            </w:pPr>
            <w:r>
              <w:rPr>
                <w:rFonts w:ascii="Times New Roman" w:cs="Times New Roman" w:eastAsia="Times New Roman" w:hAnsi="Times New Roman"/>
                <w:sz w:val="18"/>
                <w:szCs w:val="18"/>
                <w:color w:val="auto"/>
              </w:rPr>
              <w:t>Assets held for sale</w:t>
            </w:r>
          </w:p>
        </w:tc>
        <w:tc>
          <w:tcPr>
            <w:tcW w:w="40" w:type="dxa"/>
            <w:vAlign w:val="bottom"/>
            <w:tcBorders>
              <w:bottom w:val="single" w:sz="8" w:color="CCED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18,707</w:t>
            </w:r>
          </w:p>
        </w:tc>
        <w:tc>
          <w:tcPr>
            <w:tcW w:w="100" w:type="dxa"/>
            <w:vAlign w:val="bottom"/>
            <w:tcBorders>
              <w:bottom w:val="single" w:sz="8" w:color="CCED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18,707</w:t>
            </w:r>
          </w:p>
        </w:tc>
        <w:tc>
          <w:tcPr>
            <w:tcW w:w="100" w:type="dxa"/>
            <w:vAlign w:val="bottom"/>
            <w:tcBorders>
              <w:bottom w:val="single" w:sz="8" w:color="CCEDFF"/>
            </w:tcBorders>
          </w:tcPr>
          <w:p>
            <w:pPr>
              <w:spacing w:after="0"/>
              <w:rPr>
                <w:sz w:val="19"/>
                <w:szCs w:val="19"/>
                <w:color w:val="auto"/>
              </w:rPr>
            </w:pPr>
          </w:p>
        </w:tc>
        <w:tc>
          <w:tcPr>
            <w:tcW w:w="20" w:type="dxa"/>
            <w:vAlign w:val="bottom"/>
            <w:tcBorders>
              <w:bottom w:val="single" w:sz="8" w:color="CCED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94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4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453,442</w:t>
            </w:r>
          </w:p>
        </w:tc>
        <w:tc>
          <w:tcPr>
            <w:tcW w:w="10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18,707</w:t>
            </w:r>
          </w:p>
        </w:tc>
        <w:tc>
          <w:tcPr>
            <w:tcW w:w="100" w:type="dxa"/>
            <w:vAlign w:val="bottom"/>
            <w:shd w:val="clear" w:color="auto" w:fill="CCEDFF"/>
          </w:tcPr>
          <w:p>
            <w:pPr>
              <w:spacing w:after="0"/>
              <w:rPr>
                <w:sz w:val="18"/>
                <w:szCs w:val="18"/>
                <w:color w:val="auto"/>
              </w:rPr>
            </w:pPr>
          </w:p>
        </w:tc>
        <w:tc>
          <w:tcPr>
            <w:tcW w:w="2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434,735</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3,367,489</w:t>
            </w:r>
          </w:p>
        </w:tc>
        <w:tc>
          <w:tcPr>
            <w:tcW w:w="10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2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3,367,489</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spacing w:after="0"/>
              <w:rPr>
                <w:sz w:val="18"/>
                <w:szCs w:val="18"/>
                <w:color w:val="auto"/>
              </w:rPr>
            </w:pPr>
          </w:p>
        </w:tc>
        <w:tc>
          <w:tcPr>
            <w:tcW w:w="10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180" w:type="dxa"/>
            <w:vAlign w:val="bottom"/>
            <w:shd w:val="clear" w:color="auto" w:fill="CCEDFF"/>
          </w:tcPr>
          <w:p>
            <w:pPr>
              <w:spacing w:after="0"/>
              <w:rPr>
                <w:sz w:val="18"/>
                <w:szCs w:val="18"/>
                <w:color w:val="auto"/>
              </w:rPr>
            </w:pPr>
          </w:p>
        </w:tc>
        <w:tc>
          <w:tcPr>
            <w:tcW w:w="100" w:type="dxa"/>
            <w:vAlign w:val="bottom"/>
            <w:shd w:val="clear" w:color="auto" w:fill="CCEDFF"/>
          </w:tcPr>
          <w:p>
            <w:pPr>
              <w:spacing w:after="0"/>
              <w:rPr>
                <w:sz w:val="18"/>
                <w:szCs w:val="18"/>
                <w:color w:val="auto"/>
              </w:rPr>
            </w:pPr>
          </w:p>
        </w:tc>
        <w:tc>
          <w:tcPr>
            <w:tcW w:w="2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16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cash</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30,630</w:t>
            </w:r>
          </w:p>
        </w:tc>
        <w:tc>
          <w:tcPr>
            <w:tcW w:w="0" w:type="dxa"/>
            <w:vAlign w:val="bottom"/>
          </w:tcPr>
          <w:p>
            <w:pPr>
              <w:spacing w:after="0"/>
              <w:rPr>
                <w:sz w:val="1"/>
                <w:szCs w:val="1"/>
                <w:color w:val="auto"/>
              </w:rPr>
            </w:pPr>
          </w:p>
        </w:tc>
      </w:tr>
      <w:tr>
        <w:trPr>
          <w:trHeight w:val="216"/>
        </w:trPr>
        <w:tc>
          <w:tcPr>
            <w:tcW w:w="6940" w:type="dxa"/>
            <w:vAlign w:val="bottom"/>
            <w:shd w:val="clear" w:color="auto" w:fill="CCEDFF"/>
          </w:tcPr>
          <w:p>
            <w:pPr>
              <w:ind w:left="340"/>
              <w:spacing w:after="0"/>
              <w:rPr>
                <w:sz w:val="20"/>
                <w:szCs w:val="20"/>
                <w:color w:val="auto"/>
              </w:rPr>
            </w:pPr>
            <w:r>
              <w:rPr>
                <w:rFonts w:ascii="Times New Roman" w:cs="Times New Roman" w:eastAsia="Times New Roman" w:hAnsi="Times New Roman"/>
                <w:sz w:val="18"/>
                <w:szCs w:val="18"/>
                <w:color w:val="auto"/>
              </w:rPr>
              <w:t>Long-term receivables</w:t>
            </w:r>
          </w:p>
        </w:tc>
        <w:tc>
          <w:tcPr>
            <w:tcW w:w="4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465,649</w:t>
            </w:r>
          </w:p>
        </w:tc>
        <w:tc>
          <w:tcPr>
            <w:tcW w:w="10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2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465,649</w:t>
            </w: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tax assets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2,783</w:t>
            </w:r>
          </w:p>
        </w:tc>
        <w:tc>
          <w:tcPr>
            <w:tcW w:w="0" w:type="dxa"/>
            <w:vAlign w:val="bottom"/>
          </w:tcPr>
          <w:p>
            <w:pPr>
              <w:spacing w:after="0"/>
              <w:rPr>
                <w:sz w:val="1"/>
                <w:szCs w:val="1"/>
                <w:color w:val="auto"/>
              </w:rPr>
            </w:pPr>
          </w:p>
        </w:tc>
      </w:tr>
      <w:tr>
        <w:trPr>
          <w:trHeight w:val="216"/>
        </w:trPr>
        <w:tc>
          <w:tcPr>
            <w:tcW w:w="6940" w:type="dxa"/>
            <w:vAlign w:val="bottom"/>
            <w:shd w:val="clear" w:color="auto" w:fill="CCEDFF"/>
          </w:tcPr>
          <w:p>
            <w:pPr>
              <w:ind w:left="340"/>
              <w:spacing w:after="0"/>
              <w:rPr>
                <w:sz w:val="20"/>
                <w:szCs w:val="20"/>
                <w:color w:val="auto"/>
              </w:rPr>
            </w:pPr>
            <w:r>
              <w:rPr>
                <w:rFonts w:ascii="Times New Roman" w:cs="Times New Roman" w:eastAsia="Times New Roman" w:hAnsi="Times New Roman"/>
                <w:sz w:val="18"/>
                <w:szCs w:val="18"/>
                <w:color w:val="auto"/>
              </w:rPr>
              <w:t>Derivatives</w:t>
            </w:r>
          </w:p>
        </w:tc>
        <w:tc>
          <w:tcPr>
            <w:tcW w:w="4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2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DFF"/>
          </w:tcPr>
          <w:p>
            <w:pPr>
              <w:spacing w:after="0"/>
              <w:rPr>
                <w:sz w:val="18"/>
                <w:szCs w:val="18"/>
                <w:color w:val="auto"/>
              </w:rPr>
            </w:pPr>
          </w:p>
        </w:tc>
        <w:tc>
          <w:tcPr>
            <w:tcW w:w="12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408,895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408,895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shd w:val="clear" w:color="auto" w:fill="CCED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54,554</w:t>
            </w:r>
          </w:p>
        </w:tc>
        <w:tc>
          <w:tcPr>
            <w:tcW w:w="100" w:type="dxa"/>
            <w:vAlign w:val="bottom"/>
            <w:shd w:val="clear" w:color="auto" w:fill="CCEDFF"/>
          </w:tcPr>
          <w:p>
            <w:pPr>
              <w:spacing w:after="0"/>
              <w:rPr>
                <w:sz w:val="19"/>
                <w:szCs w:val="19"/>
                <w:color w:val="auto"/>
              </w:rPr>
            </w:pPr>
          </w:p>
        </w:tc>
        <w:tc>
          <w:tcPr>
            <w:tcW w:w="160" w:type="dxa"/>
            <w:vAlign w:val="bottom"/>
            <w:shd w:val="clear" w:color="auto" w:fill="CCEDFF"/>
          </w:tcPr>
          <w:p>
            <w:pPr>
              <w:spacing w:after="0"/>
              <w:rPr>
                <w:sz w:val="19"/>
                <w:szCs w:val="19"/>
                <w:color w:val="auto"/>
              </w:rPr>
            </w:pPr>
          </w:p>
        </w:tc>
        <w:tc>
          <w:tcPr>
            <w:tcW w:w="12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DFF"/>
          </w:tcPr>
          <w:p>
            <w:pPr>
              <w:spacing w:after="0"/>
              <w:rPr>
                <w:sz w:val="19"/>
                <w:szCs w:val="19"/>
                <w:color w:val="auto"/>
              </w:rPr>
            </w:pPr>
          </w:p>
        </w:tc>
        <w:tc>
          <w:tcPr>
            <w:tcW w:w="160" w:type="dxa"/>
            <w:vAlign w:val="bottom"/>
            <w:shd w:val="clear" w:color="auto" w:fill="CCEDFF"/>
          </w:tcPr>
          <w:p>
            <w:pPr>
              <w:spacing w:after="0"/>
              <w:rPr>
                <w:sz w:val="19"/>
                <w:szCs w:val="19"/>
                <w:color w:val="auto"/>
              </w:rPr>
            </w:pP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54,554</w:t>
            </w:r>
          </w:p>
        </w:tc>
        <w:tc>
          <w:tcPr>
            <w:tcW w:w="0" w:type="dxa"/>
            <w:vAlign w:val="bottom"/>
          </w:tcPr>
          <w:p>
            <w:pPr>
              <w:spacing w:after="0"/>
              <w:rPr>
                <w:sz w:val="1"/>
                <w:szCs w:val="1"/>
                <w:color w:val="auto"/>
              </w:rPr>
            </w:pPr>
          </w:p>
        </w:tc>
      </w:tr>
      <w:tr>
        <w:trPr>
          <w:trHeight w:val="263"/>
        </w:trPr>
        <w:tc>
          <w:tcPr>
            <w:tcW w:w="6940" w:type="dxa"/>
            <w:vAlign w:val="bottom"/>
            <w:tcBorders>
              <w:bottom w:val="single" w:sz="8" w:color="CCED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Borders>
              <w:bottom w:val="single" w:sz="8" w:color="CCED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4,783,442</w:t>
            </w:r>
          </w:p>
        </w:tc>
        <w:tc>
          <w:tcPr>
            <w:tcW w:w="100" w:type="dxa"/>
            <w:vAlign w:val="bottom"/>
            <w:tcBorders>
              <w:bottom w:val="single" w:sz="8" w:color="CCED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427,602</w:t>
            </w:r>
          </w:p>
        </w:tc>
        <w:tc>
          <w:tcPr>
            <w:tcW w:w="100" w:type="dxa"/>
            <w:vAlign w:val="bottom"/>
            <w:tcBorders>
              <w:bottom w:val="single" w:sz="8" w:color="CCEDFF"/>
            </w:tcBorders>
          </w:tcPr>
          <w:p>
            <w:pPr>
              <w:spacing w:after="0"/>
              <w:rPr>
                <w:sz w:val="22"/>
                <w:szCs w:val="22"/>
                <w:color w:val="auto"/>
              </w:rPr>
            </w:pPr>
          </w:p>
        </w:tc>
        <w:tc>
          <w:tcPr>
            <w:tcW w:w="20" w:type="dxa"/>
            <w:vAlign w:val="bottom"/>
            <w:tcBorders>
              <w:bottom w:val="single" w:sz="8" w:color="CCED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4,355,840</w:t>
            </w:r>
          </w:p>
        </w:tc>
        <w:tc>
          <w:tcPr>
            <w:tcW w:w="0" w:type="dxa"/>
            <w:vAlign w:val="bottom"/>
          </w:tcPr>
          <w:p>
            <w:pPr>
              <w:spacing w:after="0"/>
              <w:rPr>
                <w:sz w:val="1"/>
                <w:szCs w:val="1"/>
                <w:color w:val="auto"/>
              </w:rPr>
            </w:pPr>
          </w:p>
        </w:tc>
      </w:tr>
      <w:tr>
        <w:trPr>
          <w:trHeight w:val="196"/>
        </w:trPr>
        <w:tc>
          <w:tcPr>
            <w:tcW w:w="6940" w:type="dxa"/>
            <w:vAlign w:val="bottom"/>
            <w:shd w:val="clear" w:color="auto" w:fill="CCED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0" w:type="dxa"/>
            <w:vAlign w:val="bottom"/>
            <w:shd w:val="clear" w:color="auto" w:fill="CCEDFF"/>
          </w:tcPr>
          <w:p>
            <w:pPr>
              <w:spacing w:after="0"/>
              <w:rPr>
                <w:sz w:val="17"/>
                <w:szCs w:val="17"/>
                <w:color w:val="auto"/>
              </w:rPr>
            </w:pPr>
          </w:p>
        </w:tc>
        <w:tc>
          <w:tcPr>
            <w:tcW w:w="200" w:type="dxa"/>
            <w:vAlign w:val="bottom"/>
            <w:shd w:val="clear" w:color="auto" w:fill="CCEDFF"/>
          </w:tcPr>
          <w:p>
            <w:pPr>
              <w:spacing w:after="0"/>
              <w:rPr>
                <w:sz w:val="17"/>
                <w:szCs w:val="17"/>
                <w:color w:val="auto"/>
              </w:rPr>
            </w:pPr>
          </w:p>
        </w:tc>
        <w:tc>
          <w:tcPr>
            <w:tcW w:w="118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160" w:type="dxa"/>
            <w:vAlign w:val="bottom"/>
            <w:shd w:val="clear" w:color="auto" w:fill="CCEDFF"/>
          </w:tcPr>
          <w:p>
            <w:pPr>
              <w:spacing w:after="0"/>
              <w:rPr>
                <w:sz w:val="17"/>
                <w:szCs w:val="17"/>
                <w:color w:val="auto"/>
              </w:rPr>
            </w:pPr>
          </w:p>
        </w:tc>
        <w:tc>
          <w:tcPr>
            <w:tcW w:w="118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20" w:type="dxa"/>
            <w:vAlign w:val="bottom"/>
            <w:shd w:val="clear" w:color="auto" w:fill="CCEDFF"/>
          </w:tcPr>
          <w:p>
            <w:pPr>
              <w:spacing w:after="0"/>
              <w:rPr>
                <w:sz w:val="17"/>
                <w:szCs w:val="17"/>
                <w:color w:val="auto"/>
              </w:rPr>
            </w:pPr>
          </w:p>
        </w:tc>
        <w:tc>
          <w:tcPr>
            <w:tcW w:w="160" w:type="dxa"/>
            <w:vAlign w:val="bottom"/>
            <w:shd w:val="clear" w:color="auto" w:fill="CCEDFF"/>
          </w:tcPr>
          <w:p>
            <w:pPr>
              <w:spacing w:after="0"/>
              <w:rPr>
                <w:sz w:val="17"/>
                <w:szCs w:val="17"/>
                <w:color w:val="auto"/>
              </w:rPr>
            </w:pPr>
          </w:p>
        </w:tc>
        <w:tc>
          <w:tcPr>
            <w:tcW w:w="1160" w:type="dxa"/>
            <w:vAlign w:val="bottom"/>
            <w:shd w:val="clear" w:color="auto" w:fill="CCED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D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194,969</w:t>
            </w:r>
          </w:p>
        </w:tc>
        <w:tc>
          <w:tcPr>
            <w:tcW w:w="100" w:type="dxa"/>
            <w:vAlign w:val="bottom"/>
            <w:shd w:val="clear" w:color="auto" w:fill="CCEDFF"/>
          </w:tcPr>
          <w:p>
            <w:pPr>
              <w:spacing w:after="0"/>
              <w:rPr>
                <w:sz w:val="18"/>
                <w:szCs w:val="18"/>
                <w:color w:val="auto"/>
              </w:rPr>
            </w:pPr>
          </w:p>
        </w:tc>
        <w:tc>
          <w:tcPr>
            <w:tcW w:w="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194,969</w:t>
            </w: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332,078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332,078</w:t>
            </w:r>
          </w:p>
        </w:tc>
        <w:tc>
          <w:tcPr>
            <w:tcW w:w="0" w:type="dxa"/>
            <w:vAlign w:val="bottom"/>
          </w:tcPr>
          <w:p>
            <w:pPr>
              <w:spacing w:after="0"/>
              <w:rPr>
                <w:sz w:val="1"/>
                <w:szCs w:val="1"/>
                <w:color w:val="auto"/>
              </w:rPr>
            </w:pPr>
          </w:p>
        </w:tc>
      </w:tr>
      <w:tr>
        <w:trPr>
          <w:trHeight w:val="216"/>
        </w:trPr>
        <w:tc>
          <w:tcPr>
            <w:tcW w:w="6940" w:type="dxa"/>
            <w:vAlign w:val="bottom"/>
            <w:shd w:val="clear" w:color="auto" w:fill="CCEDFF"/>
          </w:tcPr>
          <w:p>
            <w:pPr>
              <w:ind w:left="3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4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30,220</w:t>
            </w:r>
          </w:p>
        </w:tc>
        <w:tc>
          <w:tcPr>
            <w:tcW w:w="10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2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30,220</w:t>
            </w: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Derivatives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156,243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156,243</w:t>
            </w:r>
          </w:p>
        </w:tc>
        <w:tc>
          <w:tcPr>
            <w:tcW w:w="0" w:type="dxa"/>
            <w:vAlign w:val="bottom"/>
          </w:tcPr>
          <w:p>
            <w:pPr>
              <w:spacing w:after="0"/>
              <w:rPr>
                <w:sz w:val="1"/>
                <w:szCs w:val="1"/>
                <w:color w:val="auto"/>
              </w:rPr>
            </w:pPr>
          </w:p>
        </w:tc>
      </w:tr>
      <w:tr>
        <w:trPr>
          <w:trHeight w:val="230"/>
        </w:trPr>
        <w:tc>
          <w:tcPr>
            <w:tcW w:w="6940" w:type="dxa"/>
            <w:vAlign w:val="bottom"/>
            <w:shd w:val="clear" w:color="auto" w:fill="CCEDFF"/>
          </w:tcPr>
          <w:p>
            <w:pPr>
              <w:ind w:left="3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40" w:type="dxa"/>
            <w:vAlign w:val="bottom"/>
            <w:shd w:val="clear" w:color="auto" w:fill="CCEDFF"/>
          </w:tcPr>
          <w:p>
            <w:pPr>
              <w:spacing w:after="0"/>
              <w:rPr>
                <w:sz w:val="19"/>
                <w:szCs w:val="19"/>
                <w:color w:val="auto"/>
              </w:rPr>
            </w:pPr>
          </w:p>
        </w:tc>
        <w:tc>
          <w:tcPr>
            <w:tcW w:w="200" w:type="dxa"/>
            <w:vAlign w:val="bottom"/>
            <w:tcBorders>
              <w:bottom w:val="single" w:sz="8" w:color="auto"/>
            </w:tcBorders>
            <w:shd w:val="clear" w:color="auto" w:fill="CCEDFF"/>
          </w:tcPr>
          <w:p>
            <w:pPr>
              <w:spacing w:after="0"/>
              <w:rPr>
                <w:sz w:val="19"/>
                <w:szCs w:val="19"/>
                <w:color w:val="auto"/>
              </w:rPr>
            </w:pPr>
          </w:p>
        </w:tc>
        <w:tc>
          <w:tcPr>
            <w:tcW w:w="118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43,544</w:t>
            </w:r>
          </w:p>
        </w:tc>
        <w:tc>
          <w:tcPr>
            <w:tcW w:w="100" w:type="dxa"/>
            <w:vAlign w:val="bottom"/>
            <w:shd w:val="clear" w:color="auto" w:fill="CCEDFF"/>
          </w:tcPr>
          <w:p>
            <w:pPr>
              <w:spacing w:after="0"/>
              <w:rPr>
                <w:sz w:val="19"/>
                <w:szCs w:val="19"/>
                <w:color w:val="auto"/>
              </w:rPr>
            </w:pPr>
          </w:p>
        </w:tc>
        <w:tc>
          <w:tcPr>
            <w:tcW w:w="160" w:type="dxa"/>
            <w:vAlign w:val="bottom"/>
            <w:tcBorders>
              <w:bottom w:val="single" w:sz="8" w:color="auto"/>
            </w:tcBorders>
            <w:shd w:val="clear" w:color="auto" w:fill="CCEDFF"/>
          </w:tcPr>
          <w:p>
            <w:pPr>
              <w:spacing w:after="0"/>
              <w:rPr>
                <w:sz w:val="19"/>
                <w:szCs w:val="19"/>
                <w:color w:val="auto"/>
              </w:rPr>
            </w:pPr>
          </w:p>
        </w:tc>
        <w:tc>
          <w:tcPr>
            <w:tcW w:w="118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43,544</w:t>
            </w:r>
          </w:p>
        </w:tc>
        <w:tc>
          <w:tcPr>
            <w:tcW w:w="100" w:type="dxa"/>
            <w:vAlign w:val="bottom"/>
            <w:shd w:val="clear" w:color="auto" w:fill="CCEDFF"/>
          </w:tcPr>
          <w:p>
            <w:pPr>
              <w:spacing w:after="0"/>
              <w:rPr>
                <w:sz w:val="19"/>
                <w:szCs w:val="19"/>
                <w:color w:val="auto"/>
              </w:rPr>
            </w:pPr>
          </w:p>
        </w:tc>
        <w:tc>
          <w:tcPr>
            <w:tcW w:w="20" w:type="dxa"/>
            <w:vAlign w:val="bottom"/>
            <w:shd w:val="clear" w:color="auto" w:fill="CCEDFF"/>
          </w:tcPr>
          <w:p>
            <w:pPr>
              <w:spacing w:after="0"/>
              <w:rPr>
                <w:sz w:val="19"/>
                <w:szCs w:val="19"/>
                <w:color w:val="auto"/>
              </w:rPr>
            </w:pPr>
          </w:p>
        </w:tc>
        <w:tc>
          <w:tcPr>
            <w:tcW w:w="160" w:type="dxa"/>
            <w:vAlign w:val="bottom"/>
            <w:tcBorders>
              <w:bottom w:val="single" w:sz="8" w:color="auto"/>
            </w:tcBorders>
            <w:shd w:val="clear" w:color="auto" w:fill="CCEDFF"/>
          </w:tcPr>
          <w:p>
            <w:pPr>
              <w:spacing w:after="0"/>
              <w:rPr>
                <w:sz w:val="19"/>
                <w:szCs w:val="19"/>
                <w:color w:val="auto"/>
              </w:rPr>
            </w:pPr>
          </w:p>
        </w:tc>
        <w:tc>
          <w:tcPr>
            <w:tcW w:w="1160" w:type="dxa"/>
            <w:vAlign w:val="bottom"/>
            <w:tcBorders>
              <w:bottom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757,054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43,544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713,510</w:t>
            </w:r>
          </w:p>
        </w:tc>
        <w:tc>
          <w:tcPr>
            <w:tcW w:w="0" w:type="dxa"/>
            <w:vAlign w:val="bottom"/>
          </w:tcPr>
          <w:p>
            <w:pPr>
              <w:spacing w:after="0"/>
              <w:rPr>
                <w:sz w:val="1"/>
                <w:szCs w:val="1"/>
                <w:color w:val="auto"/>
              </w:rPr>
            </w:pPr>
          </w:p>
        </w:tc>
      </w:tr>
      <w:tr>
        <w:trPr>
          <w:trHeight w:val="216"/>
        </w:trPr>
        <w:tc>
          <w:tcPr>
            <w:tcW w:w="694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4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spacing w:after="0"/>
              <w:rPr>
                <w:sz w:val="18"/>
                <w:szCs w:val="18"/>
                <w:color w:val="auto"/>
              </w:rPr>
            </w:pPr>
          </w:p>
        </w:tc>
        <w:tc>
          <w:tcPr>
            <w:tcW w:w="10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180" w:type="dxa"/>
            <w:vAlign w:val="bottom"/>
            <w:shd w:val="clear" w:color="auto" w:fill="CCEDFF"/>
          </w:tcPr>
          <w:p>
            <w:pPr>
              <w:spacing w:after="0"/>
              <w:rPr>
                <w:sz w:val="18"/>
                <w:szCs w:val="18"/>
                <w:color w:val="auto"/>
              </w:rPr>
            </w:pPr>
          </w:p>
        </w:tc>
        <w:tc>
          <w:tcPr>
            <w:tcW w:w="100" w:type="dxa"/>
            <w:vAlign w:val="bottom"/>
            <w:shd w:val="clear" w:color="auto" w:fill="CCEDFF"/>
          </w:tcPr>
          <w:p>
            <w:pPr>
              <w:spacing w:after="0"/>
              <w:rPr>
                <w:sz w:val="18"/>
                <w:szCs w:val="18"/>
                <w:color w:val="auto"/>
              </w:rPr>
            </w:pPr>
          </w:p>
        </w:tc>
        <w:tc>
          <w:tcPr>
            <w:tcW w:w="2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16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Long-term debt, net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2,866,043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127,034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2,739,009</w:t>
            </w:r>
          </w:p>
        </w:tc>
        <w:tc>
          <w:tcPr>
            <w:tcW w:w="0" w:type="dxa"/>
            <w:vAlign w:val="bottom"/>
          </w:tcPr>
          <w:p>
            <w:pPr>
              <w:spacing w:after="0"/>
              <w:rPr>
                <w:sz w:val="1"/>
                <w:szCs w:val="1"/>
                <w:color w:val="auto"/>
              </w:rPr>
            </w:pPr>
          </w:p>
        </w:tc>
      </w:tr>
      <w:tr>
        <w:trPr>
          <w:trHeight w:val="216"/>
        </w:trPr>
        <w:tc>
          <w:tcPr>
            <w:tcW w:w="6940" w:type="dxa"/>
            <w:vAlign w:val="bottom"/>
            <w:shd w:val="clear" w:color="auto" w:fill="CCEDFF"/>
          </w:tcPr>
          <w:p>
            <w:pPr>
              <w:ind w:left="340"/>
              <w:spacing w:after="0"/>
              <w:rPr>
                <w:sz w:val="20"/>
                <w:szCs w:val="20"/>
                <w:color w:val="auto"/>
              </w:rPr>
            </w:pPr>
            <w:r>
              <w:rPr>
                <w:rFonts w:ascii="Times New Roman" w:cs="Times New Roman" w:eastAsia="Times New Roman" w:hAnsi="Times New Roman"/>
                <w:sz w:val="18"/>
                <w:szCs w:val="18"/>
                <w:color w:val="auto"/>
              </w:rPr>
              <w:t>Derivatives</w:t>
            </w:r>
          </w:p>
        </w:tc>
        <w:tc>
          <w:tcPr>
            <w:tcW w:w="4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14,915</w:t>
            </w:r>
          </w:p>
        </w:tc>
        <w:tc>
          <w:tcPr>
            <w:tcW w:w="10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2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14,915</w:t>
            </w: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196,297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196,297</w:t>
            </w:r>
          </w:p>
        </w:tc>
        <w:tc>
          <w:tcPr>
            <w:tcW w:w="0" w:type="dxa"/>
            <w:vAlign w:val="bottom"/>
          </w:tcPr>
          <w:p>
            <w:pPr>
              <w:spacing w:after="0"/>
              <w:rPr>
                <w:sz w:val="1"/>
                <w:szCs w:val="1"/>
                <w:color w:val="auto"/>
              </w:rPr>
            </w:pPr>
          </w:p>
        </w:tc>
      </w:tr>
      <w:tr>
        <w:trPr>
          <w:trHeight w:val="216"/>
        </w:trPr>
        <w:tc>
          <w:tcPr>
            <w:tcW w:w="6940" w:type="dxa"/>
            <w:vAlign w:val="bottom"/>
            <w:shd w:val="clear" w:color="auto" w:fill="CCEDFF"/>
          </w:tcPr>
          <w:p>
            <w:pPr>
              <w:ind w:left="3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134,750</w:t>
            </w:r>
          </w:p>
        </w:tc>
        <w:tc>
          <w:tcPr>
            <w:tcW w:w="10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2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134,750</w:t>
            </w: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Long-term liabilities held for sale</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260,601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260,601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shd w:val="clear" w:color="auto" w:fill="CCED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38,673</w:t>
            </w:r>
          </w:p>
        </w:tc>
        <w:tc>
          <w:tcPr>
            <w:tcW w:w="100" w:type="dxa"/>
            <w:vAlign w:val="bottom"/>
            <w:shd w:val="clear" w:color="auto" w:fill="CCEDFF"/>
          </w:tcPr>
          <w:p>
            <w:pPr>
              <w:spacing w:after="0"/>
              <w:rPr>
                <w:sz w:val="19"/>
                <w:szCs w:val="19"/>
                <w:color w:val="auto"/>
              </w:rPr>
            </w:pPr>
          </w:p>
        </w:tc>
        <w:tc>
          <w:tcPr>
            <w:tcW w:w="160" w:type="dxa"/>
            <w:vAlign w:val="bottom"/>
            <w:shd w:val="clear" w:color="auto" w:fill="CCEDFF"/>
          </w:tcPr>
          <w:p>
            <w:pPr>
              <w:spacing w:after="0"/>
              <w:rPr>
                <w:sz w:val="19"/>
                <w:szCs w:val="19"/>
                <w:color w:val="auto"/>
              </w:rPr>
            </w:pPr>
          </w:p>
        </w:tc>
        <w:tc>
          <w:tcPr>
            <w:tcW w:w="12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DFF"/>
          </w:tcPr>
          <w:p>
            <w:pPr>
              <w:spacing w:after="0"/>
              <w:rPr>
                <w:sz w:val="19"/>
                <w:szCs w:val="19"/>
                <w:color w:val="auto"/>
              </w:rPr>
            </w:pPr>
          </w:p>
        </w:tc>
        <w:tc>
          <w:tcPr>
            <w:tcW w:w="160" w:type="dxa"/>
            <w:vAlign w:val="bottom"/>
            <w:shd w:val="clear" w:color="auto" w:fill="CCEDFF"/>
          </w:tcPr>
          <w:p>
            <w:pPr>
              <w:spacing w:after="0"/>
              <w:rPr>
                <w:sz w:val="19"/>
                <w:szCs w:val="19"/>
                <w:color w:val="auto"/>
              </w:rPr>
            </w:pP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38,673</w:t>
            </w:r>
          </w:p>
        </w:tc>
        <w:tc>
          <w:tcPr>
            <w:tcW w:w="0" w:type="dxa"/>
            <w:vAlign w:val="bottom"/>
          </w:tcPr>
          <w:p>
            <w:pPr>
              <w:spacing w:after="0"/>
              <w:rPr>
                <w:sz w:val="1"/>
                <w:szCs w:val="1"/>
                <w:color w:val="auto"/>
              </w:rPr>
            </w:pPr>
          </w:p>
        </w:tc>
      </w:tr>
      <w:tr>
        <w:trPr>
          <w:trHeight w:val="209"/>
        </w:trPr>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3,511,279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387,635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3,123,644</w:t>
            </w:r>
          </w:p>
        </w:tc>
        <w:tc>
          <w:tcPr>
            <w:tcW w:w="0" w:type="dxa"/>
            <w:vAlign w:val="bottom"/>
          </w:tcPr>
          <w:p>
            <w:pPr>
              <w:spacing w:after="0"/>
              <w:rPr>
                <w:sz w:val="1"/>
                <w:szCs w:val="1"/>
                <w:color w:val="auto"/>
              </w:rPr>
            </w:pPr>
          </w:p>
        </w:tc>
      </w:tr>
      <w:tr>
        <w:trPr>
          <w:trHeight w:val="216"/>
        </w:trPr>
        <w:tc>
          <w:tcPr>
            <w:tcW w:w="694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4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spacing w:after="0"/>
              <w:rPr>
                <w:sz w:val="18"/>
                <w:szCs w:val="18"/>
                <w:color w:val="auto"/>
              </w:rPr>
            </w:pPr>
          </w:p>
        </w:tc>
        <w:tc>
          <w:tcPr>
            <w:tcW w:w="10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180" w:type="dxa"/>
            <w:vAlign w:val="bottom"/>
            <w:shd w:val="clear" w:color="auto" w:fill="CCEDFF"/>
          </w:tcPr>
          <w:p>
            <w:pPr>
              <w:spacing w:after="0"/>
              <w:rPr>
                <w:sz w:val="18"/>
                <w:szCs w:val="18"/>
                <w:color w:val="auto"/>
              </w:rPr>
            </w:pPr>
          </w:p>
        </w:tc>
        <w:tc>
          <w:tcPr>
            <w:tcW w:w="100" w:type="dxa"/>
            <w:vAlign w:val="bottom"/>
            <w:shd w:val="clear" w:color="auto" w:fill="CCEDFF"/>
          </w:tcPr>
          <w:p>
            <w:pPr>
              <w:spacing w:after="0"/>
              <w:rPr>
                <w:sz w:val="18"/>
                <w:szCs w:val="18"/>
                <w:color w:val="auto"/>
              </w:rPr>
            </w:pPr>
          </w:p>
        </w:tc>
        <w:tc>
          <w:tcPr>
            <w:tcW w:w="2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16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Preference shares, $0.01 par value; 200,000,000 authorized shares; zero</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at March 31, 2026</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940" w:type="dxa"/>
            <w:vAlign w:val="bottom"/>
            <w:shd w:val="clear" w:color="auto" w:fill="CCED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2,000,000,000 authorized shares;</w:t>
            </w:r>
          </w:p>
        </w:tc>
        <w:tc>
          <w:tcPr>
            <w:tcW w:w="40" w:type="dxa"/>
            <w:vAlign w:val="bottom"/>
            <w:shd w:val="clear" w:color="auto" w:fill="CCEDFF"/>
          </w:tcPr>
          <w:p>
            <w:pPr>
              <w:spacing w:after="0"/>
              <w:rPr>
                <w:sz w:val="17"/>
                <w:szCs w:val="17"/>
                <w:color w:val="auto"/>
              </w:rPr>
            </w:pPr>
          </w:p>
        </w:tc>
        <w:tc>
          <w:tcPr>
            <w:tcW w:w="200" w:type="dxa"/>
            <w:vAlign w:val="bottom"/>
            <w:shd w:val="clear" w:color="auto" w:fill="CCEDFF"/>
          </w:tcPr>
          <w:p>
            <w:pPr>
              <w:spacing w:after="0"/>
              <w:rPr>
                <w:sz w:val="17"/>
                <w:szCs w:val="17"/>
                <w:color w:val="auto"/>
              </w:rPr>
            </w:pPr>
          </w:p>
        </w:tc>
        <w:tc>
          <w:tcPr>
            <w:tcW w:w="118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160" w:type="dxa"/>
            <w:vAlign w:val="bottom"/>
            <w:shd w:val="clear" w:color="auto" w:fill="CCEDFF"/>
          </w:tcPr>
          <w:p>
            <w:pPr>
              <w:spacing w:after="0"/>
              <w:rPr>
                <w:sz w:val="17"/>
                <w:szCs w:val="17"/>
                <w:color w:val="auto"/>
              </w:rPr>
            </w:pPr>
          </w:p>
        </w:tc>
        <w:tc>
          <w:tcPr>
            <w:tcW w:w="118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20" w:type="dxa"/>
            <w:vAlign w:val="bottom"/>
            <w:shd w:val="clear" w:color="auto" w:fill="CCEDFF"/>
          </w:tcPr>
          <w:p>
            <w:pPr>
              <w:spacing w:after="0"/>
              <w:rPr>
                <w:sz w:val="17"/>
                <w:szCs w:val="17"/>
                <w:color w:val="auto"/>
              </w:rPr>
            </w:pPr>
          </w:p>
        </w:tc>
        <w:tc>
          <w:tcPr>
            <w:tcW w:w="160" w:type="dxa"/>
            <w:vAlign w:val="bottom"/>
            <w:shd w:val="clear" w:color="auto" w:fill="CCEDFF"/>
          </w:tcPr>
          <w:p>
            <w:pPr>
              <w:spacing w:after="0"/>
              <w:rPr>
                <w:sz w:val="17"/>
                <w:szCs w:val="17"/>
                <w:color w:val="auto"/>
              </w:rPr>
            </w:pPr>
          </w:p>
        </w:tc>
        <w:tc>
          <w:tcPr>
            <w:tcW w:w="1160" w:type="dxa"/>
            <w:vAlign w:val="bottom"/>
            <w:shd w:val="clear" w:color="auto" w:fill="CCED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40" w:type="dxa"/>
            <w:vAlign w:val="bottom"/>
            <w:shd w:val="clear" w:color="auto" w:fill="CCEDFF"/>
          </w:tcPr>
          <w:p>
            <w:pPr>
              <w:ind w:left="340"/>
              <w:spacing w:after="0"/>
              <w:rPr>
                <w:sz w:val="20"/>
                <w:szCs w:val="20"/>
                <w:color w:val="auto"/>
              </w:rPr>
            </w:pPr>
            <w:r>
              <w:rPr>
                <w:rFonts w:ascii="Times New Roman" w:cs="Times New Roman" w:eastAsia="Times New Roman" w:hAnsi="Times New Roman"/>
                <w:sz w:val="18"/>
                <w:szCs w:val="18"/>
                <w:color w:val="auto"/>
              </w:rPr>
              <w:t>637,413,155 issued at March 31, 2026</w:t>
            </w:r>
          </w:p>
        </w:tc>
        <w:tc>
          <w:tcPr>
            <w:tcW w:w="40" w:type="dxa"/>
            <w:vAlign w:val="bottom"/>
            <w:shd w:val="clear" w:color="auto" w:fill="CCEDFF"/>
          </w:tcPr>
          <w:p>
            <w:pPr>
              <w:spacing w:after="0"/>
              <w:rPr>
                <w:sz w:val="20"/>
                <w:szCs w:val="20"/>
                <w:color w:val="auto"/>
              </w:rPr>
            </w:pPr>
          </w:p>
        </w:tc>
        <w:tc>
          <w:tcPr>
            <w:tcW w:w="200" w:type="dxa"/>
            <w:vAlign w:val="bottom"/>
            <w:shd w:val="clear" w:color="auto" w:fill="CCEDFF"/>
          </w:tcPr>
          <w:p>
            <w:pPr>
              <w:spacing w:after="0"/>
              <w:rPr>
                <w:sz w:val="20"/>
                <w:szCs w:val="20"/>
                <w:color w:val="auto"/>
              </w:rPr>
            </w:pP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6,374</w:t>
            </w:r>
          </w:p>
        </w:tc>
        <w:tc>
          <w:tcPr>
            <w:tcW w:w="100" w:type="dxa"/>
            <w:vAlign w:val="bottom"/>
            <w:shd w:val="clear" w:color="auto" w:fill="CCEDFF"/>
          </w:tcPr>
          <w:p>
            <w:pPr>
              <w:spacing w:after="0"/>
              <w:rPr>
                <w:sz w:val="20"/>
                <w:szCs w:val="20"/>
                <w:color w:val="auto"/>
              </w:rPr>
            </w:pPr>
          </w:p>
        </w:tc>
        <w:tc>
          <w:tcPr>
            <w:tcW w:w="160" w:type="dxa"/>
            <w:vAlign w:val="bottom"/>
            <w:shd w:val="clear" w:color="auto" w:fill="CCEDFF"/>
          </w:tcPr>
          <w:p>
            <w:pPr>
              <w:spacing w:after="0"/>
              <w:rPr>
                <w:sz w:val="20"/>
                <w:szCs w:val="20"/>
                <w:color w:val="auto"/>
              </w:rPr>
            </w:pPr>
          </w:p>
        </w:tc>
        <w:tc>
          <w:tcPr>
            <w:tcW w:w="12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DFF"/>
          </w:tcPr>
          <w:p>
            <w:pPr>
              <w:spacing w:after="0"/>
              <w:rPr>
                <w:sz w:val="20"/>
                <w:szCs w:val="20"/>
                <w:color w:val="auto"/>
              </w:rPr>
            </w:pPr>
          </w:p>
        </w:tc>
        <w:tc>
          <w:tcPr>
            <w:tcW w:w="160" w:type="dxa"/>
            <w:vAlign w:val="bottom"/>
            <w:shd w:val="clear" w:color="auto" w:fill="CCEDFF"/>
          </w:tcPr>
          <w:p>
            <w:pPr>
              <w:spacing w:after="0"/>
              <w:rPr>
                <w:sz w:val="20"/>
                <w:szCs w:val="20"/>
                <w:color w:val="auto"/>
              </w:rPr>
            </w:pP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6,374</w:t>
            </w: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2,753,572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2,753,572</w:t>
            </w:r>
          </w:p>
        </w:tc>
        <w:tc>
          <w:tcPr>
            <w:tcW w:w="0" w:type="dxa"/>
            <w:vAlign w:val="bottom"/>
          </w:tcPr>
          <w:p>
            <w:pPr>
              <w:spacing w:after="0"/>
              <w:rPr>
                <w:sz w:val="1"/>
                <w:szCs w:val="1"/>
                <w:color w:val="auto"/>
              </w:rPr>
            </w:pPr>
          </w:p>
        </w:tc>
      </w:tr>
      <w:tr>
        <w:trPr>
          <w:trHeight w:val="216"/>
        </w:trPr>
        <w:tc>
          <w:tcPr>
            <w:tcW w:w="6940" w:type="dxa"/>
            <w:vAlign w:val="bottom"/>
            <w:shd w:val="clear" w:color="auto" w:fill="CCED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4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(2,007,830)</w:t>
            </w:r>
          </w:p>
        </w:tc>
        <w:tc>
          <w:tcPr>
            <w:tcW w:w="10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shd w:val="clear" w:color="auto" w:fill="CCEDFF"/>
          </w:tcPr>
          <w:p>
            <w:pPr>
              <w:spacing w:after="0"/>
              <w:rPr>
                <w:sz w:val="18"/>
                <w:szCs w:val="18"/>
                <w:color w:val="auto"/>
              </w:rPr>
            </w:pPr>
          </w:p>
        </w:tc>
        <w:tc>
          <w:tcPr>
            <w:tcW w:w="20" w:type="dxa"/>
            <w:vAlign w:val="bottom"/>
            <w:shd w:val="clear" w:color="auto" w:fill="CCEDFF"/>
          </w:tcPr>
          <w:p>
            <w:pPr>
              <w:spacing w:after="0"/>
              <w:rPr>
                <w:sz w:val="18"/>
                <w:szCs w:val="18"/>
                <w:color w:val="auto"/>
              </w:rPr>
            </w:pPr>
          </w:p>
        </w:tc>
        <w:tc>
          <w:tcPr>
            <w:tcW w:w="160" w:type="dxa"/>
            <w:vAlign w:val="bottom"/>
            <w:shd w:val="clear" w:color="auto" w:fill="CCEDFF"/>
          </w:tcPr>
          <w:p>
            <w:pPr>
              <w:spacing w:after="0"/>
              <w:rPr>
                <w:sz w:val="18"/>
                <w:szCs w:val="18"/>
                <w:color w:val="auto"/>
              </w:rPr>
            </w:pP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(2,004,253)</w:t>
            </w:r>
          </w:p>
        </w:tc>
        <w:tc>
          <w:tcPr>
            <w:tcW w:w="0" w:type="dxa"/>
            <w:vAlign w:val="bottom"/>
          </w:tcPr>
          <w:p>
            <w:pPr>
              <w:spacing w:after="0"/>
              <w:rPr>
                <w:sz w:val="1"/>
                <w:szCs w:val="1"/>
                <w:color w:val="auto"/>
              </w:rPr>
            </w:pPr>
          </w:p>
        </w:tc>
      </w:tr>
      <w:tr>
        <w:trPr>
          <w:trHeight w:val="229"/>
        </w:trPr>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Treasury stock, at cost, 44,263,269 shares at March 31, 2026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(237,007)</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0" w:type="dxa"/>
            <w:vAlign w:val="bottom"/>
            <w:tcBorders>
              <w:top w:val="single" w:sz="8" w:color="CCEDFF"/>
            </w:tcBorders>
            <w:shd w:val="clear" w:color="auto" w:fill="CCEDFF"/>
          </w:tcPr>
          <w:p>
            <w:pPr>
              <w:spacing w:after="0"/>
              <w:rPr>
                <w:sz w:val="18"/>
                <w:szCs w:val="18"/>
                <w:color w:val="auto"/>
              </w:rPr>
            </w:pPr>
          </w:p>
        </w:tc>
        <w:tc>
          <w:tcPr>
            <w:tcW w:w="200" w:type="dxa"/>
            <w:vAlign w:val="bottom"/>
            <w:tcBorders>
              <w:top w:val="single" w:sz="8" w:color="auto"/>
              <w:bottom w:val="single" w:sz="8" w:color="auto"/>
            </w:tcBorders>
            <w:shd w:val="clear" w:color="auto" w:fill="CCEDFF"/>
          </w:tcPr>
          <w:p>
            <w:pPr>
              <w:spacing w:after="0"/>
              <w:rPr>
                <w:sz w:val="18"/>
                <w:szCs w:val="18"/>
                <w:color w:val="auto"/>
              </w:rPr>
            </w:pPr>
          </w:p>
        </w:tc>
        <w:tc>
          <w:tcPr>
            <w:tcW w:w="1180" w:type="dxa"/>
            <w:vAlign w:val="bottom"/>
            <w:tcBorders>
              <w:top w:val="single" w:sz="8" w:color="auto"/>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515,109</w:t>
            </w:r>
          </w:p>
        </w:tc>
        <w:tc>
          <w:tcPr>
            <w:tcW w:w="100" w:type="dxa"/>
            <w:vAlign w:val="bottom"/>
            <w:tcBorders>
              <w:top w:val="single" w:sz="8" w:color="CCEDFF"/>
            </w:tcBorders>
            <w:shd w:val="clear" w:color="auto" w:fill="CCEDFF"/>
          </w:tcPr>
          <w:p>
            <w:pPr>
              <w:spacing w:after="0"/>
              <w:rPr>
                <w:sz w:val="18"/>
                <w:szCs w:val="18"/>
                <w:color w:val="auto"/>
              </w:rPr>
            </w:pPr>
          </w:p>
        </w:tc>
        <w:tc>
          <w:tcPr>
            <w:tcW w:w="160" w:type="dxa"/>
            <w:vAlign w:val="bottom"/>
            <w:tcBorders>
              <w:top w:val="single" w:sz="8" w:color="auto"/>
              <w:bottom w:val="single" w:sz="8" w:color="auto"/>
            </w:tcBorders>
            <w:shd w:val="clear" w:color="auto" w:fill="CCEDFF"/>
          </w:tcPr>
          <w:p>
            <w:pPr>
              <w:spacing w:after="0"/>
              <w:rPr>
                <w:sz w:val="18"/>
                <w:szCs w:val="18"/>
                <w:color w:val="auto"/>
              </w:rPr>
            </w:pPr>
          </w:p>
        </w:tc>
        <w:tc>
          <w:tcPr>
            <w:tcW w:w="118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tcBorders>
              <w:top w:val="single" w:sz="8" w:color="CCEDFF"/>
            </w:tcBorders>
            <w:shd w:val="clear" w:color="auto" w:fill="CCEDFF"/>
          </w:tcPr>
          <w:p>
            <w:pPr>
              <w:spacing w:after="0"/>
              <w:rPr>
                <w:sz w:val="18"/>
                <w:szCs w:val="18"/>
                <w:color w:val="auto"/>
              </w:rPr>
            </w:pPr>
          </w:p>
        </w:tc>
        <w:tc>
          <w:tcPr>
            <w:tcW w:w="20" w:type="dxa"/>
            <w:vAlign w:val="bottom"/>
            <w:tcBorders>
              <w:top w:val="single" w:sz="8" w:color="CCEDFF"/>
            </w:tcBorders>
            <w:shd w:val="clear" w:color="auto" w:fill="CCEDFF"/>
          </w:tcPr>
          <w:p>
            <w:pPr>
              <w:spacing w:after="0"/>
              <w:rPr>
                <w:sz w:val="18"/>
                <w:szCs w:val="18"/>
                <w:color w:val="auto"/>
              </w:rPr>
            </w:pPr>
          </w:p>
        </w:tc>
        <w:tc>
          <w:tcPr>
            <w:tcW w:w="160" w:type="dxa"/>
            <w:vAlign w:val="bottom"/>
            <w:tcBorders>
              <w:top w:val="single" w:sz="8" w:color="auto"/>
              <w:bottom w:val="single" w:sz="8" w:color="auto"/>
            </w:tcBorders>
            <w:shd w:val="clear" w:color="auto" w:fill="CCEDFF"/>
          </w:tcPr>
          <w:p>
            <w:pPr>
              <w:spacing w:after="0"/>
              <w:rPr>
                <w:sz w:val="18"/>
                <w:szCs w:val="18"/>
                <w:color w:val="auto"/>
              </w:rPr>
            </w:pPr>
          </w:p>
        </w:tc>
        <w:tc>
          <w:tcPr>
            <w:tcW w:w="1160" w:type="dxa"/>
            <w:vAlign w:val="bottom"/>
            <w:tcBorders>
              <w:top w:val="single" w:sz="8" w:color="auto"/>
              <w:bottom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518,686</w:t>
            </w:r>
          </w:p>
        </w:tc>
        <w:tc>
          <w:tcPr>
            <w:tcW w:w="0" w:type="dxa"/>
            <w:vAlign w:val="bottom"/>
          </w:tcPr>
          <w:p>
            <w:pPr>
              <w:spacing w:after="0"/>
              <w:rPr>
                <w:sz w:val="1"/>
                <w:szCs w:val="1"/>
                <w:color w:val="auto"/>
              </w:rPr>
            </w:pPr>
          </w:p>
        </w:tc>
      </w:tr>
      <w:tr>
        <w:trPr>
          <w:trHeight w:val="209"/>
        </w:trPr>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4,783,442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427,602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4,355,840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46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5000" w:type="dxa"/>
            <w:vAlign w:val="bottom"/>
            <w:gridSpan w:val="3"/>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KOSMOS ENERGY LTD. AND SUBSIDIARIES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6"/>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UNAUDITED PRO FORMA CONDENSED STATEMENT OF OPERATIONS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4"/>
                <w:szCs w:val="24"/>
                <w:color w:val="auto"/>
              </w:rPr>
            </w:pPr>
          </w:p>
        </w:tc>
        <w:tc>
          <w:tcPr>
            <w:tcW w:w="5000" w:type="dxa"/>
            <w:vAlign w:val="bottom"/>
            <w:gridSpan w:val="3"/>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4"/>
                <w:szCs w:val="24"/>
                <w:color w:val="auto"/>
              </w:rPr>
            </w:pPr>
          </w:p>
        </w:tc>
        <w:tc>
          <w:tcPr>
            <w:tcW w:w="38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3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Kosmos</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Disposition</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10"/>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 and other income:</w:t>
            </w:r>
          </w:p>
        </w:tc>
        <w:tc>
          <w:tcPr>
            <w:tcW w:w="3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Adjustments (B)</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3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Oil and gas revenue</w:t>
            </w:r>
          </w:p>
        </w:tc>
        <w:tc>
          <w:tcPr>
            <w:tcW w:w="3820" w:type="dxa"/>
            <w:vAlign w:val="bottom"/>
            <w:gridSpan w:val="2"/>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1,288,352</w:t>
            </w:r>
          </w:p>
        </w:tc>
        <w:tc>
          <w:tcPr>
            <w:tcW w:w="320" w:type="dxa"/>
            <w:vAlign w:val="bottom"/>
            <w:gridSpan w:val="2"/>
            <w:shd w:val="clear" w:color="auto" w:fill="CCED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165,118</w:t>
            </w:r>
          </w:p>
        </w:tc>
        <w:tc>
          <w:tcPr>
            <w:tcW w:w="2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1,123,234</w:t>
            </w:r>
          </w:p>
        </w:tc>
        <w:tc>
          <w:tcPr>
            <w:tcW w:w="0" w:type="dxa"/>
            <w:vAlign w:val="bottom"/>
          </w:tcPr>
          <w:p>
            <w:pPr>
              <w:spacing w:after="0"/>
              <w:rPr>
                <w:sz w:val="1"/>
                <w:szCs w:val="1"/>
                <w:color w:val="auto"/>
              </w:rPr>
            </w:pPr>
          </w:p>
        </w:tc>
      </w:tr>
      <w:tr>
        <w:trPr>
          <w:trHeight w:val="216"/>
        </w:trPr>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 on sale of assets</w:t>
            </w:r>
          </w:p>
        </w:tc>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30"/>
        </w:trPr>
        <w:tc>
          <w:tcPr>
            <w:tcW w:w="336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620" w:type="dxa"/>
            <w:vAlign w:val="bottom"/>
            <w:shd w:val="clear" w:color="auto" w:fill="CCEDFF"/>
          </w:tcPr>
          <w:p>
            <w:pPr>
              <w:spacing w:after="0"/>
              <w:rPr>
                <w:sz w:val="19"/>
                <w:szCs w:val="19"/>
                <w:color w:val="auto"/>
              </w:rPr>
            </w:pPr>
          </w:p>
        </w:tc>
        <w:tc>
          <w:tcPr>
            <w:tcW w:w="200" w:type="dxa"/>
            <w:vAlign w:val="bottom"/>
            <w:tcBorders>
              <w:bottom w:val="single" w:sz="8" w:color="auto"/>
            </w:tcBorders>
            <w:shd w:val="clear" w:color="auto" w:fill="CCEDFF"/>
          </w:tcPr>
          <w:p>
            <w:pPr>
              <w:spacing w:after="0"/>
              <w:rPr>
                <w:sz w:val="19"/>
                <w:szCs w:val="19"/>
                <w:color w:val="auto"/>
              </w:rPr>
            </w:pPr>
          </w:p>
        </w:tc>
        <w:tc>
          <w:tcPr>
            <w:tcW w:w="118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1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DFF"/>
          </w:tcPr>
          <w:p>
            <w:pPr>
              <w:spacing w:after="0"/>
              <w:rPr>
                <w:sz w:val="19"/>
                <w:szCs w:val="19"/>
                <w:color w:val="auto"/>
              </w:rPr>
            </w:pPr>
          </w:p>
        </w:tc>
        <w:tc>
          <w:tcPr>
            <w:tcW w:w="180" w:type="dxa"/>
            <w:vAlign w:val="bottom"/>
            <w:tcBorders>
              <w:bottom w:val="single" w:sz="8" w:color="auto"/>
            </w:tcBorders>
            <w:shd w:val="clear" w:color="auto" w:fill="CCEDFF"/>
          </w:tcPr>
          <w:p>
            <w:pPr>
              <w:spacing w:after="0"/>
              <w:rPr>
                <w:sz w:val="19"/>
                <w:szCs w:val="19"/>
                <w:color w:val="auto"/>
              </w:rPr>
            </w:pPr>
          </w:p>
        </w:tc>
        <w:tc>
          <w:tcPr>
            <w:tcW w:w="1160" w:type="dxa"/>
            <w:vAlign w:val="bottom"/>
            <w:tcBorders>
              <w:bottom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09"/>
        </w:trPr>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revenues and other income</w:t>
            </w:r>
          </w:p>
        </w:tc>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1,291,650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1,126,532</w:t>
            </w:r>
          </w:p>
        </w:tc>
        <w:tc>
          <w:tcPr>
            <w:tcW w:w="0" w:type="dxa"/>
            <w:vAlign w:val="bottom"/>
          </w:tcPr>
          <w:p>
            <w:pPr>
              <w:spacing w:after="0"/>
              <w:rPr>
                <w:sz w:val="1"/>
                <w:szCs w:val="1"/>
                <w:color w:val="auto"/>
              </w:rPr>
            </w:pPr>
          </w:p>
        </w:tc>
      </w:tr>
      <w:tr>
        <w:trPr>
          <w:trHeight w:val="216"/>
        </w:trPr>
        <w:tc>
          <w:tcPr>
            <w:tcW w:w="336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362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spacing w:after="0"/>
              <w:rPr>
                <w:sz w:val="18"/>
                <w:szCs w:val="18"/>
                <w:color w:val="auto"/>
              </w:rPr>
            </w:pPr>
          </w:p>
        </w:tc>
        <w:tc>
          <w:tcPr>
            <w:tcW w:w="100" w:type="dxa"/>
            <w:vAlign w:val="bottom"/>
            <w:shd w:val="clear" w:color="auto" w:fill="CCEDFF"/>
          </w:tcPr>
          <w:p>
            <w:pPr>
              <w:spacing w:after="0"/>
              <w:rPr>
                <w:sz w:val="18"/>
                <w:szCs w:val="18"/>
                <w:color w:val="auto"/>
              </w:rPr>
            </w:pPr>
          </w:p>
        </w:tc>
        <w:tc>
          <w:tcPr>
            <w:tcW w:w="220" w:type="dxa"/>
            <w:vAlign w:val="bottom"/>
            <w:shd w:val="clear" w:color="auto" w:fill="CCEDFF"/>
          </w:tcPr>
          <w:p>
            <w:pPr>
              <w:spacing w:after="0"/>
              <w:rPr>
                <w:sz w:val="18"/>
                <w:szCs w:val="18"/>
                <w:color w:val="auto"/>
              </w:rPr>
            </w:pPr>
          </w:p>
        </w:tc>
        <w:tc>
          <w:tcPr>
            <w:tcW w:w="1120" w:type="dxa"/>
            <w:vAlign w:val="bottom"/>
            <w:shd w:val="clear" w:color="auto" w:fill="CCEDFF"/>
          </w:tcPr>
          <w:p>
            <w:pPr>
              <w:spacing w:after="0"/>
              <w:rPr>
                <w:sz w:val="18"/>
                <w:szCs w:val="18"/>
                <w:color w:val="auto"/>
              </w:rPr>
            </w:pPr>
          </w:p>
        </w:tc>
        <w:tc>
          <w:tcPr>
            <w:tcW w:w="100" w:type="dxa"/>
            <w:vAlign w:val="bottom"/>
            <w:shd w:val="clear" w:color="auto" w:fill="CCEDFF"/>
          </w:tcPr>
          <w:p>
            <w:pPr>
              <w:spacing w:after="0"/>
              <w:rPr>
                <w:sz w:val="18"/>
                <w:szCs w:val="18"/>
                <w:color w:val="auto"/>
              </w:rPr>
            </w:pPr>
          </w:p>
        </w:tc>
        <w:tc>
          <w:tcPr>
            <w:tcW w:w="180" w:type="dxa"/>
            <w:vAlign w:val="bottom"/>
            <w:shd w:val="clear" w:color="auto" w:fill="CCEDFF"/>
          </w:tcPr>
          <w:p>
            <w:pPr>
              <w:spacing w:after="0"/>
              <w:rPr>
                <w:sz w:val="18"/>
                <w:szCs w:val="18"/>
                <w:color w:val="auto"/>
              </w:rPr>
            </w:pPr>
          </w:p>
        </w:tc>
        <w:tc>
          <w:tcPr>
            <w:tcW w:w="116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Oil and gas production</w:t>
            </w:r>
          </w:p>
        </w:tc>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708,902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131,501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577,401</w:t>
            </w:r>
          </w:p>
        </w:tc>
        <w:tc>
          <w:tcPr>
            <w:tcW w:w="0" w:type="dxa"/>
            <w:vAlign w:val="bottom"/>
          </w:tcPr>
          <w:p>
            <w:pPr>
              <w:spacing w:after="0"/>
              <w:rPr>
                <w:sz w:val="1"/>
                <w:szCs w:val="1"/>
                <w:color w:val="auto"/>
              </w:rPr>
            </w:pPr>
          </w:p>
        </w:tc>
      </w:tr>
      <w:tr>
        <w:trPr>
          <w:trHeight w:val="216"/>
        </w:trPr>
        <w:tc>
          <w:tcPr>
            <w:tcW w:w="336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Exploration expenses</w:t>
            </w:r>
          </w:p>
        </w:tc>
        <w:tc>
          <w:tcPr>
            <w:tcW w:w="362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223,616</w:t>
            </w:r>
          </w:p>
        </w:tc>
        <w:tc>
          <w:tcPr>
            <w:tcW w:w="100" w:type="dxa"/>
            <w:vAlign w:val="bottom"/>
            <w:shd w:val="clear" w:color="auto" w:fill="CCEDFF"/>
          </w:tcPr>
          <w:p>
            <w:pPr>
              <w:spacing w:after="0"/>
              <w:rPr>
                <w:sz w:val="18"/>
                <w:szCs w:val="18"/>
                <w:color w:val="auto"/>
              </w:rPr>
            </w:pPr>
          </w:p>
        </w:tc>
        <w:tc>
          <w:tcPr>
            <w:tcW w:w="220" w:type="dxa"/>
            <w:vAlign w:val="bottom"/>
            <w:shd w:val="clear" w:color="auto" w:fill="CCEDFF"/>
          </w:tcPr>
          <w:p>
            <w:pPr>
              <w:spacing w:after="0"/>
              <w:rPr>
                <w:sz w:val="18"/>
                <w:szCs w:val="18"/>
                <w:color w:val="auto"/>
              </w:rPr>
            </w:pPr>
          </w:p>
        </w:tc>
        <w:tc>
          <w:tcPr>
            <w:tcW w:w="112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DFF"/>
          </w:tcPr>
          <w:p>
            <w:pPr>
              <w:spacing w:after="0"/>
              <w:rPr>
                <w:sz w:val="18"/>
                <w:szCs w:val="18"/>
                <w:color w:val="auto"/>
              </w:rPr>
            </w:pPr>
          </w:p>
        </w:tc>
        <w:tc>
          <w:tcPr>
            <w:tcW w:w="180" w:type="dxa"/>
            <w:vAlign w:val="bottom"/>
            <w:shd w:val="clear" w:color="auto" w:fill="CCEDFF"/>
          </w:tcPr>
          <w:p>
            <w:pPr>
              <w:spacing w:after="0"/>
              <w:rPr>
                <w:sz w:val="18"/>
                <w:szCs w:val="18"/>
                <w:color w:val="auto"/>
              </w:rPr>
            </w:pP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223,295</w:t>
            </w:r>
          </w:p>
        </w:tc>
        <w:tc>
          <w:tcPr>
            <w:tcW w:w="0" w:type="dxa"/>
            <w:vAlign w:val="bottom"/>
          </w:tcPr>
          <w:p>
            <w:pPr>
              <w:spacing w:after="0"/>
              <w:rPr>
                <w:sz w:val="1"/>
                <w:szCs w:val="1"/>
                <w:color w:val="auto"/>
              </w:rPr>
            </w:pPr>
          </w:p>
        </w:tc>
      </w:tr>
      <w:tr>
        <w:trPr>
          <w:trHeight w:val="216"/>
        </w:trPr>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76,120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73,462</w:t>
            </w:r>
          </w:p>
        </w:tc>
        <w:tc>
          <w:tcPr>
            <w:tcW w:w="0" w:type="dxa"/>
            <w:vAlign w:val="bottom"/>
          </w:tcPr>
          <w:p>
            <w:pPr>
              <w:spacing w:after="0"/>
              <w:rPr>
                <w:sz w:val="1"/>
                <w:szCs w:val="1"/>
                <w:color w:val="auto"/>
              </w:rPr>
            </w:pPr>
          </w:p>
        </w:tc>
      </w:tr>
      <w:tr>
        <w:trPr>
          <w:trHeight w:val="216"/>
        </w:trPr>
        <w:tc>
          <w:tcPr>
            <w:tcW w:w="336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362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556,774</w:t>
            </w:r>
          </w:p>
        </w:tc>
        <w:tc>
          <w:tcPr>
            <w:tcW w:w="100" w:type="dxa"/>
            <w:vAlign w:val="bottom"/>
            <w:shd w:val="clear" w:color="auto" w:fill="CCEDFF"/>
          </w:tcPr>
          <w:p>
            <w:pPr>
              <w:spacing w:after="0"/>
              <w:rPr>
                <w:sz w:val="18"/>
                <w:szCs w:val="18"/>
                <w:color w:val="auto"/>
              </w:rPr>
            </w:pPr>
          </w:p>
        </w:tc>
        <w:tc>
          <w:tcPr>
            <w:tcW w:w="220" w:type="dxa"/>
            <w:vAlign w:val="bottom"/>
            <w:shd w:val="clear" w:color="auto" w:fill="CCEDFF"/>
          </w:tcPr>
          <w:p>
            <w:pPr>
              <w:spacing w:after="0"/>
              <w:rPr>
                <w:sz w:val="18"/>
                <w:szCs w:val="18"/>
                <w:color w:val="auto"/>
              </w:rPr>
            </w:pPr>
          </w:p>
        </w:tc>
        <w:tc>
          <w:tcPr>
            <w:tcW w:w="112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78,818</w:t>
            </w:r>
          </w:p>
        </w:tc>
        <w:tc>
          <w:tcPr>
            <w:tcW w:w="100" w:type="dxa"/>
            <w:vAlign w:val="bottom"/>
            <w:shd w:val="clear" w:color="auto" w:fill="CCEDFF"/>
          </w:tcPr>
          <w:p>
            <w:pPr>
              <w:spacing w:after="0"/>
              <w:rPr>
                <w:sz w:val="18"/>
                <w:szCs w:val="18"/>
                <w:color w:val="auto"/>
              </w:rPr>
            </w:pPr>
          </w:p>
        </w:tc>
        <w:tc>
          <w:tcPr>
            <w:tcW w:w="180" w:type="dxa"/>
            <w:vAlign w:val="bottom"/>
            <w:shd w:val="clear" w:color="auto" w:fill="CCEDFF"/>
          </w:tcPr>
          <w:p>
            <w:pPr>
              <w:spacing w:after="0"/>
              <w:rPr>
                <w:sz w:val="18"/>
                <w:szCs w:val="18"/>
                <w:color w:val="auto"/>
              </w:rPr>
            </w:pP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477,956</w:t>
            </w:r>
          </w:p>
        </w:tc>
        <w:tc>
          <w:tcPr>
            <w:tcW w:w="0" w:type="dxa"/>
            <w:vAlign w:val="bottom"/>
          </w:tcPr>
          <w:p>
            <w:pPr>
              <w:spacing w:after="0"/>
              <w:rPr>
                <w:sz w:val="1"/>
                <w:szCs w:val="1"/>
                <w:color w:val="auto"/>
              </w:rPr>
            </w:pPr>
          </w:p>
        </w:tc>
      </w:tr>
      <w:tr>
        <w:trPr>
          <w:trHeight w:val="216"/>
        </w:trPr>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177,563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177,563</w:t>
            </w:r>
          </w:p>
        </w:tc>
        <w:tc>
          <w:tcPr>
            <w:tcW w:w="0" w:type="dxa"/>
            <w:vAlign w:val="bottom"/>
          </w:tcPr>
          <w:p>
            <w:pPr>
              <w:spacing w:after="0"/>
              <w:rPr>
                <w:sz w:val="1"/>
                <w:szCs w:val="1"/>
                <w:color w:val="auto"/>
              </w:rPr>
            </w:pPr>
          </w:p>
        </w:tc>
      </w:tr>
      <w:tr>
        <w:trPr>
          <w:trHeight w:val="216"/>
        </w:trPr>
        <w:tc>
          <w:tcPr>
            <w:tcW w:w="336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362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223,430</w:t>
            </w:r>
          </w:p>
        </w:tc>
        <w:tc>
          <w:tcPr>
            <w:tcW w:w="100" w:type="dxa"/>
            <w:vAlign w:val="bottom"/>
            <w:shd w:val="clear" w:color="auto" w:fill="CCEDFF"/>
          </w:tcPr>
          <w:p>
            <w:pPr>
              <w:spacing w:after="0"/>
              <w:rPr>
                <w:sz w:val="18"/>
                <w:szCs w:val="18"/>
                <w:color w:val="auto"/>
              </w:rPr>
            </w:pPr>
          </w:p>
        </w:tc>
        <w:tc>
          <w:tcPr>
            <w:tcW w:w="220" w:type="dxa"/>
            <w:vAlign w:val="bottom"/>
            <w:shd w:val="clear" w:color="auto" w:fill="CCEDFF"/>
          </w:tcPr>
          <w:p>
            <w:pPr>
              <w:spacing w:after="0"/>
              <w:rPr>
                <w:sz w:val="18"/>
                <w:szCs w:val="18"/>
                <w:color w:val="auto"/>
              </w:rPr>
            </w:pPr>
          </w:p>
        </w:tc>
        <w:tc>
          <w:tcPr>
            <w:tcW w:w="1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DFF"/>
          </w:tcPr>
          <w:p>
            <w:pPr>
              <w:spacing w:after="0"/>
              <w:rPr>
                <w:sz w:val="18"/>
                <w:szCs w:val="18"/>
                <w:color w:val="auto"/>
              </w:rPr>
            </w:pPr>
          </w:p>
        </w:tc>
        <w:tc>
          <w:tcPr>
            <w:tcW w:w="180" w:type="dxa"/>
            <w:vAlign w:val="bottom"/>
            <w:shd w:val="clear" w:color="auto" w:fill="CCEDFF"/>
          </w:tcPr>
          <w:p>
            <w:pPr>
              <w:spacing w:after="0"/>
              <w:rPr>
                <w:sz w:val="18"/>
                <w:szCs w:val="18"/>
                <w:color w:val="auto"/>
              </w:rPr>
            </w:pP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223,625</w:t>
            </w:r>
          </w:p>
        </w:tc>
        <w:tc>
          <w:tcPr>
            <w:tcW w:w="0" w:type="dxa"/>
            <w:vAlign w:val="bottom"/>
          </w:tcPr>
          <w:p>
            <w:pPr>
              <w:spacing w:after="0"/>
              <w:rPr>
                <w:sz w:val="1"/>
                <w:szCs w:val="1"/>
                <w:color w:val="auto"/>
              </w:rPr>
            </w:pPr>
          </w:p>
        </w:tc>
      </w:tr>
      <w:tr>
        <w:trPr>
          <w:trHeight w:val="216"/>
        </w:trPr>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Derivatives, net</w:t>
            </w:r>
          </w:p>
        </w:tc>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(33,494)</w:t>
            </w:r>
          </w:p>
        </w:tc>
        <w:tc>
          <w:tcPr>
            <w:tcW w:w="0" w:type="dxa"/>
            <w:vAlign w:val="bottom"/>
          </w:tcPr>
          <w:p>
            <w:pPr>
              <w:spacing w:after="0"/>
              <w:rPr>
                <w:sz w:val="1"/>
                <w:szCs w:val="1"/>
                <w:color w:val="auto"/>
              </w:rPr>
            </w:pPr>
          </w:p>
        </w:tc>
      </w:tr>
      <w:tr>
        <w:trPr>
          <w:trHeight w:val="229"/>
        </w:trPr>
        <w:tc>
          <w:tcPr>
            <w:tcW w:w="336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Other expenses, net</w:t>
            </w:r>
          </w:p>
        </w:tc>
        <w:tc>
          <w:tcPr>
            <w:tcW w:w="3620" w:type="dxa"/>
            <w:vAlign w:val="bottom"/>
            <w:shd w:val="clear" w:color="auto" w:fill="CCEDFF"/>
          </w:tcPr>
          <w:p>
            <w:pPr>
              <w:spacing w:after="0"/>
              <w:rPr>
                <w:sz w:val="19"/>
                <w:szCs w:val="19"/>
                <w:color w:val="auto"/>
              </w:rPr>
            </w:pPr>
          </w:p>
        </w:tc>
        <w:tc>
          <w:tcPr>
            <w:tcW w:w="200" w:type="dxa"/>
            <w:vAlign w:val="bottom"/>
            <w:tcBorders>
              <w:bottom w:val="single" w:sz="8" w:color="auto"/>
            </w:tcBorders>
            <w:shd w:val="clear" w:color="auto" w:fill="CCEDFF"/>
          </w:tcPr>
          <w:p>
            <w:pPr>
              <w:spacing w:after="0"/>
              <w:rPr>
                <w:sz w:val="19"/>
                <w:szCs w:val="19"/>
                <w:color w:val="auto"/>
              </w:rPr>
            </w:pPr>
          </w:p>
        </w:tc>
        <w:tc>
          <w:tcPr>
            <w:tcW w:w="118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13,491</w:t>
            </w:r>
          </w:p>
        </w:tc>
        <w:tc>
          <w:tcPr>
            <w:tcW w:w="10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1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8,023</w:t>
            </w:r>
          </w:p>
        </w:tc>
        <w:tc>
          <w:tcPr>
            <w:tcW w:w="100" w:type="dxa"/>
            <w:vAlign w:val="bottom"/>
            <w:shd w:val="clear" w:color="auto" w:fill="CCEDFF"/>
          </w:tcPr>
          <w:p>
            <w:pPr>
              <w:spacing w:after="0"/>
              <w:rPr>
                <w:sz w:val="19"/>
                <w:szCs w:val="19"/>
                <w:color w:val="auto"/>
              </w:rPr>
            </w:pPr>
          </w:p>
        </w:tc>
        <w:tc>
          <w:tcPr>
            <w:tcW w:w="180" w:type="dxa"/>
            <w:vAlign w:val="bottom"/>
            <w:tcBorders>
              <w:bottom w:val="single" w:sz="8" w:color="auto"/>
            </w:tcBorders>
            <w:shd w:val="clear" w:color="auto" w:fill="CCEDFF"/>
          </w:tcPr>
          <w:p>
            <w:pPr>
              <w:spacing w:after="0"/>
              <w:rPr>
                <w:sz w:val="19"/>
                <w:szCs w:val="19"/>
                <w:color w:val="auto"/>
              </w:rPr>
            </w:pPr>
          </w:p>
        </w:tc>
        <w:tc>
          <w:tcPr>
            <w:tcW w:w="1160" w:type="dxa"/>
            <w:vAlign w:val="bottom"/>
            <w:tcBorders>
              <w:bottom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5,468</w:t>
            </w:r>
          </w:p>
        </w:tc>
        <w:tc>
          <w:tcPr>
            <w:tcW w:w="0" w:type="dxa"/>
            <w:vAlign w:val="bottom"/>
          </w:tcPr>
          <w:p>
            <w:pPr>
              <w:spacing w:after="0"/>
              <w:rPr>
                <w:sz w:val="1"/>
                <w:szCs w:val="1"/>
                <w:color w:val="auto"/>
              </w:rPr>
            </w:pPr>
          </w:p>
        </w:tc>
      </w:tr>
      <w:tr>
        <w:trPr>
          <w:trHeight w:val="209"/>
        </w:trPr>
        <w:tc>
          <w:tcPr>
            <w:tcW w:w="3360" w:type="dxa"/>
            <w:vAlign w:val="bottom"/>
            <w:tcBorders>
              <w:bottom w:val="single" w:sz="8" w:color="CCEDFF"/>
            </w:tcBorders>
          </w:tcPr>
          <w:p>
            <w:pPr>
              <w:ind w:left="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20" w:type="dxa"/>
            <w:vAlign w:val="bottom"/>
            <w:tcBorders>
              <w:bottom w:val="single" w:sz="8" w:color="CCED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1,926,231</w:t>
            </w:r>
          </w:p>
        </w:tc>
        <w:tc>
          <w:tcPr>
            <w:tcW w:w="100" w:type="dxa"/>
            <w:vAlign w:val="bottom"/>
            <w:tcBorders>
              <w:bottom w:val="single" w:sz="8" w:color="CCED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200,955</w:t>
            </w:r>
          </w:p>
        </w:tc>
        <w:tc>
          <w:tcPr>
            <w:tcW w:w="100" w:type="dxa"/>
            <w:vAlign w:val="bottom"/>
            <w:tcBorders>
              <w:bottom w:val="single" w:sz="8" w:color="CCED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1,725,276</w:t>
            </w:r>
          </w:p>
        </w:tc>
        <w:tc>
          <w:tcPr>
            <w:tcW w:w="0" w:type="dxa"/>
            <w:vAlign w:val="bottom"/>
          </w:tcPr>
          <w:p>
            <w:pPr>
              <w:spacing w:after="0"/>
              <w:rPr>
                <w:sz w:val="1"/>
                <w:szCs w:val="1"/>
                <w:color w:val="auto"/>
              </w:rPr>
            </w:pPr>
          </w:p>
        </w:tc>
      </w:tr>
      <w:tr>
        <w:trPr>
          <w:trHeight w:val="210"/>
        </w:trPr>
        <w:tc>
          <w:tcPr>
            <w:tcW w:w="336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2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(634,581)</w:t>
            </w:r>
          </w:p>
        </w:tc>
        <w:tc>
          <w:tcPr>
            <w:tcW w:w="100" w:type="dxa"/>
            <w:vAlign w:val="bottom"/>
            <w:shd w:val="clear" w:color="auto" w:fill="CCEDFF"/>
          </w:tcPr>
          <w:p>
            <w:pPr>
              <w:spacing w:after="0"/>
              <w:rPr>
                <w:sz w:val="18"/>
                <w:szCs w:val="18"/>
                <w:color w:val="auto"/>
              </w:rPr>
            </w:pPr>
          </w:p>
        </w:tc>
        <w:tc>
          <w:tcPr>
            <w:tcW w:w="220" w:type="dxa"/>
            <w:vAlign w:val="bottom"/>
            <w:shd w:val="clear" w:color="auto" w:fill="CCEDFF"/>
          </w:tcPr>
          <w:p>
            <w:pPr>
              <w:spacing w:after="0"/>
              <w:rPr>
                <w:sz w:val="18"/>
                <w:szCs w:val="18"/>
                <w:color w:val="auto"/>
              </w:rPr>
            </w:pPr>
          </w:p>
        </w:tc>
        <w:tc>
          <w:tcPr>
            <w:tcW w:w="1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(35,837)</w:t>
            </w:r>
          </w:p>
        </w:tc>
        <w:tc>
          <w:tcPr>
            <w:tcW w:w="100" w:type="dxa"/>
            <w:vAlign w:val="bottom"/>
            <w:shd w:val="clear" w:color="auto" w:fill="CCEDFF"/>
          </w:tcPr>
          <w:p>
            <w:pPr>
              <w:spacing w:after="0"/>
              <w:rPr>
                <w:sz w:val="18"/>
                <w:szCs w:val="18"/>
                <w:color w:val="auto"/>
              </w:rPr>
            </w:pPr>
          </w:p>
        </w:tc>
        <w:tc>
          <w:tcPr>
            <w:tcW w:w="180" w:type="dxa"/>
            <w:vAlign w:val="bottom"/>
            <w:shd w:val="clear" w:color="auto" w:fill="CCEDFF"/>
          </w:tcPr>
          <w:p>
            <w:pPr>
              <w:spacing w:after="0"/>
              <w:rPr>
                <w:sz w:val="18"/>
                <w:szCs w:val="18"/>
                <w:color w:val="auto"/>
              </w:rPr>
            </w:pP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(598,744)</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DFF"/>
            </w:tcBorders>
          </w:tcPr>
          <w:p>
            <w:pPr>
              <w:ind w:left="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20" w:type="dxa"/>
            <w:vAlign w:val="bottom"/>
            <w:tcBorders>
              <w:bottom w:val="single" w:sz="8" w:color="CCED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65,205</w:t>
            </w:r>
          </w:p>
        </w:tc>
        <w:tc>
          <w:tcPr>
            <w:tcW w:w="10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100" w:type="dxa"/>
            <w:vAlign w:val="bottom"/>
            <w:tcBorders>
              <w:bottom w:val="single" w:sz="8" w:color="CCED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77,065</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620" w:type="dxa"/>
            <w:vAlign w:val="bottom"/>
            <w:tcBorders>
              <w:bottom w:val="single" w:sz="8" w:color="CCEDFF"/>
            </w:tcBorders>
            <w:shd w:val="clear" w:color="auto" w:fill="CCEDFF"/>
          </w:tcPr>
          <w:p>
            <w:pPr>
              <w:spacing w:after="0"/>
              <w:rPr>
                <w:sz w:val="19"/>
                <w:szCs w:val="19"/>
                <w:color w:val="auto"/>
              </w:rPr>
            </w:pPr>
          </w:p>
        </w:tc>
        <w:tc>
          <w:tcPr>
            <w:tcW w:w="200" w:type="dxa"/>
            <w:vAlign w:val="bottom"/>
            <w:tcBorders>
              <w:bottom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(699,786)</w:t>
            </w:r>
          </w:p>
        </w:tc>
        <w:tc>
          <w:tcPr>
            <w:tcW w:w="100" w:type="dxa"/>
            <w:vAlign w:val="bottom"/>
            <w:tcBorders>
              <w:bottom w:val="single" w:sz="8" w:color="CCEDFF"/>
            </w:tcBorders>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(23,977)</w:t>
            </w:r>
          </w:p>
        </w:tc>
        <w:tc>
          <w:tcPr>
            <w:tcW w:w="100" w:type="dxa"/>
            <w:vAlign w:val="bottom"/>
            <w:tcBorders>
              <w:bottom w:val="single" w:sz="8" w:color="CCEDFF"/>
            </w:tcBorders>
            <w:shd w:val="clear" w:color="auto" w:fill="CCEDFF"/>
          </w:tcPr>
          <w:p>
            <w:pPr>
              <w:spacing w:after="0"/>
              <w:rPr>
                <w:sz w:val="19"/>
                <w:szCs w:val="19"/>
                <w:color w:val="auto"/>
              </w:rPr>
            </w:pPr>
          </w:p>
        </w:tc>
        <w:tc>
          <w:tcPr>
            <w:tcW w:w="1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(675,809)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Net loss per share:</w:t>
            </w:r>
          </w:p>
        </w:tc>
        <w:tc>
          <w:tcPr>
            <w:tcW w:w="362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spacing w:after="0"/>
              <w:rPr>
                <w:sz w:val="18"/>
                <w:szCs w:val="18"/>
                <w:color w:val="auto"/>
              </w:rPr>
            </w:pPr>
          </w:p>
        </w:tc>
        <w:tc>
          <w:tcPr>
            <w:tcW w:w="100" w:type="dxa"/>
            <w:vAlign w:val="bottom"/>
            <w:shd w:val="clear" w:color="auto" w:fill="CCEDFF"/>
          </w:tcPr>
          <w:p>
            <w:pPr>
              <w:spacing w:after="0"/>
              <w:rPr>
                <w:sz w:val="18"/>
                <w:szCs w:val="18"/>
                <w:color w:val="auto"/>
              </w:rPr>
            </w:pPr>
          </w:p>
        </w:tc>
        <w:tc>
          <w:tcPr>
            <w:tcW w:w="220" w:type="dxa"/>
            <w:vAlign w:val="bottom"/>
            <w:shd w:val="clear" w:color="auto" w:fill="CCEDFF"/>
          </w:tcPr>
          <w:p>
            <w:pPr>
              <w:spacing w:after="0"/>
              <w:rPr>
                <w:sz w:val="18"/>
                <w:szCs w:val="18"/>
                <w:color w:val="auto"/>
              </w:rPr>
            </w:pPr>
          </w:p>
        </w:tc>
        <w:tc>
          <w:tcPr>
            <w:tcW w:w="1120" w:type="dxa"/>
            <w:vAlign w:val="bottom"/>
            <w:shd w:val="clear" w:color="auto" w:fill="CCEDFF"/>
          </w:tcPr>
          <w:p>
            <w:pPr>
              <w:spacing w:after="0"/>
              <w:rPr>
                <w:sz w:val="18"/>
                <w:szCs w:val="18"/>
                <w:color w:val="auto"/>
              </w:rPr>
            </w:pPr>
          </w:p>
        </w:tc>
        <w:tc>
          <w:tcPr>
            <w:tcW w:w="100" w:type="dxa"/>
            <w:vAlign w:val="bottom"/>
            <w:shd w:val="clear" w:color="auto" w:fill="CCEDFF"/>
          </w:tcPr>
          <w:p>
            <w:pPr>
              <w:spacing w:after="0"/>
              <w:rPr>
                <w:sz w:val="18"/>
                <w:szCs w:val="18"/>
                <w:color w:val="auto"/>
              </w:rPr>
            </w:pPr>
          </w:p>
        </w:tc>
        <w:tc>
          <w:tcPr>
            <w:tcW w:w="180" w:type="dxa"/>
            <w:vAlign w:val="bottom"/>
            <w:shd w:val="clear" w:color="auto" w:fill="CCEDFF"/>
          </w:tcPr>
          <w:p>
            <w:pPr>
              <w:spacing w:after="0"/>
              <w:rPr>
                <w:sz w:val="18"/>
                <w:szCs w:val="18"/>
                <w:color w:val="auto"/>
              </w:rPr>
            </w:pPr>
          </w:p>
        </w:tc>
        <w:tc>
          <w:tcPr>
            <w:tcW w:w="116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3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197"/>
        </w:trPr>
        <w:tc>
          <w:tcPr>
            <w:tcW w:w="3360" w:type="dxa"/>
            <w:vAlign w:val="bottom"/>
            <w:tcBorders>
              <w:top w:val="single" w:sz="8" w:color="CCEDFF"/>
              <w:bottom w:val="single" w:sz="8" w:color="CCEDFF"/>
            </w:tcBorders>
            <w:shd w:val="clear" w:color="auto" w:fill="CCEDFF"/>
          </w:tcPr>
          <w:p>
            <w:pPr>
              <w:ind w:left="4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3620" w:type="dxa"/>
            <w:vAlign w:val="bottom"/>
            <w:tcBorders>
              <w:top w:val="single" w:sz="8" w:color="CCEDFF"/>
              <w:bottom w:val="single" w:sz="8" w:color="CCEDFF"/>
            </w:tcBorders>
            <w:shd w:val="clear" w:color="auto" w:fill="CCEDFF"/>
          </w:tcPr>
          <w:p>
            <w:pPr>
              <w:spacing w:after="0"/>
              <w:rPr>
                <w:sz w:val="17"/>
                <w:szCs w:val="17"/>
                <w:color w:val="auto"/>
              </w:rPr>
            </w:pPr>
          </w:p>
        </w:tc>
        <w:tc>
          <w:tcPr>
            <w:tcW w:w="200" w:type="dxa"/>
            <w:vAlign w:val="bottom"/>
            <w:tcBorders>
              <w:top w:val="single" w:sz="8" w:color="auto"/>
              <w:bottom w:val="single" w:sz="8" w:color="auto"/>
            </w:tcBorders>
            <w:shd w:val="clear" w:color="auto" w:fill="CCED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D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top w:val="single" w:sz="8" w:color="CCEDFF"/>
              <w:bottom w:val="single" w:sz="8" w:color="CCEDFF"/>
            </w:tcBorders>
            <w:shd w:val="clear" w:color="auto" w:fill="CCEDFF"/>
          </w:tcPr>
          <w:p>
            <w:pPr>
              <w:spacing w:after="0"/>
              <w:rPr>
                <w:sz w:val="17"/>
                <w:szCs w:val="17"/>
                <w:color w:val="auto"/>
              </w:rPr>
            </w:pPr>
          </w:p>
        </w:tc>
        <w:tc>
          <w:tcPr>
            <w:tcW w:w="220" w:type="dxa"/>
            <w:vAlign w:val="bottom"/>
            <w:tcBorders>
              <w:top w:val="single" w:sz="8" w:color="CCEDFF"/>
              <w:bottom w:val="single" w:sz="8" w:color="CCEDFF"/>
            </w:tcBorders>
            <w:shd w:val="clear" w:color="auto" w:fill="CCEDFF"/>
          </w:tcPr>
          <w:p>
            <w:pPr>
              <w:spacing w:after="0"/>
              <w:rPr>
                <w:sz w:val="17"/>
                <w:szCs w:val="17"/>
                <w:color w:val="auto"/>
              </w:rPr>
            </w:pPr>
          </w:p>
        </w:tc>
        <w:tc>
          <w:tcPr>
            <w:tcW w:w="1120" w:type="dxa"/>
            <w:vAlign w:val="bottom"/>
            <w:tcBorders>
              <w:top w:val="single" w:sz="8" w:color="CCEDFF"/>
              <w:bottom w:val="single" w:sz="8" w:color="CCEDFF"/>
            </w:tcBorders>
            <w:shd w:val="clear" w:color="auto" w:fill="CCEDFF"/>
          </w:tcPr>
          <w:p>
            <w:pPr>
              <w:spacing w:after="0"/>
              <w:rPr>
                <w:sz w:val="17"/>
                <w:szCs w:val="17"/>
                <w:color w:val="auto"/>
              </w:rPr>
            </w:pPr>
          </w:p>
        </w:tc>
        <w:tc>
          <w:tcPr>
            <w:tcW w:w="100" w:type="dxa"/>
            <w:vAlign w:val="bottom"/>
            <w:tcBorders>
              <w:top w:val="single" w:sz="8" w:color="CCEDFF"/>
              <w:bottom w:val="single" w:sz="8" w:color="CCEDFF"/>
            </w:tcBorders>
            <w:shd w:val="clear" w:color="auto" w:fill="CCEDFF"/>
          </w:tcPr>
          <w:p>
            <w:pPr>
              <w:spacing w:after="0"/>
              <w:rPr>
                <w:sz w:val="17"/>
                <w:szCs w:val="17"/>
                <w:color w:val="auto"/>
              </w:rPr>
            </w:pPr>
          </w:p>
        </w:tc>
        <w:tc>
          <w:tcPr>
            <w:tcW w:w="180" w:type="dxa"/>
            <w:vAlign w:val="bottom"/>
            <w:tcBorders>
              <w:top w:val="single" w:sz="8" w:color="auto"/>
              <w:bottom w:val="single" w:sz="8" w:color="auto"/>
            </w:tcBorders>
            <w:shd w:val="clear" w:color="auto" w:fill="CCED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D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468"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Weighted average number of shares used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 net loss per share: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Basic</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477,591</w:t>
            </w:r>
          </w:p>
        </w:tc>
        <w:tc>
          <w:tcPr>
            <w:tcW w:w="1540" w:type="dxa"/>
            <w:vAlign w:val="bottom"/>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477,591</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138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477,591</w:t>
            </w:r>
          </w:p>
        </w:tc>
        <w:tc>
          <w:tcPr>
            <w:tcW w:w="1540" w:type="dxa"/>
            <w:vAlign w:val="bottom"/>
          </w:tcPr>
          <w:p>
            <w:pPr>
              <w:spacing w:after="0"/>
              <w:rPr>
                <w:sz w:val="17"/>
                <w:szCs w:val="17"/>
                <w:color w:val="auto"/>
              </w:rPr>
            </w:pPr>
          </w:p>
        </w:tc>
        <w:tc>
          <w:tcPr>
            <w:tcW w:w="13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477,591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-599440</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-161925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468"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516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KOSMOS ENERGY LTD. AND SUBSIDIARIES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6"/>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UNAUDITED PRO FORMA CONDENSED STATEMENT OF OPERATIONS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516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398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Kosmos</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Disposition</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10"/>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 and other income:</w:t>
            </w:r>
          </w:p>
        </w:tc>
        <w:tc>
          <w:tcPr>
            <w:tcW w:w="3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Adjustments (B)</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196"/>
        </w:trPr>
        <w:tc>
          <w:tcPr>
            <w:tcW w:w="3200" w:type="dxa"/>
            <w:vAlign w:val="bottom"/>
            <w:vMerge w:val="continue"/>
          </w:tcPr>
          <w:p>
            <w:pPr>
              <w:spacing w:after="0"/>
              <w:rPr>
                <w:sz w:val="17"/>
                <w:szCs w:val="17"/>
                <w:color w:val="auto"/>
              </w:rPr>
            </w:pPr>
          </w:p>
        </w:tc>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Oil and gas revenue</w:t>
            </w:r>
          </w:p>
        </w:tc>
        <w:tc>
          <w:tcPr>
            <w:tcW w:w="3980" w:type="dxa"/>
            <w:vAlign w:val="bottom"/>
            <w:gridSpan w:val="2"/>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370,728</w:t>
            </w:r>
          </w:p>
        </w:tc>
        <w:tc>
          <w:tcPr>
            <w:tcW w:w="320" w:type="dxa"/>
            <w:vAlign w:val="bottom"/>
            <w:gridSpan w:val="2"/>
            <w:shd w:val="clear" w:color="auto" w:fill="CCED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22,395</w:t>
            </w:r>
          </w:p>
        </w:tc>
        <w:tc>
          <w:tcPr>
            <w:tcW w:w="2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348,333</w:t>
            </w: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 on sale of assets</w:t>
            </w: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780" w:type="dxa"/>
            <w:vAlign w:val="bottom"/>
            <w:shd w:val="clear" w:color="auto" w:fill="CCEDFF"/>
          </w:tcPr>
          <w:p>
            <w:pPr>
              <w:spacing w:after="0"/>
              <w:rPr>
                <w:sz w:val="19"/>
                <w:szCs w:val="19"/>
                <w:color w:val="auto"/>
              </w:rPr>
            </w:pPr>
          </w:p>
        </w:tc>
        <w:tc>
          <w:tcPr>
            <w:tcW w:w="200" w:type="dxa"/>
            <w:vAlign w:val="bottom"/>
            <w:tcBorders>
              <w:bottom w:val="single" w:sz="8" w:color="auto"/>
            </w:tcBorders>
            <w:shd w:val="clear" w:color="auto" w:fill="CCEDFF"/>
          </w:tcPr>
          <w:p>
            <w:pPr>
              <w:spacing w:after="0"/>
              <w:rPr>
                <w:sz w:val="19"/>
                <w:szCs w:val="19"/>
                <w:color w:val="auto"/>
              </w:rPr>
            </w:pPr>
          </w:p>
        </w:tc>
        <w:tc>
          <w:tcPr>
            <w:tcW w:w="118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1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DFF"/>
          </w:tcPr>
          <w:p>
            <w:pPr>
              <w:spacing w:after="0"/>
              <w:rPr>
                <w:sz w:val="19"/>
                <w:szCs w:val="19"/>
                <w:color w:val="auto"/>
              </w:rPr>
            </w:pPr>
          </w:p>
        </w:tc>
        <w:tc>
          <w:tcPr>
            <w:tcW w:w="180" w:type="dxa"/>
            <w:vAlign w:val="bottom"/>
            <w:tcBorders>
              <w:bottom w:val="single" w:sz="8" w:color="auto"/>
            </w:tcBorders>
            <w:shd w:val="clear" w:color="auto" w:fill="CCEDFF"/>
          </w:tcPr>
          <w:p>
            <w:pPr>
              <w:spacing w:after="0"/>
              <w:rPr>
                <w:sz w:val="19"/>
                <w:szCs w:val="19"/>
                <w:color w:val="auto"/>
              </w:rPr>
            </w:pPr>
          </w:p>
        </w:tc>
        <w:tc>
          <w:tcPr>
            <w:tcW w:w="1160" w:type="dxa"/>
            <w:vAlign w:val="bottom"/>
            <w:tcBorders>
              <w:bottom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9"/>
        </w:trPr>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revenues and other income</w:t>
            </w: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370,897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348,502</w:t>
            </w:r>
          </w:p>
        </w:tc>
        <w:tc>
          <w:tcPr>
            <w:tcW w:w="0" w:type="dxa"/>
            <w:vAlign w:val="bottom"/>
          </w:tcPr>
          <w:p>
            <w:pPr>
              <w:spacing w:after="0"/>
              <w:rPr>
                <w:sz w:val="1"/>
                <w:szCs w:val="1"/>
                <w:color w:val="auto"/>
              </w:rPr>
            </w:pPr>
          </w:p>
        </w:tc>
      </w:tr>
      <w:tr>
        <w:trPr>
          <w:trHeight w:val="216"/>
        </w:trPr>
        <w:tc>
          <w:tcPr>
            <w:tcW w:w="32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378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spacing w:after="0"/>
              <w:rPr>
                <w:sz w:val="18"/>
                <w:szCs w:val="18"/>
                <w:color w:val="auto"/>
              </w:rPr>
            </w:pPr>
          </w:p>
        </w:tc>
        <w:tc>
          <w:tcPr>
            <w:tcW w:w="100" w:type="dxa"/>
            <w:vAlign w:val="bottom"/>
            <w:shd w:val="clear" w:color="auto" w:fill="CCEDFF"/>
          </w:tcPr>
          <w:p>
            <w:pPr>
              <w:spacing w:after="0"/>
              <w:rPr>
                <w:sz w:val="18"/>
                <w:szCs w:val="18"/>
                <w:color w:val="auto"/>
              </w:rPr>
            </w:pPr>
          </w:p>
        </w:tc>
        <w:tc>
          <w:tcPr>
            <w:tcW w:w="220" w:type="dxa"/>
            <w:vAlign w:val="bottom"/>
            <w:shd w:val="clear" w:color="auto" w:fill="CCEDFF"/>
          </w:tcPr>
          <w:p>
            <w:pPr>
              <w:spacing w:after="0"/>
              <w:rPr>
                <w:sz w:val="18"/>
                <w:szCs w:val="18"/>
                <w:color w:val="auto"/>
              </w:rPr>
            </w:pPr>
          </w:p>
        </w:tc>
        <w:tc>
          <w:tcPr>
            <w:tcW w:w="1120" w:type="dxa"/>
            <w:vAlign w:val="bottom"/>
            <w:shd w:val="clear" w:color="auto" w:fill="CCEDFF"/>
          </w:tcPr>
          <w:p>
            <w:pPr>
              <w:spacing w:after="0"/>
              <w:rPr>
                <w:sz w:val="18"/>
                <w:szCs w:val="18"/>
                <w:color w:val="auto"/>
              </w:rPr>
            </w:pPr>
          </w:p>
        </w:tc>
        <w:tc>
          <w:tcPr>
            <w:tcW w:w="100" w:type="dxa"/>
            <w:vAlign w:val="bottom"/>
            <w:shd w:val="clear" w:color="auto" w:fill="CCEDFF"/>
          </w:tcPr>
          <w:p>
            <w:pPr>
              <w:spacing w:after="0"/>
              <w:rPr>
                <w:sz w:val="18"/>
                <w:szCs w:val="18"/>
                <w:color w:val="auto"/>
              </w:rPr>
            </w:pPr>
          </w:p>
        </w:tc>
        <w:tc>
          <w:tcPr>
            <w:tcW w:w="180" w:type="dxa"/>
            <w:vAlign w:val="bottom"/>
            <w:shd w:val="clear" w:color="auto" w:fill="CCEDFF"/>
          </w:tcPr>
          <w:p>
            <w:pPr>
              <w:spacing w:after="0"/>
              <w:rPr>
                <w:sz w:val="18"/>
                <w:szCs w:val="18"/>
                <w:color w:val="auto"/>
              </w:rPr>
            </w:pPr>
          </w:p>
        </w:tc>
        <w:tc>
          <w:tcPr>
            <w:tcW w:w="1160" w:type="dxa"/>
            <w:vAlign w:val="bottom"/>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Oil and gas production</w:t>
            </w: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130,595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115,742</w:t>
            </w:r>
          </w:p>
        </w:tc>
        <w:tc>
          <w:tcPr>
            <w:tcW w:w="0" w:type="dxa"/>
            <w:vAlign w:val="bottom"/>
          </w:tcPr>
          <w:p>
            <w:pPr>
              <w:spacing w:after="0"/>
              <w:rPr>
                <w:sz w:val="1"/>
                <w:szCs w:val="1"/>
                <w:color w:val="auto"/>
              </w:rPr>
            </w:pPr>
          </w:p>
        </w:tc>
      </w:tr>
      <w:tr>
        <w:trPr>
          <w:trHeight w:val="216"/>
        </w:trPr>
        <w:tc>
          <w:tcPr>
            <w:tcW w:w="32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Exploration expenses</w:t>
            </w:r>
          </w:p>
        </w:tc>
        <w:tc>
          <w:tcPr>
            <w:tcW w:w="378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19,744</w:t>
            </w:r>
          </w:p>
        </w:tc>
        <w:tc>
          <w:tcPr>
            <w:tcW w:w="100" w:type="dxa"/>
            <w:vAlign w:val="bottom"/>
            <w:shd w:val="clear" w:color="auto" w:fill="CCEDFF"/>
          </w:tcPr>
          <w:p>
            <w:pPr>
              <w:spacing w:after="0"/>
              <w:rPr>
                <w:sz w:val="18"/>
                <w:szCs w:val="18"/>
                <w:color w:val="auto"/>
              </w:rPr>
            </w:pPr>
          </w:p>
        </w:tc>
        <w:tc>
          <w:tcPr>
            <w:tcW w:w="220" w:type="dxa"/>
            <w:vAlign w:val="bottom"/>
            <w:shd w:val="clear" w:color="auto" w:fill="CCEDFF"/>
          </w:tcPr>
          <w:p>
            <w:pPr>
              <w:spacing w:after="0"/>
              <w:rPr>
                <w:sz w:val="18"/>
                <w:szCs w:val="18"/>
                <w:color w:val="auto"/>
              </w:rPr>
            </w:pPr>
          </w:p>
        </w:tc>
        <w:tc>
          <w:tcPr>
            <w:tcW w:w="112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DFF"/>
          </w:tcPr>
          <w:p>
            <w:pPr>
              <w:spacing w:after="0"/>
              <w:rPr>
                <w:sz w:val="18"/>
                <w:szCs w:val="18"/>
                <w:color w:val="auto"/>
              </w:rPr>
            </w:pPr>
          </w:p>
        </w:tc>
        <w:tc>
          <w:tcPr>
            <w:tcW w:w="180" w:type="dxa"/>
            <w:vAlign w:val="bottom"/>
            <w:shd w:val="clear" w:color="auto" w:fill="CCEDFF"/>
          </w:tcPr>
          <w:p>
            <w:pPr>
              <w:spacing w:after="0"/>
              <w:rPr>
                <w:sz w:val="18"/>
                <w:szCs w:val="18"/>
                <w:color w:val="auto"/>
              </w:rPr>
            </w:pP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19,744</w:t>
            </w: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26,895</w:t>
            </w:r>
          </w:p>
        </w:tc>
        <w:tc>
          <w:tcPr>
            <w:tcW w:w="0" w:type="dxa"/>
            <w:vAlign w:val="bottom"/>
          </w:tcPr>
          <w:p>
            <w:pPr>
              <w:spacing w:after="0"/>
              <w:rPr>
                <w:sz w:val="1"/>
                <w:szCs w:val="1"/>
                <w:color w:val="auto"/>
              </w:rPr>
            </w:pPr>
          </w:p>
        </w:tc>
      </w:tr>
      <w:tr>
        <w:trPr>
          <w:trHeight w:val="216"/>
        </w:trPr>
        <w:tc>
          <w:tcPr>
            <w:tcW w:w="32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378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119,873</w:t>
            </w:r>
          </w:p>
        </w:tc>
        <w:tc>
          <w:tcPr>
            <w:tcW w:w="100" w:type="dxa"/>
            <w:vAlign w:val="bottom"/>
            <w:shd w:val="clear" w:color="auto" w:fill="CCEDFF"/>
          </w:tcPr>
          <w:p>
            <w:pPr>
              <w:spacing w:after="0"/>
              <w:rPr>
                <w:sz w:val="18"/>
                <w:szCs w:val="18"/>
                <w:color w:val="auto"/>
              </w:rPr>
            </w:pPr>
          </w:p>
        </w:tc>
        <w:tc>
          <w:tcPr>
            <w:tcW w:w="220" w:type="dxa"/>
            <w:vAlign w:val="bottom"/>
            <w:shd w:val="clear" w:color="auto" w:fill="CCEDFF"/>
          </w:tcPr>
          <w:p>
            <w:pPr>
              <w:spacing w:after="0"/>
              <w:rPr>
                <w:sz w:val="18"/>
                <w:szCs w:val="18"/>
                <w:color w:val="auto"/>
              </w:rPr>
            </w:pPr>
          </w:p>
        </w:tc>
        <w:tc>
          <w:tcPr>
            <w:tcW w:w="112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shd w:val="clear" w:color="auto" w:fill="CCEDFF"/>
          </w:tcPr>
          <w:p>
            <w:pPr>
              <w:spacing w:after="0"/>
              <w:rPr>
                <w:sz w:val="18"/>
                <w:szCs w:val="18"/>
                <w:color w:val="auto"/>
              </w:rPr>
            </w:pPr>
          </w:p>
        </w:tc>
        <w:tc>
          <w:tcPr>
            <w:tcW w:w="180" w:type="dxa"/>
            <w:vAlign w:val="bottom"/>
            <w:shd w:val="clear" w:color="auto" w:fill="CCEDFF"/>
          </w:tcPr>
          <w:p>
            <w:pPr>
              <w:spacing w:after="0"/>
              <w:rPr>
                <w:sz w:val="18"/>
                <w:szCs w:val="18"/>
                <w:color w:val="auto"/>
              </w:rPr>
            </w:pP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115,755</w:t>
            </w: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58,836</w:t>
            </w:r>
          </w:p>
        </w:tc>
        <w:tc>
          <w:tcPr>
            <w:tcW w:w="0" w:type="dxa"/>
            <w:vAlign w:val="bottom"/>
          </w:tcPr>
          <w:p>
            <w:pPr>
              <w:spacing w:after="0"/>
              <w:rPr>
                <w:sz w:val="1"/>
                <w:szCs w:val="1"/>
                <w:color w:val="auto"/>
              </w:rPr>
            </w:pPr>
          </w:p>
        </w:tc>
      </w:tr>
      <w:tr>
        <w:trPr>
          <w:trHeight w:val="216"/>
        </w:trPr>
        <w:tc>
          <w:tcPr>
            <w:tcW w:w="32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Derivatives, net</w:t>
            </w:r>
          </w:p>
        </w:tc>
        <w:tc>
          <w:tcPr>
            <w:tcW w:w="378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251,996</w:t>
            </w:r>
          </w:p>
        </w:tc>
        <w:tc>
          <w:tcPr>
            <w:tcW w:w="100" w:type="dxa"/>
            <w:vAlign w:val="bottom"/>
            <w:shd w:val="clear" w:color="auto" w:fill="CCEDFF"/>
          </w:tcPr>
          <w:p>
            <w:pPr>
              <w:spacing w:after="0"/>
              <w:rPr>
                <w:sz w:val="18"/>
                <w:szCs w:val="18"/>
                <w:color w:val="auto"/>
              </w:rPr>
            </w:pPr>
          </w:p>
        </w:tc>
        <w:tc>
          <w:tcPr>
            <w:tcW w:w="220" w:type="dxa"/>
            <w:vAlign w:val="bottom"/>
            <w:shd w:val="clear" w:color="auto" w:fill="CCEDFF"/>
          </w:tcPr>
          <w:p>
            <w:pPr>
              <w:spacing w:after="0"/>
              <w:rPr>
                <w:sz w:val="18"/>
                <w:szCs w:val="18"/>
                <w:color w:val="auto"/>
              </w:rPr>
            </w:pPr>
          </w:p>
        </w:tc>
        <w:tc>
          <w:tcPr>
            <w:tcW w:w="112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68,051</w:t>
            </w:r>
          </w:p>
        </w:tc>
        <w:tc>
          <w:tcPr>
            <w:tcW w:w="100" w:type="dxa"/>
            <w:vAlign w:val="bottom"/>
            <w:shd w:val="clear" w:color="auto" w:fill="CCEDFF"/>
          </w:tcPr>
          <w:p>
            <w:pPr>
              <w:spacing w:after="0"/>
              <w:rPr>
                <w:sz w:val="18"/>
                <w:szCs w:val="18"/>
                <w:color w:val="auto"/>
              </w:rPr>
            </w:pPr>
          </w:p>
        </w:tc>
        <w:tc>
          <w:tcPr>
            <w:tcW w:w="180" w:type="dxa"/>
            <w:vAlign w:val="bottom"/>
            <w:shd w:val="clear" w:color="auto" w:fill="CCEDFF"/>
          </w:tcPr>
          <w:p>
            <w:pPr>
              <w:spacing w:after="0"/>
              <w:rPr>
                <w:sz w:val="18"/>
                <w:szCs w:val="18"/>
                <w:color w:val="auto"/>
              </w:rPr>
            </w:pPr>
          </w:p>
        </w:tc>
        <w:tc>
          <w:tcPr>
            <w:tcW w:w="116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183,945</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DFF"/>
            </w:tcBorders>
          </w:tcPr>
          <w:p>
            <w:pPr>
              <w:ind w:left="60"/>
              <w:spacing w:after="0"/>
              <w:rPr>
                <w:sz w:val="20"/>
                <w:szCs w:val="20"/>
                <w:color w:val="auto"/>
              </w:rPr>
            </w:pPr>
            <w:r>
              <w:rPr>
                <w:rFonts w:ascii="Times New Roman" w:cs="Times New Roman" w:eastAsia="Times New Roman" w:hAnsi="Times New Roman"/>
                <w:sz w:val="18"/>
                <w:szCs w:val="18"/>
                <w:color w:val="auto"/>
              </w:rPr>
              <w:t>Other expenses, net</w:t>
            </w:r>
          </w:p>
        </w:tc>
        <w:tc>
          <w:tcPr>
            <w:tcW w:w="3780" w:type="dxa"/>
            <w:vAlign w:val="bottom"/>
            <w:tcBorders>
              <w:bottom w:val="single" w:sz="8" w:color="CCED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D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3,240</w:t>
            </w:r>
          </w:p>
        </w:tc>
        <w:tc>
          <w:tcPr>
            <w:tcW w:w="0" w:type="dxa"/>
            <w:vAlign w:val="bottom"/>
          </w:tcPr>
          <w:p>
            <w:pPr>
              <w:spacing w:after="0"/>
              <w:rPr>
                <w:sz w:val="1"/>
                <w:szCs w:val="1"/>
                <w:color w:val="auto"/>
              </w:rPr>
            </w:pPr>
          </w:p>
        </w:tc>
      </w:tr>
      <w:tr>
        <w:trPr>
          <w:trHeight w:val="209"/>
        </w:trPr>
        <w:tc>
          <w:tcPr>
            <w:tcW w:w="32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780" w:type="dxa"/>
            <w:vAlign w:val="bottom"/>
            <w:shd w:val="clear" w:color="auto" w:fill="CCEDFF"/>
          </w:tcPr>
          <w:p>
            <w:pPr>
              <w:spacing w:after="0"/>
              <w:rPr>
                <w:sz w:val="18"/>
                <w:szCs w:val="18"/>
                <w:color w:val="auto"/>
              </w:rPr>
            </w:pPr>
          </w:p>
        </w:tc>
        <w:tc>
          <w:tcPr>
            <w:tcW w:w="200" w:type="dxa"/>
            <w:vAlign w:val="bottom"/>
            <w:tcBorders>
              <w:bottom w:val="single" w:sz="8" w:color="auto"/>
            </w:tcBorders>
            <w:shd w:val="clear" w:color="auto" w:fill="CCEDFF"/>
          </w:tcPr>
          <w:p>
            <w:pPr>
              <w:spacing w:after="0"/>
              <w:rPr>
                <w:sz w:val="18"/>
                <w:szCs w:val="18"/>
                <w:color w:val="auto"/>
              </w:rPr>
            </w:pPr>
          </w:p>
        </w:tc>
        <w:tc>
          <w:tcPr>
            <w:tcW w:w="118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611,984</w:t>
            </w:r>
          </w:p>
        </w:tc>
        <w:tc>
          <w:tcPr>
            <w:tcW w:w="100" w:type="dxa"/>
            <w:vAlign w:val="bottom"/>
            <w:shd w:val="clear" w:color="auto" w:fill="CCEDFF"/>
          </w:tcPr>
          <w:p>
            <w:pPr>
              <w:spacing w:after="0"/>
              <w:rPr>
                <w:sz w:val="18"/>
                <w:szCs w:val="18"/>
                <w:color w:val="auto"/>
              </w:rPr>
            </w:pPr>
          </w:p>
        </w:tc>
        <w:tc>
          <w:tcPr>
            <w:tcW w:w="220" w:type="dxa"/>
            <w:vAlign w:val="bottom"/>
            <w:tcBorders>
              <w:bottom w:val="single" w:sz="8" w:color="auto"/>
            </w:tcBorders>
            <w:shd w:val="clear" w:color="auto" w:fill="CCEDFF"/>
          </w:tcPr>
          <w:p>
            <w:pPr>
              <w:spacing w:after="0"/>
              <w:rPr>
                <w:sz w:val="18"/>
                <w:szCs w:val="18"/>
                <w:color w:val="auto"/>
              </w:rPr>
            </w:pPr>
          </w:p>
        </w:tc>
        <w:tc>
          <w:tcPr>
            <w:tcW w:w="11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87,827</w:t>
            </w:r>
          </w:p>
        </w:tc>
        <w:tc>
          <w:tcPr>
            <w:tcW w:w="100" w:type="dxa"/>
            <w:vAlign w:val="bottom"/>
            <w:shd w:val="clear" w:color="auto" w:fill="CCEDFF"/>
          </w:tcPr>
          <w:p>
            <w:pPr>
              <w:spacing w:after="0"/>
              <w:rPr>
                <w:sz w:val="18"/>
                <w:szCs w:val="18"/>
                <w:color w:val="auto"/>
              </w:rPr>
            </w:pPr>
          </w:p>
        </w:tc>
        <w:tc>
          <w:tcPr>
            <w:tcW w:w="180" w:type="dxa"/>
            <w:vAlign w:val="bottom"/>
            <w:tcBorders>
              <w:bottom w:val="single" w:sz="8" w:color="auto"/>
            </w:tcBorders>
            <w:shd w:val="clear" w:color="auto" w:fill="CCEDFF"/>
          </w:tcPr>
          <w:p>
            <w:pPr>
              <w:spacing w:after="0"/>
              <w:rPr>
                <w:sz w:val="18"/>
                <w:szCs w:val="18"/>
                <w:color w:val="auto"/>
              </w:rPr>
            </w:pPr>
          </w:p>
        </w:tc>
        <w:tc>
          <w:tcPr>
            <w:tcW w:w="1160" w:type="dxa"/>
            <w:vAlign w:val="bottom"/>
            <w:tcBorders>
              <w:bottom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524,157</w:t>
            </w:r>
          </w:p>
        </w:tc>
        <w:tc>
          <w:tcPr>
            <w:tcW w:w="0" w:type="dxa"/>
            <w:vAlign w:val="bottom"/>
          </w:tcPr>
          <w:p>
            <w:pPr>
              <w:spacing w:after="0"/>
              <w:rPr>
                <w:sz w:val="1"/>
                <w:szCs w:val="1"/>
                <w:color w:val="auto"/>
              </w:rPr>
            </w:pPr>
          </w:p>
        </w:tc>
      </w:tr>
      <w:tr>
        <w:trPr>
          <w:trHeight w:val="210"/>
        </w:trPr>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(175,655)</w:t>
            </w:r>
          </w:p>
        </w:tc>
        <w:tc>
          <w:tcPr>
            <w:tcW w:w="0" w:type="dxa"/>
            <w:vAlign w:val="bottom"/>
          </w:tcPr>
          <w:p>
            <w:pPr>
              <w:spacing w:after="0"/>
              <w:rPr>
                <w:sz w:val="1"/>
                <w:szCs w:val="1"/>
                <w:color w:val="auto"/>
              </w:rPr>
            </w:pPr>
          </w:p>
        </w:tc>
      </w:tr>
      <w:tr>
        <w:trPr>
          <w:trHeight w:val="229"/>
        </w:trPr>
        <w:tc>
          <w:tcPr>
            <w:tcW w:w="32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780" w:type="dxa"/>
            <w:vAlign w:val="bottom"/>
            <w:shd w:val="clear" w:color="auto" w:fill="CCEDFF"/>
          </w:tcPr>
          <w:p>
            <w:pPr>
              <w:spacing w:after="0"/>
              <w:rPr>
                <w:sz w:val="19"/>
                <w:szCs w:val="19"/>
                <w:color w:val="auto"/>
              </w:rPr>
            </w:pPr>
          </w:p>
        </w:tc>
        <w:tc>
          <w:tcPr>
            <w:tcW w:w="200" w:type="dxa"/>
            <w:vAlign w:val="bottom"/>
            <w:tcBorders>
              <w:bottom w:val="single" w:sz="8" w:color="auto"/>
            </w:tcBorders>
            <w:shd w:val="clear" w:color="auto" w:fill="CCEDFF"/>
          </w:tcPr>
          <w:p>
            <w:pPr>
              <w:spacing w:after="0"/>
              <w:rPr>
                <w:sz w:val="19"/>
                <w:szCs w:val="19"/>
                <w:color w:val="auto"/>
              </w:rPr>
            </w:pPr>
          </w:p>
        </w:tc>
        <w:tc>
          <w:tcPr>
            <w:tcW w:w="11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(15,513)</w:t>
            </w:r>
          </w:p>
        </w:tc>
        <w:tc>
          <w:tcPr>
            <w:tcW w:w="10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1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DFF"/>
          </w:tcPr>
          <w:p>
            <w:pPr>
              <w:spacing w:after="0"/>
              <w:rPr>
                <w:sz w:val="19"/>
                <w:szCs w:val="19"/>
                <w:color w:val="auto"/>
              </w:rPr>
            </w:pPr>
          </w:p>
        </w:tc>
        <w:tc>
          <w:tcPr>
            <w:tcW w:w="180" w:type="dxa"/>
            <w:vAlign w:val="bottom"/>
            <w:tcBorders>
              <w:bottom w:val="single" w:sz="8" w:color="auto"/>
            </w:tcBorders>
            <w:shd w:val="clear" w:color="auto" w:fill="CCEDFF"/>
          </w:tcPr>
          <w:p>
            <w:pPr>
              <w:spacing w:after="0"/>
              <w:rPr>
                <w:sz w:val="19"/>
                <w:szCs w:val="19"/>
                <w:color w:val="auto"/>
              </w:rPr>
            </w:pPr>
          </w:p>
        </w:tc>
        <w:tc>
          <w:tcPr>
            <w:tcW w:w="1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(16,163)</w:t>
            </w:r>
          </w:p>
        </w:tc>
        <w:tc>
          <w:tcPr>
            <w:tcW w:w="0" w:type="dxa"/>
            <w:vAlign w:val="bottom"/>
          </w:tcPr>
          <w:p>
            <w:pPr>
              <w:spacing w:after="0"/>
              <w:rPr>
                <w:sz w:val="1"/>
                <w:szCs w:val="1"/>
                <w:color w:val="auto"/>
              </w:rPr>
            </w:pPr>
          </w:p>
        </w:tc>
      </w:tr>
      <w:tr>
        <w:trPr>
          <w:trHeight w:val="263"/>
        </w:trPr>
        <w:tc>
          <w:tcPr>
            <w:tcW w:w="3200" w:type="dxa"/>
            <w:vAlign w:val="bottom"/>
            <w:tcBorders>
              <w:bottom w:val="single" w:sz="8" w:color="CCEDFF"/>
            </w:tcBorders>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3780" w:type="dxa"/>
            <w:vAlign w:val="bottom"/>
            <w:tcBorders>
              <w:bottom w:val="single" w:sz="8" w:color="CCED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(225,574)</w:t>
            </w:r>
          </w:p>
        </w:tc>
        <w:tc>
          <w:tcPr>
            <w:tcW w:w="100" w:type="dxa"/>
            <w:vAlign w:val="bottom"/>
            <w:tcBorders>
              <w:bottom w:val="single" w:sz="8" w:color="CCEDFF"/>
            </w:tcBorders>
          </w:tcPr>
          <w:p>
            <w:pPr>
              <w:spacing w:after="0"/>
              <w:rPr>
                <w:sz w:val="22"/>
                <w:szCs w:val="22"/>
                <w:color w:val="auto"/>
              </w:rPr>
            </w:pP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(66,083)</w:t>
            </w:r>
          </w:p>
        </w:tc>
        <w:tc>
          <w:tcPr>
            <w:tcW w:w="100" w:type="dxa"/>
            <w:vAlign w:val="bottom"/>
            <w:tcBorders>
              <w:bottom w:val="single" w:sz="8" w:color="CCED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(159,491)</w:t>
            </w:r>
          </w:p>
        </w:tc>
        <w:tc>
          <w:tcPr>
            <w:tcW w:w="0" w:type="dxa"/>
            <w:vAlign w:val="bottom"/>
          </w:tcPr>
          <w:p>
            <w:pPr>
              <w:spacing w:after="0"/>
              <w:rPr>
                <w:sz w:val="1"/>
                <w:szCs w:val="1"/>
                <w:color w:val="auto"/>
              </w:rPr>
            </w:pPr>
          </w:p>
        </w:tc>
      </w:tr>
      <w:tr>
        <w:trPr>
          <w:trHeight w:val="196"/>
        </w:trPr>
        <w:tc>
          <w:tcPr>
            <w:tcW w:w="3200" w:type="dxa"/>
            <w:vAlign w:val="bottom"/>
            <w:shd w:val="clear" w:color="auto" w:fill="CCEDFF"/>
          </w:tcPr>
          <w:p>
            <w:pPr>
              <w:spacing w:after="0"/>
              <w:rPr>
                <w:sz w:val="17"/>
                <w:szCs w:val="17"/>
                <w:color w:val="auto"/>
              </w:rPr>
            </w:pPr>
          </w:p>
        </w:tc>
        <w:tc>
          <w:tcPr>
            <w:tcW w:w="3780" w:type="dxa"/>
            <w:vAlign w:val="bottom"/>
            <w:shd w:val="clear" w:color="auto" w:fill="CCEDFF"/>
          </w:tcPr>
          <w:p>
            <w:pPr>
              <w:spacing w:after="0"/>
              <w:rPr>
                <w:sz w:val="17"/>
                <w:szCs w:val="17"/>
                <w:color w:val="auto"/>
              </w:rPr>
            </w:pPr>
          </w:p>
        </w:tc>
        <w:tc>
          <w:tcPr>
            <w:tcW w:w="200" w:type="dxa"/>
            <w:vAlign w:val="bottom"/>
            <w:shd w:val="clear" w:color="auto" w:fill="CCEDFF"/>
          </w:tcPr>
          <w:p>
            <w:pPr>
              <w:spacing w:after="0"/>
              <w:rPr>
                <w:sz w:val="17"/>
                <w:szCs w:val="17"/>
                <w:color w:val="auto"/>
              </w:rPr>
            </w:pPr>
          </w:p>
        </w:tc>
        <w:tc>
          <w:tcPr>
            <w:tcW w:w="118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220" w:type="dxa"/>
            <w:vAlign w:val="bottom"/>
            <w:shd w:val="clear" w:color="auto" w:fill="CCEDFF"/>
          </w:tcPr>
          <w:p>
            <w:pPr>
              <w:spacing w:after="0"/>
              <w:rPr>
                <w:sz w:val="17"/>
                <w:szCs w:val="17"/>
                <w:color w:val="auto"/>
              </w:rPr>
            </w:pPr>
          </w:p>
        </w:tc>
        <w:tc>
          <w:tcPr>
            <w:tcW w:w="112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1160" w:type="dxa"/>
            <w:vAlign w:val="bottom"/>
            <w:shd w:val="clear" w:color="auto" w:fill="CCED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 per share:</w:t>
            </w: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3980" w:type="dxa"/>
            <w:vAlign w:val="bottom"/>
            <w:gridSpan w:val="2"/>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shd w:val="clear" w:color="auto" w:fill="CCEDFF"/>
          </w:tcPr>
          <w:p>
            <w:pPr>
              <w:spacing w:after="0"/>
              <w:rPr>
                <w:sz w:val="21"/>
                <w:szCs w:val="21"/>
                <w:color w:val="auto"/>
              </w:rPr>
            </w:pPr>
          </w:p>
        </w:tc>
        <w:tc>
          <w:tcPr>
            <w:tcW w:w="220" w:type="dxa"/>
            <w:vAlign w:val="bottom"/>
            <w:shd w:val="clear" w:color="auto" w:fill="CCEDFF"/>
          </w:tcPr>
          <w:p>
            <w:pPr>
              <w:spacing w:after="0"/>
              <w:rPr>
                <w:sz w:val="21"/>
                <w:szCs w:val="21"/>
                <w:color w:val="auto"/>
              </w:rPr>
            </w:pPr>
          </w:p>
        </w:tc>
        <w:tc>
          <w:tcPr>
            <w:tcW w:w="1120" w:type="dxa"/>
            <w:vAlign w:val="bottom"/>
            <w:shd w:val="clear" w:color="auto" w:fill="CCEDFF"/>
          </w:tcPr>
          <w:p>
            <w:pPr>
              <w:spacing w:after="0"/>
              <w:rPr>
                <w:sz w:val="21"/>
                <w:szCs w:val="21"/>
                <w:color w:val="auto"/>
              </w:rPr>
            </w:pPr>
          </w:p>
        </w:tc>
        <w:tc>
          <w:tcPr>
            <w:tcW w:w="2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3200" w:type="dxa"/>
            <w:vAlign w:val="bottom"/>
            <w:tcBorders>
              <w:top w:val="single" w:sz="8" w:color="CCEDFF"/>
              <w:bottom w:val="single" w:sz="8" w:color="CCED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3780" w:type="dxa"/>
            <w:vAlign w:val="bottom"/>
            <w:tcBorders>
              <w:top w:val="single" w:sz="8" w:color="CCEDFF"/>
              <w:bottom w:val="single" w:sz="8" w:color="CCED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tcBorders>
          </w:tcPr>
          <w:p>
            <w:pPr>
              <w:spacing w:after="0" w:line="20" w:lineRule="exact"/>
              <w:rPr>
                <w:sz w:val="1"/>
                <w:szCs w:val="1"/>
                <w:color w:val="auto"/>
              </w:rPr>
            </w:pPr>
          </w:p>
        </w:tc>
        <w:tc>
          <w:tcPr>
            <w:tcW w:w="1120" w:type="dxa"/>
            <w:vAlign w:val="bottom"/>
            <w:tcBorders>
              <w:top w:val="single" w:sz="8" w:color="CCEDFF"/>
            </w:tcBorders>
          </w:tcPr>
          <w:p>
            <w:pPr>
              <w:spacing w:after="0" w:line="20" w:lineRule="exact"/>
              <w:rPr>
                <w:sz w:val="1"/>
                <w:szCs w:val="1"/>
                <w:color w:val="auto"/>
              </w:rPr>
            </w:pPr>
          </w:p>
        </w:tc>
        <w:tc>
          <w:tcPr>
            <w:tcW w:w="100" w:type="dxa"/>
            <w:vAlign w:val="bottom"/>
            <w:tcBorders>
              <w:top w:val="single" w:sz="8" w:color="CCEDFF"/>
              <w:bottom w:val="single" w:sz="8" w:color="CCED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tcBorders>
              <w:bottom w:val="single" w:sz="8" w:color="CCEDFF"/>
            </w:tcBorders>
            <w:vMerge w:val="continue"/>
          </w:tcPr>
          <w:p>
            <w:pPr>
              <w:spacing w:after="0"/>
              <w:rPr>
                <w:sz w:val="20"/>
                <w:szCs w:val="20"/>
                <w:color w:val="auto"/>
              </w:rPr>
            </w:pPr>
          </w:p>
        </w:tc>
        <w:tc>
          <w:tcPr>
            <w:tcW w:w="3780" w:type="dxa"/>
            <w:vAlign w:val="bottom"/>
            <w:tcBorders>
              <w:bottom w:val="single" w:sz="8" w:color="CCED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(0.45)</w:t>
            </w:r>
          </w:p>
        </w:tc>
        <w:tc>
          <w:tcPr>
            <w:tcW w:w="100" w:type="dxa"/>
            <w:vAlign w:val="bottom"/>
            <w:tcBorders>
              <w:bottom w:val="single" w:sz="8" w:color="CCEDFF"/>
            </w:tcBorders>
          </w:tcPr>
          <w:p>
            <w:pPr>
              <w:spacing w:after="0"/>
              <w:rPr>
                <w:sz w:val="20"/>
                <w:szCs w:val="20"/>
                <w:color w:val="auto"/>
              </w:rPr>
            </w:pPr>
          </w:p>
        </w:tc>
        <w:tc>
          <w:tcPr>
            <w:tcW w:w="220" w:type="dxa"/>
            <w:vAlign w:val="bottom"/>
            <w:tcBorders>
              <w:bottom w:val="single" w:sz="8" w:color="CCEDFF"/>
            </w:tcBorders>
          </w:tcPr>
          <w:p>
            <w:pPr>
              <w:spacing w:after="0"/>
              <w:rPr>
                <w:sz w:val="20"/>
                <w:szCs w:val="20"/>
                <w:color w:val="auto"/>
              </w:rPr>
            </w:pPr>
          </w:p>
        </w:tc>
        <w:tc>
          <w:tcPr>
            <w:tcW w:w="1120" w:type="dxa"/>
            <w:vAlign w:val="bottom"/>
            <w:tcBorders>
              <w:bottom w:val="single" w:sz="8" w:color="CCEDFF"/>
            </w:tcBorders>
          </w:tcPr>
          <w:p>
            <w:pPr>
              <w:spacing w:after="0"/>
              <w:rPr>
                <w:sz w:val="20"/>
                <w:szCs w:val="20"/>
                <w:color w:val="auto"/>
              </w:rPr>
            </w:pPr>
          </w:p>
        </w:tc>
        <w:tc>
          <w:tcPr>
            <w:tcW w:w="100" w:type="dxa"/>
            <w:vAlign w:val="bottom"/>
            <w:tcBorders>
              <w:bottom w:val="single" w:sz="8" w:color="CCED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196"/>
        </w:trPr>
        <w:tc>
          <w:tcPr>
            <w:tcW w:w="3200" w:type="dxa"/>
            <w:vAlign w:val="bottom"/>
            <w:shd w:val="clear" w:color="auto" w:fill="CCEDFF"/>
          </w:tcPr>
          <w:p>
            <w:pPr>
              <w:spacing w:after="0"/>
              <w:rPr>
                <w:sz w:val="17"/>
                <w:szCs w:val="17"/>
                <w:color w:val="auto"/>
              </w:rPr>
            </w:pPr>
          </w:p>
        </w:tc>
        <w:tc>
          <w:tcPr>
            <w:tcW w:w="3780" w:type="dxa"/>
            <w:vAlign w:val="bottom"/>
            <w:shd w:val="clear" w:color="auto" w:fill="CCEDFF"/>
          </w:tcPr>
          <w:p>
            <w:pPr>
              <w:spacing w:after="0"/>
              <w:rPr>
                <w:sz w:val="17"/>
                <w:szCs w:val="17"/>
                <w:color w:val="auto"/>
              </w:rPr>
            </w:pPr>
          </w:p>
        </w:tc>
        <w:tc>
          <w:tcPr>
            <w:tcW w:w="200" w:type="dxa"/>
            <w:vAlign w:val="bottom"/>
            <w:shd w:val="clear" w:color="auto" w:fill="CCEDFF"/>
          </w:tcPr>
          <w:p>
            <w:pPr>
              <w:spacing w:after="0"/>
              <w:rPr>
                <w:sz w:val="17"/>
                <w:szCs w:val="17"/>
                <w:color w:val="auto"/>
              </w:rPr>
            </w:pPr>
          </w:p>
        </w:tc>
        <w:tc>
          <w:tcPr>
            <w:tcW w:w="118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220" w:type="dxa"/>
            <w:vAlign w:val="bottom"/>
            <w:shd w:val="clear" w:color="auto" w:fill="CCEDFF"/>
          </w:tcPr>
          <w:p>
            <w:pPr>
              <w:spacing w:after="0"/>
              <w:rPr>
                <w:sz w:val="17"/>
                <w:szCs w:val="17"/>
                <w:color w:val="auto"/>
              </w:rPr>
            </w:pPr>
          </w:p>
        </w:tc>
        <w:tc>
          <w:tcPr>
            <w:tcW w:w="112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1160" w:type="dxa"/>
            <w:vAlign w:val="bottom"/>
            <w:shd w:val="clear" w:color="auto" w:fill="CCED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Weighted average number of shares used to compute net loss per share: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37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auto"/>
            </w:tcBorders>
            <w:shd w:val="clear" w:color="auto" w:fill="CCEDFF"/>
          </w:tcPr>
          <w:p>
            <w:pPr>
              <w:spacing w:after="0"/>
              <w:rPr>
                <w:sz w:val="21"/>
                <w:szCs w:val="21"/>
                <w:color w:val="auto"/>
              </w:rPr>
            </w:pPr>
          </w:p>
        </w:tc>
        <w:tc>
          <w:tcPr>
            <w:tcW w:w="118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506,198</w:t>
            </w:r>
          </w:p>
        </w:tc>
        <w:tc>
          <w:tcPr>
            <w:tcW w:w="10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CCEDFF"/>
            </w:tcBorders>
            <w:shd w:val="clear" w:color="auto" w:fill="CCEDFF"/>
          </w:tcPr>
          <w:p>
            <w:pPr>
              <w:spacing w:after="0"/>
              <w:rPr>
                <w:sz w:val="21"/>
                <w:szCs w:val="21"/>
                <w:color w:val="auto"/>
              </w:rPr>
            </w:pPr>
          </w:p>
        </w:tc>
        <w:tc>
          <w:tcPr>
            <w:tcW w:w="1120" w:type="dxa"/>
            <w:vAlign w:val="bottom"/>
            <w:tcBorders>
              <w:bottom w:val="single" w:sz="8" w:color="CCEDFF"/>
            </w:tcBorders>
            <w:shd w:val="clear" w:color="auto" w:fill="CCEDFF"/>
          </w:tcPr>
          <w:p>
            <w:pPr>
              <w:spacing w:after="0"/>
              <w:rPr>
                <w:sz w:val="21"/>
                <w:szCs w:val="21"/>
                <w:color w:val="auto"/>
              </w:rPr>
            </w:pPr>
          </w:p>
        </w:tc>
        <w:tc>
          <w:tcPr>
            <w:tcW w:w="100" w:type="dxa"/>
            <w:vAlign w:val="bottom"/>
            <w:tcBorders>
              <w:bottom w:val="single" w:sz="8" w:color="CCEDFF"/>
            </w:tcBorders>
            <w:shd w:val="clear" w:color="auto" w:fill="CCEDFF"/>
          </w:tcPr>
          <w:p>
            <w:pPr>
              <w:spacing w:after="0"/>
              <w:rPr>
                <w:sz w:val="21"/>
                <w:szCs w:val="21"/>
                <w:color w:val="auto"/>
              </w:rPr>
            </w:pPr>
          </w:p>
        </w:tc>
        <w:tc>
          <w:tcPr>
            <w:tcW w:w="180" w:type="dxa"/>
            <w:vAlign w:val="bottom"/>
            <w:tcBorders>
              <w:bottom w:val="single" w:sz="8" w:color="auto"/>
            </w:tcBorders>
            <w:shd w:val="clear" w:color="auto" w:fill="CCEDFF"/>
          </w:tcPr>
          <w:p>
            <w:pPr>
              <w:spacing w:after="0"/>
              <w:rPr>
                <w:sz w:val="21"/>
                <w:szCs w:val="21"/>
                <w:color w:val="auto"/>
              </w:rPr>
            </w:pPr>
          </w:p>
        </w:tc>
        <w:tc>
          <w:tcPr>
            <w:tcW w:w="1160" w:type="dxa"/>
            <w:vAlign w:val="bottom"/>
            <w:tcBorders>
              <w:bottom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506,198</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vMerge w:val="continue"/>
          </w:tcPr>
          <w:p>
            <w:pPr>
              <w:spacing w:after="0"/>
              <w:rPr>
                <w:sz w:val="17"/>
                <w:szCs w:val="17"/>
                <w:color w:val="auto"/>
              </w:rPr>
            </w:pPr>
          </w:p>
        </w:tc>
        <w:tc>
          <w:tcPr>
            <w:tcW w:w="3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506,198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506,198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53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KOSMOS ENERGY LTD. AND SUBSIDIARIES</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FINANCIAL STATEMENTS</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Description of Transaction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24, 2026, Kosmos Energy Operating (“KEO”), a wholly-owned subsidiary of Kosmos Energy Ltd. (“Kosmos” or the “Company”), entered into a Share Sale and Purchase Agreement (the “SPA”) for the sale (the “Disposition”) of all of the shares of KEO’s wholly-owned subsidiary, Kosmos International Petroleum, Inc., which indirectly holds a 40.375% participating interest in the Ceiba Field and Okume Complex production assets located in Block G offshore Equatorial Guinea. The Disposition closed on June 16, 2026. In consideration for the Disposition, Kosmos received approximately $127.0 million in upfront cash based on an initial purchase price of $180.0 million reduced by certain purchase price adjustments totaling approximately $53.0 million, and is entitled to future contingent consideration of up to $39.5 million, comprising $12.5 million linked to production performance at the Ceiba field and $9.0 million payable in each of 2027, 2028 and 2029, which are subject to certain oil price and production thresholds.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Financial Information reflect the consolidated historical results of the Company, on a pro forma basis to give effect to the Disposition, as if it had been consummated on March 31, 2026 in the Unaudited Pro Forma Condensed Balance Sheet, and on January 1, 2025 in the Unaudited Pro Forma Condensed Statement of Operations.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Balance Sheet and Statement of Operations as of and for the three months ended March 31, 2026, respectively, were derived from Kosmos’ unaudited condensed consolidated financial statements as of and for the three months ended March 31, 2026. The Unaudited Pro Forma Condensed Statement of Operations for the year ended December 31, 2025 was derived from Kosmos’ audited consolidated statement of operations for the year ended December 31, 2025.</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Financial Information has been prepared pursuant to the rules and regulations of the Securities and Exchange Commission. Certain information and certain footnote disclosures normally included in financial statements prepared in accordance with U.S. generally accepted accounting principles have been condensed or omitted pursuant to such rules and regulations; however, management believes that the disclosures are adequate to make the information presented not misleading.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Financial Information reflect events directly attributable to the described Disposition and certain assumptions that the Company believes are reasonable. The Unaudited Pro Forma Condensed Financial Information are not necessarily indicative of financial results that would have been attained had the described Disposition occurred on the dates indicated above. The adjustments are based on currently available information and certain estimates and assumptions. Management believes that the assumptions provide a reasonable basis for presenting the significant effects of the described Disposition as contemplated and that the pro forma adjustments give appropriate effect to those assumptions and are properly applied in the unaudited pro forma consolidated and financial statements.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Financial Information are provided for illustrative purposes only and are not intended to represent or be indicative of the results of operations or financial position of the company that would have been recorded had the Disposition been completed as of the dates presented and should not be taken as representative of future results of operations or financial position of the company. The Unaudited Pro Forma Condensed Financial Information do not reflect the impacts of any potential operational efficiencies or cost savings that the company may achieve following the Disposition.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financial statements should be read in conjunction with the Company’s financial statements and related notes included on Form 10-K and Form 10-Q filed on March 2, 2026 and May 5, 2026,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8" w:name="page9"/>
    <w:bookmarkEnd w:id="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Financial Information has been prepared by the Company by accounting for the transaction as a long-lived asset disposal under Accounting Standards Codification (“ASC”) Subtopic 360 — Property, Plant and Equipment, including the criteria for assets held for sale and the measurement of the disposal group at the lower of carrying amount for fair value lets cost to sell, as applicable.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carrying amounts of the major classes of assets and liabilities that were classified as held for sale as of March 31, 2026:</w:t>
      </w:r>
    </w:p>
    <w:p>
      <w:pPr>
        <w:sectPr>
          <w:pgSz w:w="11900" w:h="16838" w:orient="portrait"/>
          <w:cols w:equalWidth="0" w:num="1">
            <w:col w:w="11240"/>
          </w:cols>
          <w:pgMar w:left="320" w:top="5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held for sale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Inventories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Accrued Liabilities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Asset retirement obligations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liabilities held for sale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Pro Forma Balance Sheet Adjustments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8483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6" w:lineRule="exact"/>
        <w:rPr>
          <w:sz w:val="20"/>
          <w:szCs w:val="20"/>
          <w:color w:val="auto"/>
        </w:rPr>
      </w:pPr>
    </w:p>
    <w:p>
      <w:pPr>
        <w:ind w:left="820" w:hanging="817"/>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7,960</w:t>
      </w:r>
    </w:p>
    <w:p>
      <w:pPr>
        <w:spacing w:after="0" w:line="27"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w:t>
      </w:r>
    </w:p>
    <w:p>
      <w:pPr>
        <w:spacing w:after="0" w:line="9"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10,662</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18,707</w:t>
      </w: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408,895</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408,895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8483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11" w:lineRule="exact"/>
        <w:rPr>
          <w:sz w:val="20"/>
          <w:szCs w:val="20"/>
          <w:color w:val="auto"/>
        </w:rPr>
      </w:pPr>
    </w:p>
    <w:p>
      <w:pPr>
        <w:ind w:left="640" w:hanging="63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8483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40" w:hanging="73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42,944</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8483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43,544</w:t>
      </w:r>
    </w:p>
    <w:p>
      <w:pPr>
        <w:spacing w:after="0" w:line="200" w:lineRule="exact"/>
        <w:rPr>
          <w:sz w:val="20"/>
          <w:szCs w:val="20"/>
          <w:color w:val="auto"/>
        </w:rPr>
      </w:pP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139,602</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120,999</w:t>
      </w: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260,601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8483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1" w:lineRule="exact"/>
        <w:rPr>
          <w:sz w:val="20"/>
          <w:szCs w:val="20"/>
          <w:color w:val="auto"/>
        </w:rPr>
      </w:pPr>
    </w:p>
    <w:p>
      <w:pPr>
        <w:ind w:left="640" w:hanging="63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304,145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8483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34290</wp:posOffset>
            </wp:positionV>
            <wp:extent cx="8483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9180" w:space="720"/>
            <w:col w:w="1340"/>
          </w:cols>
          <w:pgMar w:left="320" w:top="540"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adjustments have been made to the accompanying unaudited pro forma condensed consolidated balance sheet as of March 31, 2026.</w:t>
      </w:r>
    </w:p>
    <w:p>
      <w:pPr>
        <w:spacing w:after="0" w:line="225" w:lineRule="exact"/>
        <w:rPr>
          <w:sz w:val="20"/>
          <w:szCs w:val="20"/>
          <w:color w:val="auto"/>
        </w:rPr>
      </w:pPr>
    </w:p>
    <w:p>
      <w:pPr>
        <w:ind w:left="660" w:right="1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assets and liabilities related to the sale of KIPI, along with cash proceeds and resulting gain on sale associated with the Disposition. The cash proceeds are shown as a reduction in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4. Pro Forma Statement of Operations Adjustments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adjustments have been made to the accompanying unaudited pro forma condensed consolidated statements of operations for the three months ended March 31, 2026, and for the year ended December 31, 2025.</w:t>
      </w:r>
    </w:p>
    <w:p>
      <w:pPr>
        <w:spacing w:after="0" w:line="16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Represents the elimination of oil revenues and expenses and related results of operations associated with the Disposition.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 Forma Supplemental Oil and Natural Gas Reserve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tables set forth certain unaudited pro forma information concerning the Company’s proved oil and natural gas reserves for the year ended December 31, 2025, giving effect to the Disposition as if it had occurred on January 1, 2025. There are numerous uncertainties inherent in estimating the quantities of proved reserves and projecting future rates of production and timing of development costs. Further, the volumes considered to be commercially recoverable fluctuate with changes in prices and operating costs. The Company emphasizes that reserve estimates are inherently imprecise and that estimates of new discoveries are more imprecise than those of currently producing oil and natural gas properties. Accordingly, these estimates are expected to change as additional information becomes available in the future. The estimates of reserves, and the standardized measure of future net cash flow, shown below, reflects the Company’s development plan for such properties. The following reserve data represent estimates only and should not be construed as being precise.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38"/>
        </w:trPr>
        <w:tc>
          <w:tcPr>
            <w:tcW w:w="3500" w:type="dxa"/>
            <w:vAlign w:val="bottom"/>
          </w:tcPr>
          <w:p>
            <w:pPr>
              <w:spacing w:after="0"/>
              <w:rPr>
                <w:sz w:val="20"/>
                <w:szCs w:val="20"/>
                <w:color w:val="auto"/>
              </w:rPr>
            </w:pPr>
          </w:p>
        </w:tc>
        <w:tc>
          <w:tcPr>
            <w:tcW w:w="240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Kosmos Historical</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Disposition Adjustments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223"/>
        </w:trPr>
        <w:tc>
          <w:tcPr>
            <w:tcW w:w="3500" w:type="dxa"/>
            <w:vAlign w:val="bottom"/>
          </w:tcPr>
          <w:p>
            <w:pPr>
              <w:spacing w:after="0"/>
              <w:rPr>
                <w:sz w:val="19"/>
                <w:szCs w:val="19"/>
                <w:color w:val="auto"/>
              </w:rPr>
            </w:pPr>
          </w:p>
        </w:tc>
        <w:tc>
          <w:tcPr>
            <w:tcW w:w="116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Oil</w:t>
            </w:r>
          </w:p>
        </w:tc>
        <w:tc>
          <w:tcPr>
            <w:tcW w:w="12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9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10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Oil</w:t>
            </w:r>
          </w:p>
        </w:tc>
        <w:tc>
          <w:tcPr>
            <w:tcW w:w="11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Natural Gas</w:t>
            </w:r>
          </w:p>
        </w:tc>
        <w:tc>
          <w:tcPr>
            <w:tcW w:w="10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09"/>
        </w:trPr>
        <w:tc>
          <w:tcPr>
            <w:tcW w:w="3500" w:type="dxa"/>
            <w:vAlign w:val="bottom"/>
          </w:tcPr>
          <w:p>
            <w:pPr>
              <w:spacing w:after="0"/>
              <w:rPr>
                <w:sz w:val="18"/>
                <w:szCs w:val="18"/>
                <w:color w:val="auto"/>
              </w:rPr>
            </w:pPr>
          </w:p>
        </w:tc>
        <w:tc>
          <w:tcPr>
            <w:tcW w:w="10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(MMBbl)</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(Bcf)</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(MMBoe)</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(MMBbl)</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(Bcf)</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(MMBoe)</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(MMBoe)</w:t>
            </w:r>
          </w:p>
        </w:tc>
      </w:tr>
      <w:tr>
        <w:trPr>
          <w:trHeight w:val="198"/>
        </w:trPr>
        <w:tc>
          <w:tcPr>
            <w:tcW w:w="3500" w:type="dxa"/>
            <w:vAlign w:val="bottom"/>
            <w:shd w:val="clear" w:color="auto" w:fill="CCEDFF"/>
          </w:tcPr>
          <w:p>
            <w:pPr>
              <w:spacing w:after="0" w:line="198" w:lineRule="exact"/>
              <w:rPr>
                <w:sz w:val="20"/>
                <w:szCs w:val="20"/>
                <w:color w:val="auto"/>
              </w:rPr>
            </w:pPr>
            <w:r>
              <w:rPr>
                <w:rFonts w:ascii="Times New Roman" w:cs="Times New Roman" w:eastAsia="Times New Roman" w:hAnsi="Times New Roman"/>
                <w:sz w:val="18"/>
                <w:szCs w:val="18"/>
                <w:color w:val="auto"/>
              </w:rPr>
              <w:t>Net proved developed and undeveloped</w:t>
            </w:r>
          </w:p>
        </w:tc>
        <w:tc>
          <w:tcPr>
            <w:tcW w:w="1040" w:type="dxa"/>
            <w:vAlign w:val="bottom"/>
            <w:shd w:val="clear" w:color="auto" w:fill="CCEDFF"/>
          </w:tcPr>
          <w:p>
            <w:pPr>
              <w:spacing w:after="0"/>
              <w:rPr>
                <w:sz w:val="17"/>
                <w:szCs w:val="17"/>
                <w:color w:val="auto"/>
              </w:rPr>
            </w:pPr>
          </w:p>
        </w:tc>
        <w:tc>
          <w:tcPr>
            <w:tcW w:w="120" w:type="dxa"/>
            <w:vAlign w:val="bottom"/>
            <w:shd w:val="clear" w:color="auto" w:fill="CCEDFF"/>
          </w:tcPr>
          <w:p>
            <w:pPr>
              <w:spacing w:after="0"/>
              <w:rPr>
                <w:sz w:val="17"/>
                <w:szCs w:val="17"/>
                <w:color w:val="auto"/>
              </w:rPr>
            </w:pPr>
          </w:p>
        </w:tc>
        <w:tc>
          <w:tcPr>
            <w:tcW w:w="1040" w:type="dxa"/>
            <w:vAlign w:val="bottom"/>
            <w:shd w:val="clear" w:color="auto" w:fill="CCEDFF"/>
          </w:tcPr>
          <w:p>
            <w:pPr>
              <w:spacing w:after="0"/>
              <w:rPr>
                <w:sz w:val="17"/>
                <w:szCs w:val="17"/>
                <w:color w:val="auto"/>
              </w:rPr>
            </w:pPr>
          </w:p>
        </w:tc>
        <w:tc>
          <w:tcPr>
            <w:tcW w:w="12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92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100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1000" w:type="dxa"/>
            <w:vAlign w:val="bottom"/>
            <w:shd w:val="clear" w:color="auto" w:fill="CCEDFF"/>
          </w:tcPr>
          <w:p>
            <w:pPr>
              <w:spacing w:after="0"/>
              <w:rPr>
                <w:sz w:val="17"/>
                <w:szCs w:val="17"/>
                <w:color w:val="auto"/>
              </w:rPr>
            </w:pPr>
          </w:p>
        </w:tc>
        <w:tc>
          <w:tcPr>
            <w:tcW w:w="120" w:type="dxa"/>
            <w:vAlign w:val="bottom"/>
            <w:shd w:val="clear" w:color="auto" w:fill="CCEDFF"/>
          </w:tcPr>
          <w:p>
            <w:pPr>
              <w:spacing w:after="0"/>
              <w:rPr>
                <w:sz w:val="17"/>
                <w:szCs w:val="17"/>
                <w:color w:val="auto"/>
              </w:rPr>
            </w:pPr>
          </w:p>
        </w:tc>
        <w:tc>
          <w:tcPr>
            <w:tcW w:w="100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1000" w:type="dxa"/>
            <w:vAlign w:val="bottom"/>
            <w:shd w:val="clear" w:color="auto" w:fill="CCEDFF"/>
          </w:tcPr>
          <w:p>
            <w:pPr>
              <w:spacing w:after="0"/>
              <w:rPr>
                <w:sz w:val="17"/>
                <w:szCs w:val="17"/>
                <w:color w:val="auto"/>
              </w:rPr>
            </w:pPr>
          </w:p>
        </w:tc>
      </w:tr>
      <w:tr>
        <w:trPr>
          <w:trHeight w:val="234"/>
        </w:trPr>
        <w:tc>
          <w:tcPr>
            <w:tcW w:w="350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reserves at December 31, 2024</w:t>
            </w:r>
          </w:p>
        </w:tc>
        <w:tc>
          <w:tcPr>
            <w:tcW w:w="104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DFF"/>
          </w:tcPr>
          <w:p>
            <w:pPr>
              <w:spacing w:after="0"/>
              <w:rPr>
                <w:sz w:val="20"/>
                <w:szCs w:val="20"/>
                <w:color w:val="auto"/>
              </w:rPr>
            </w:pPr>
          </w:p>
        </w:tc>
        <w:tc>
          <w:tcPr>
            <w:tcW w:w="104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shd w:val="clear" w:color="auto" w:fill="CCEDFF"/>
          </w:tcPr>
          <w:p>
            <w:pPr>
              <w:spacing w:after="0"/>
              <w:rPr>
                <w:sz w:val="20"/>
                <w:szCs w:val="20"/>
                <w:color w:val="auto"/>
              </w:rPr>
            </w:pPr>
          </w:p>
        </w:tc>
        <w:tc>
          <w:tcPr>
            <w:tcW w:w="80" w:type="dxa"/>
            <w:vAlign w:val="bottom"/>
            <w:shd w:val="clear" w:color="auto" w:fill="CCEDFF"/>
          </w:tcPr>
          <w:p>
            <w:pPr>
              <w:spacing w:after="0"/>
              <w:rPr>
                <w:sz w:val="20"/>
                <w:szCs w:val="20"/>
                <w:color w:val="auto"/>
              </w:rPr>
            </w:pPr>
          </w:p>
        </w:tc>
        <w:tc>
          <w:tcPr>
            <w:tcW w:w="92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DFF"/>
          </w:tcPr>
          <w:p>
            <w:pPr>
              <w:spacing w:after="0"/>
              <w:rPr>
                <w:sz w:val="20"/>
                <w:szCs w:val="20"/>
                <w:color w:val="auto"/>
              </w:rPr>
            </w:pPr>
          </w:p>
        </w:tc>
        <w:tc>
          <w:tcPr>
            <w:tcW w:w="100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DFF"/>
          </w:tcPr>
          <w:p>
            <w:pPr>
              <w:spacing w:after="0"/>
              <w:rPr>
                <w:sz w:val="20"/>
                <w:szCs w:val="20"/>
                <w:color w:val="auto"/>
              </w:rPr>
            </w:pPr>
          </w:p>
        </w:tc>
        <w:tc>
          <w:tcPr>
            <w:tcW w:w="100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DFF"/>
          </w:tcPr>
          <w:p>
            <w:pPr>
              <w:spacing w:after="0"/>
              <w:rPr>
                <w:sz w:val="20"/>
                <w:szCs w:val="20"/>
                <w:color w:val="auto"/>
              </w:rPr>
            </w:pPr>
          </w:p>
        </w:tc>
        <w:tc>
          <w:tcPr>
            <w:tcW w:w="100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DFF"/>
          </w:tcPr>
          <w:p>
            <w:pPr>
              <w:spacing w:after="0"/>
              <w:rPr>
                <w:sz w:val="20"/>
                <w:szCs w:val="20"/>
                <w:color w:val="auto"/>
              </w:rPr>
            </w:pPr>
          </w:p>
        </w:tc>
        <w:tc>
          <w:tcPr>
            <w:tcW w:w="100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shd w:val="clear" w:color="auto" w:fill="CCEDFF"/>
          </w:tcPr>
          <w:p>
            <w:pPr>
              <w:ind w:left="300"/>
              <w:spacing w:after="0"/>
              <w:rPr>
                <w:sz w:val="20"/>
                <w:szCs w:val="20"/>
                <w:color w:val="auto"/>
              </w:rPr>
            </w:pPr>
            <w:r>
              <w:rPr>
                <w:rFonts w:ascii="Times New Roman" w:cs="Times New Roman" w:eastAsia="Times New Roman" w:hAnsi="Times New Roman"/>
                <w:sz w:val="18"/>
                <w:szCs w:val="18"/>
                <w:color w:val="auto"/>
              </w:rPr>
              <w:t>Production</w:t>
            </w:r>
          </w:p>
        </w:tc>
        <w:tc>
          <w:tcPr>
            <w:tcW w:w="10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DFF"/>
          </w:tcPr>
          <w:p>
            <w:pPr>
              <w:spacing w:after="0"/>
              <w:rPr>
                <w:sz w:val="18"/>
                <w:szCs w:val="18"/>
                <w:color w:val="auto"/>
              </w:rPr>
            </w:pPr>
          </w:p>
        </w:tc>
        <w:tc>
          <w:tcPr>
            <w:tcW w:w="10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DFF"/>
          </w:tcPr>
          <w:p>
            <w:pPr>
              <w:spacing w:after="0"/>
              <w:rPr>
                <w:sz w:val="18"/>
                <w:szCs w:val="18"/>
                <w:color w:val="auto"/>
              </w:rPr>
            </w:pPr>
          </w:p>
        </w:tc>
        <w:tc>
          <w:tcPr>
            <w:tcW w:w="80" w:type="dxa"/>
            <w:vAlign w:val="bottom"/>
            <w:shd w:val="clear" w:color="auto" w:fill="CCEDFF"/>
          </w:tcPr>
          <w:p>
            <w:pPr>
              <w:spacing w:after="0"/>
              <w:rPr>
                <w:sz w:val="18"/>
                <w:szCs w:val="18"/>
                <w:color w:val="auto"/>
              </w:rPr>
            </w:pPr>
          </w:p>
        </w:tc>
        <w:tc>
          <w:tcPr>
            <w:tcW w:w="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DFF"/>
          </w:tcPr>
          <w:p>
            <w:pPr>
              <w:spacing w:after="0"/>
              <w:rPr>
                <w:sz w:val="18"/>
                <w:szCs w:val="18"/>
                <w:color w:val="auto"/>
              </w:rPr>
            </w:pPr>
          </w:p>
        </w:tc>
        <w:tc>
          <w:tcPr>
            <w:tcW w:w="10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DFF"/>
          </w:tcPr>
          <w:p>
            <w:pPr>
              <w:spacing w:after="0"/>
              <w:rPr>
                <w:sz w:val="18"/>
                <w:szCs w:val="18"/>
                <w:color w:val="auto"/>
              </w:rPr>
            </w:pPr>
          </w:p>
        </w:tc>
        <w:tc>
          <w:tcPr>
            <w:tcW w:w="10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DFF"/>
          </w:tcPr>
          <w:p>
            <w:pPr>
              <w:spacing w:after="0"/>
              <w:rPr>
                <w:sz w:val="18"/>
                <w:szCs w:val="18"/>
                <w:color w:val="auto"/>
              </w:rPr>
            </w:pPr>
          </w:p>
        </w:tc>
        <w:tc>
          <w:tcPr>
            <w:tcW w:w="10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DFF"/>
          </w:tcPr>
          <w:p>
            <w:pPr>
              <w:spacing w:after="0"/>
              <w:rPr>
                <w:sz w:val="18"/>
                <w:szCs w:val="18"/>
                <w:color w:val="auto"/>
              </w:rPr>
            </w:pPr>
          </w:p>
        </w:tc>
        <w:tc>
          <w:tcPr>
            <w:tcW w:w="10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Revision in estimate</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3500" w:type="dxa"/>
            <w:vAlign w:val="bottom"/>
            <w:shd w:val="clear" w:color="auto" w:fill="CCEDFF"/>
          </w:tcPr>
          <w:p>
            <w:pPr>
              <w:ind w:left="300"/>
              <w:spacing w:after="0"/>
              <w:rPr>
                <w:sz w:val="20"/>
                <w:szCs w:val="20"/>
                <w:color w:val="auto"/>
              </w:rPr>
            </w:pPr>
            <w:r>
              <w:rPr>
                <w:rFonts w:ascii="Times New Roman" w:cs="Times New Roman" w:eastAsia="Times New Roman" w:hAnsi="Times New Roman"/>
                <w:sz w:val="18"/>
                <w:szCs w:val="18"/>
                <w:color w:val="auto"/>
              </w:rPr>
              <w:t>Purchases of minerals-in-place</w:t>
            </w:r>
          </w:p>
        </w:tc>
        <w:tc>
          <w:tcPr>
            <w:tcW w:w="1160" w:type="dxa"/>
            <w:vAlign w:val="bottom"/>
            <w:gridSpan w:val="2"/>
            <w:shd w:val="clear" w:color="auto" w:fill="CCED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D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35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proved developed and undeveloped</w:t>
            </w: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301"/>
        </w:trPr>
        <w:tc>
          <w:tcPr>
            <w:tcW w:w="3500" w:type="dxa"/>
            <w:vAlign w:val="bottom"/>
            <w:tcBorders>
              <w:bottom w:val="single" w:sz="8" w:color="CCEDFF"/>
            </w:tcBorders>
          </w:tcPr>
          <w:p>
            <w:pPr>
              <w:spacing w:after="0"/>
              <w:rPr>
                <w:sz w:val="20"/>
                <w:szCs w:val="20"/>
                <w:color w:val="auto"/>
              </w:rPr>
            </w:pPr>
            <w:r>
              <w:rPr>
                <w:rFonts w:ascii="Times New Roman" w:cs="Times New Roman" w:eastAsia="Times New Roman" w:hAnsi="Times New Roman"/>
                <w:sz w:val="18"/>
                <w:szCs w:val="18"/>
                <w:color w:val="auto"/>
              </w:rPr>
              <w:t>reserves at December 31, 2025(1)</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DFF"/>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Borders>
              <w:bottom w:val="single" w:sz="8" w:color="CCED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DFF"/>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DFF"/>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DFF"/>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DFF"/>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r>
      <w:tr>
        <w:trPr>
          <w:trHeight w:val="196"/>
        </w:trPr>
        <w:tc>
          <w:tcPr>
            <w:tcW w:w="3500" w:type="dxa"/>
            <w:vAlign w:val="bottom"/>
            <w:shd w:val="clear" w:color="auto" w:fill="CCEDFF"/>
          </w:tcPr>
          <w:p>
            <w:pPr>
              <w:spacing w:after="0" w:line="196" w:lineRule="exact"/>
              <w:rPr>
                <w:sz w:val="20"/>
                <w:szCs w:val="20"/>
                <w:color w:val="auto"/>
              </w:rPr>
            </w:pPr>
            <w:r>
              <w:rPr>
                <w:rFonts w:ascii="Times New Roman" w:cs="Times New Roman" w:eastAsia="Times New Roman" w:hAnsi="Times New Roman"/>
                <w:sz w:val="18"/>
                <w:szCs w:val="18"/>
                <w:color w:val="auto"/>
              </w:rPr>
              <w:t>Proved developed reserves</w:t>
            </w:r>
          </w:p>
        </w:tc>
        <w:tc>
          <w:tcPr>
            <w:tcW w:w="1040" w:type="dxa"/>
            <w:vAlign w:val="bottom"/>
            <w:shd w:val="clear" w:color="auto" w:fill="CCEDFF"/>
          </w:tcPr>
          <w:p>
            <w:pPr>
              <w:spacing w:after="0"/>
              <w:rPr>
                <w:sz w:val="17"/>
                <w:szCs w:val="17"/>
                <w:color w:val="auto"/>
              </w:rPr>
            </w:pPr>
          </w:p>
        </w:tc>
        <w:tc>
          <w:tcPr>
            <w:tcW w:w="120" w:type="dxa"/>
            <w:vAlign w:val="bottom"/>
            <w:shd w:val="clear" w:color="auto" w:fill="CCEDFF"/>
          </w:tcPr>
          <w:p>
            <w:pPr>
              <w:spacing w:after="0"/>
              <w:rPr>
                <w:sz w:val="17"/>
                <w:szCs w:val="17"/>
                <w:color w:val="auto"/>
              </w:rPr>
            </w:pPr>
          </w:p>
        </w:tc>
        <w:tc>
          <w:tcPr>
            <w:tcW w:w="1040" w:type="dxa"/>
            <w:vAlign w:val="bottom"/>
            <w:shd w:val="clear" w:color="auto" w:fill="CCEDFF"/>
          </w:tcPr>
          <w:p>
            <w:pPr>
              <w:spacing w:after="0"/>
              <w:rPr>
                <w:sz w:val="17"/>
                <w:szCs w:val="17"/>
                <w:color w:val="auto"/>
              </w:rPr>
            </w:pPr>
          </w:p>
        </w:tc>
        <w:tc>
          <w:tcPr>
            <w:tcW w:w="12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92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100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1000" w:type="dxa"/>
            <w:vAlign w:val="bottom"/>
            <w:shd w:val="clear" w:color="auto" w:fill="CCEDFF"/>
          </w:tcPr>
          <w:p>
            <w:pPr>
              <w:spacing w:after="0"/>
              <w:rPr>
                <w:sz w:val="17"/>
                <w:szCs w:val="17"/>
                <w:color w:val="auto"/>
              </w:rPr>
            </w:pPr>
          </w:p>
        </w:tc>
        <w:tc>
          <w:tcPr>
            <w:tcW w:w="120" w:type="dxa"/>
            <w:vAlign w:val="bottom"/>
            <w:shd w:val="clear" w:color="auto" w:fill="CCEDFF"/>
          </w:tcPr>
          <w:p>
            <w:pPr>
              <w:spacing w:after="0"/>
              <w:rPr>
                <w:sz w:val="17"/>
                <w:szCs w:val="17"/>
                <w:color w:val="auto"/>
              </w:rPr>
            </w:pPr>
          </w:p>
        </w:tc>
        <w:tc>
          <w:tcPr>
            <w:tcW w:w="100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1000" w:type="dxa"/>
            <w:vAlign w:val="bottom"/>
            <w:shd w:val="clear" w:color="auto" w:fill="CCEDFF"/>
          </w:tcPr>
          <w:p>
            <w:pPr>
              <w:spacing w:after="0"/>
              <w:rPr>
                <w:sz w:val="17"/>
                <w:szCs w:val="17"/>
                <w:color w:val="auto"/>
              </w:rPr>
            </w:pPr>
          </w:p>
        </w:tc>
      </w:tr>
      <w:tr>
        <w:trPr>
          <w:trHeight w:val="216"/>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31, 2025</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350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Proved undeveloped reserves</w:t>
            </w:r>
          </w:p>
        </w:tc>
        <w:tc>
          <w:tcPr>
            <w:tcW w:w="1040" w:type="dxa"/>
            <w:vAlign w:val="bottom"/>
            <w:shd w:val="clear" w:color="auto" w:fill="CCEDFF"/>
          </w:tcPr>
          <w:p>
            <w:pPr>
              <w:spacing w:after="0"/>
              <w:rPr>
                <w:sz w:val="18"/>
                <w:szCs w:val="18"/>
                <w:color w:val="auto"/>
              </w:rPr>
            </w:pPr>
          </w:p>
        </w:tc>
        <w:tc>
          <w:tcPr>
            <w:tcW w:w="120" w:type="dxa"/>
            <w:vAlign w:val="bottom"/>
            <w:shd w:val="clear" w:color="auto" w:fill="CCEDFF"/>
          </w:tcPr>
          <w:p>
            <w:pPr>
              <w:spacing w:after="0"/>
              <w:rPr>
                <w:sz w:val="18"/>
                <w:szCs w:val="18"/>
                <w:color w:val="auto"/>
              </w:rPr>
            </w:pPr>
          </w:p>
        </w:tc>
        <w:tc>
          <w:tcPr>
            <w:tcW w:w="1040" w:type="dxa"/>
            <w:vAlign w:val="bottom"/>
            <w:shd w:val="clear" w:color="auto" w:fill="CCEDFF"/>
          </w:tcPr>
          <w:p>
            <w:pPr>
              <w:spacing w:after="0"/>
              <w:rPr>
                <w:sz w:val="18"/>
                <w:szCs w:val="18"/>
                <w:color w:val="auto"/>
              </w:rPr>
            </w:pPr>
          </w:p>
        </w:tc>
        <w:tc>
          <w:tcPr>
            <w:tcW w:w="120" w:type="dxa"/>
            <w:vAlign w:val="bottom"/>
            <w:shd w:val="clear" w:color="auto" w:fill="CCEDFF"/>
          </w:tcPr>
          <w:p>
            <w:pPr>
              <w:spacing w:after="0"/>
              <w:rPr>
                <w:sz w:val="18"/>
                <w:szCs w:val="18"/>
                <w:color w:val="auto"/>
              </w:rPr>
            </w:pPr>
          </w:p>
        </w:tc>
        <w:tc>
          <w:tcPr>
            <w:tcW w:w="80" w:type="dxa"/>
            <w:vAlign w:val="bottom"/>
            <w:shd w:val="clear" w:color="auto" w:fill="CCEDFF"/>
          </w:tcPr>
          <w:p>
            <w:pPr>
              <w:spacing w:after="0"/>
              <w:rPr>
                <w:sz w:val="18"/>
                <w:szCs w:val="18"/>
                <w:color w:val="auto"/>
              </w:rPr>
            </w:pPr>
          </w:p>
        </w:tc>
        <w:tc>
          <w:tcPr>
            <w:tcW w:w="920" w:type="dxa"/>
            <w:vAlign w:val="bottom"/>
            <w:shd w:val="clear" w:color="auto" w:fill="CCEDFF"/>
          </w:tcPr>
          <w:p>
            <w:pPr>
              <w:spacing w:after="0"/>
              <w:rPr>
                <w:sz w:val="18"/>
                <w:szCs w:val="18"/>
                <w:color w:val="auto"/>
              </w:rPr>
            </w:pPr>
          </w:p>
        </w:tc>
        <w:tc>
          <w:tcPr>
            <w:tcW w:w="100" w:type="dxa"/>
            <w:vAlign w:val="bottom"/>
            <w:shd w:val="clear" w:color="auto" w:fill="CCEDFF"/>
          </w:tcPr>
          <w:p>
            <w:pPr>
              <w:spacing w:after="0"/>
              <w:rPr>
                <w:sz w:val="18"/>
                <w:szCs w:val="18"/>
                <w:color w:val="auto"/>
              </w:rPr>
            </w:pPr>
          </w:p>
        </w:tc>
        <w:tc>
          <w:tcPr>
            <w:tcW w:w="1000" w:type="dxa"/>
            <w:vAlign w:val="bottom"/>
            <w:shd w:val="clear" w:color="auto" w:fill="CCEDFF"/>
          </w:tcPr>
          <w:p>
            <w:pPr>
              <w:spacing w:after="0"/>
              <w:rPr>
                <w:sz w:val="18"/>
                <w:szCs w:val="18"/>
                <w:color w:val="auto"/>
              </w:rPr>
            </w:pPr>
          </w:p>
        </w:tc>
        <w:tc>
          <w:tcPr>
            <w:tcW w:w="100" w:type="dxa"/>
            <w:vAlign w:val="bottom"/>
            <w:shd w:val="clear" w:color="auto" w:fill="CCEDFF"/>
          </w:tcPr>
          <w:p>
            <w:pPr>
              <w:spacing w:after="0"/>
              <w:rPr>
                <w:sz w:val="18"/>
                <w:szCs w:val="18"/>
                <w:color w:val="auto"/>
              </w:rPr>
            </w:pPr>
          </w:p>
        </w:tc>
        <w:tc>
          <w:tcPr>
            <w:tcW w:w="1000" w:type="dxa"/>
            <w:vAlign w:val="bottom"/>
            <w:shd w:val="clear" w:color="auto" w:fill="CCEDFF"/>
          </w:tcPr>
          <w:p>
            <w:pPr>
              <w:spacing w:after="0"/>
              <w:rPr>
                <w:sz w:val="18"/>
                <w:szCs w:val="18"/>
                <w:color w:val="auto"/>
              </w:rPr>
            </w:pPr>
          </w:p>
        </w:tc>
        <w:tc>
          <w:tcPr>
            <w:tcW w:w="120" w:type="dxa"/>
            <w:vAlign w:val="bottom"/>
            <w:shd w:val="clear" w:color="auto" w:fill="CCEDFF"/>
          </w:tcPr>
          <w:p>
            <w:pPr>
              <w:spacing w:after="0"/>
              <w:rPr>
                <w:sz w:val="18"/>
                <w:szCs w:val="18"/>
                <w:color w:val="auto"/>
              </w:rPr>
            </w:pPr>
          </w:p>
        </w:tc>
        <w:tc>
          <w:tcPr>
            <w:tcW w:w="1000" w:type="dxa"/>
            <w:vAlign w:val="bottom"/>
            <w:shd w:val="clear" w:color="auto" w:fill="CCEDFF"/>
          </w:tcPr>
          <w:p>
            <w:pPr>
              <w:spacing w:after="0"/>
              <w:rPr>
                <w:sz w:val="18"/>
                <w:szCs w:val="18"/>
                <w:color w:val="auto"/>
              </w:rPr>
            </w:pPr>
          </w:p>
        </w:tc>
        <w:tc>
          <w:tcPr>
            <w:tcW w:w="100" w:type="dxa"/>
            <w:vAlign w:val="bottom"/>
            <w:shd w:val="clear" w:color="auto" w:fill="CCEDFF"/>
          </w:tcPr>
          <w:p>
            <w:pPr>
              <w:spacing w:after="0"/>
              <w:rPr>
                <w:sz w:val="18"/>
                <w:szCs w:val="18"/>
                <w:color w:val="auto"/>
              </w:rPr>
            </w:pPr>
          </w:p>
        </w:tc>
        <w:tc>
          <w:tcPr>
            <w:tcW w:w="1000" w:type="dxa"/>
            <w:vAlign w:val="bottom"/>
            <w:shd w:val="clear" w:color="auto" w:fill="CCEDFF"/>
          </w:tcPr>
          <w:p>
            <w:pPr>
              <w:spacing w:after="0"/>
              <w:rPr>
                <w:sz w:val="18"/>
                <w:szCs w:val="18"/>
                <w:color w:val="auto"/>
              </w:rPr>
            </w:pPr>
          </w:p>
        </w:tc>
      </w:tr>
      <w:tr>
        <w:trPr>
          <w:trHeight w:val="234"/>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31, 2025</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r>
    </w:tbl>
    <w:p>
      <w:pPr>
        <w:spacing w:after="0" w:line="206" w:lineRule="exact"/>
        <w:rPr>
          <w:sz w:val="20"/>
          <w:szCs w:val="20"/>
          <w:color w:val="auto"/>
        </w:rPr>
      </w:pPr>
    </w:p>
    <w:p>
      <w:pPr>
        <w:ind w:left="340" w:right="10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proved developed reserves and proved undeveloped reserves may not add to net proved developed and undeveloped reserves as a result of rounding.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Standardized Measure of Discounted Future Net Cash Flows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Summarized in the following table is information for the standardized measure of discounted cash flows relating to proved reserves as of December 31, 2025, giving effect to the Disposition. The standardized measure of discounted future net cash flows does not purport to be, nor should it be interpreted to present, the fair value of the oil and natural gas reserves of the property. An estimate of fair value would take into account, among other things, the recovery of reserves not presently classified as proved, the value of unproved properties, and consideration of expected future economic and operating conditions.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estimates of future cash flows and future production and development costs as of December 31, 2025 are based on the unweighted arithmetic average first-day-of-the-month price for the preceding 12-month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 w:name="page11"/>
    <w:bookmarkEnd w:id="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Estimated future production of proved reserves and estimated future production and development costs of proved reserves are based on current costs and economic conditions. All wellhead prices are held flat over the forecast period for all reserve categories. The estimated future net cash flows are then discounted at a rate of 10%.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Kosmos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Disposition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38"/>
        </w:trPr>
        <w:tc>
          <w:tcPr>
            <w:tcW w:w="5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209"/>
        </w:trPr>
        <w:tc>
          <w:tcPr>
            <w:tcW w:w="5580" w:type="dxa"/>
            <w:vAlign w:val="bottom"/>
            <w:tcBorders>
              <w:top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400" w:type="dxa"/>
            <w:vAlign w:val="bottom"/>
            <w:tcBorders>
              <w:top w:val="single" w:sz="8" w:color="CCEDFF"/>
            </w:tcBorders>
            <w:shd w:val="clear" w:color="auto" w:fill="CCEDFF"/>
          </w:tcPr>
          <w:p>
            <w:pPr>
              <w:spacing w:after="0"/>
              <w:rPr>
                <w:sz w:val="18"/>
                <w:szCs w:val="18"/>
                <w:color w:val="auto"/>
              </w:rPr>
            </w:pPr>
          </w:p>
        </w:tc>
        <w:tc>
          <w:tcPr>
            <w:tcW w:w="200" w:type="dxa"/>
            <w:vAlign w:val="bottom"/>
            <w:tcBorders>
              <w:top w:val="single" w:sz="8" w:color="auto"/>
            </w:tcBorders>
            <w:shd w:val="clear" w:color="auto" w:fill="CCEDFF"/>
          </w:tcPr>
          <w:p>
            <w:pPr>
              <w:spacing w:after="0"/>
              <w:rPr>
                <w:sz w:val="18"/>
                <w:szCs w:val="18"/>
                <w:color w:val="auto"/>
              </w:rPr>
            </w:pPr>
          </w:p>
        </w:tc>
        <w:tc>
          <w:tcPr>
            <w:tcW w:w="1180" w:type="dxa"/>
            <w:vAlign w:val="bottom"/>
            <w:tcBorders>
              <w:top w:val="single" w:sz="8" w:color="auto"/>
            </w:tcBorders>
            <w:shd w:val="clear" w:color="auto" w:fill="CCEDFF"/>
          </w:tcPr>
          <w:p>
            <w:pPr>
              <w:spacing w:after="0"/>
              <w:rPr>
                <w:sz w:val="18"/>
                <w:szCs w:val="18"/>
                <w:color w:val="auto"/>
              </w:rPr>
            </w:pPr>
          </w:p>
        </w:tc>
        <w:tc>
          <w:tcPr>
            <w:tcW w:w="100" w:type="dxa"/>
            <w:vAlign w:val="bottom"/>
            <w:tcBorders>
              <w:top w:val="single" w:sz="8" w:color="CCEDFF"/>
            </w:tcBorders>
            <w:shd w:val="clear" w:color="auto" w:fill="CCEDFF"/>
          </w:tcPr>
          <w:p>
            <w:pPr>
              <w:spacing w:after="0"/>
              <w:rPr>
                <w:sz w:val="18"/>
                <w:szCs w:val="18"/>
                <w:color w:val="auto"/>
              </w:rPr>
            </w:pPr>
          </w:p>
        </w:tc>
        <w:tc>
          <w:tcPr>
            <w:tcW w:w="140" w:type="dxa"/>
            <w:vAlign w:val="bottom"/>
            <w:tcBorders>
              <w:top w:val="single" w:sz="8" w:color="auto"/>
            </w:tcBorders>
            <w:shd w:val="clear" w:color="auto" w:fill="CCEDFF"/>
          </w:tcPr>
          <w:p>
            <w:pPr>
              <w:spacing w:after="0"/>
              <w:rPr>
                <w:sz w:val="18"/>
                <w:szCs w:val="18"/>
                <w:color w:val="auto"/>
              </w:rPr>
            </w:pPr>
          </w:p>
        </w:tc>
        <w:tc>
          <w:tcPr>
            <w:tcW w:w="1200" w:type="dxa"/>
            <w:vAlign w:val="bottom"/>
            <w:tcBorders>
              <w:top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Borders>
              <w:top w:val="single" w:sz="8" w:color="CCEDFF"/>
            </w:tcBorders>
            <w:shd w:val="clear" w:color="auto" w:fill="CCEDFF"/>
          </w:tcPr>
          <w:p>
            <w:pPr>
              <w:spacing w:after="0"/>
              <w:rPr>
                <w:sz w:val="18"/>
                <w:szCs w:val="18"/>
                <w:color w:val="auto"/>
              </w:rPr>
            </w:pPr>
          </w:p>
        </w:tc>
        <w:tc>
          <w:tcPr>
            <w:tcW w:w="20" w:type="dxa"/>
            <w:vAlign w:val="bottom"/>
            <w:tcBorders>
              <w:top w:val="single" w:sz="8" w:color="CCEDFF"/>
            </w:tcBorders>
            <w:shd w:val="clear" w:color="auto" w:fill="CCEDFF"/>
          </w:tcPr>
          <w:p>
            <w:pPr>
              <w:spacing w:after="0"/>
              <w:rPr>
                <w:sz w:val="18"/>
                <w:szCs w:val="18"/>
                <w:color w:val="auto"/>
              </w:rPr>
            </w:pPr>
          </w:p>
        </w:tc>
        <w:tc>
          <w:tcPr>
            <w:tcW w:w="140" w:type="dxa"/>
            <w:vAlign w:val="bottom"/>
            <w:tcBorders>
              <w:top w:val="single" w:sz="8" w:color="auto"/>
            </w:tcBorders>
            <w:shd w:val="clear" w:color="auto" w:fill="CCEDFF"/>
          </w:tcPr>
          <w:p>
            <w:pPr>
              <w:spacing w:after="0"/>
              <w:rPr>
                <w:sz w:val="18"/>
                <w:szCs w:val="18"/>
                <w:color w:val="auto"/>
              </w:rPr>
            </w:pPr>
          </w:p>
        </w:tc>
        <w:tc>
          <w:tcPr>
            <w:tcW w:w="1180" w:type="dxa"/>
            <w:vAlign w:val="bottom"/>
            <w:tcBorders>
              <w:top w:val="single" w:sz="8" w:color="auto"/>
            </w:tcBorders>
            <w:shd w:val="clear" w:color="auto" w:fill="CCED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Future cash inflows</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11,849</w:t>
            </w:r>
          </w:p>
        </w:tc>
      </w:tr>
      <w:tr>
        <w:trPr>
          <w:trHeight w:val="216"/>
        </w:trPr>
        <w:tc>
          <w:tcPr>
            <w:tcW w:w="558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Future production costs</w:t>
            </w:r>
          </w:p>
        </w:tc>
        <w:tc>
          <w:tcPr>
            <w:tcW w:w="140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shd w:val="clear" w:color="auto" w:fill="CCEDFF"/>
          </w:tcPr>
          <w:p>
            <w:pPr>
              <w:spacing w:after="0"/>
              <w:rPr>
                <w:sz w:val="18"/>
                <w:szCs w:val="18"/>
                <w:color w:val="auto"/>
              </w:rPr>
            </w:pPr>
          </w:p>
        </w:tc>
        <w:tc>
          <w:tcPr>
            <w:tcW w:w="140" w:type="dxa"/>
            <w:vAlign w:val="bottom"/>
            <w:shd w:val="clear" w:color="auto" w:fill="CCEDFF"/>
          </w:tcPr>
          <w:p>
            <w:pPr>
              <w:spacing w:after="0"/>
              <w:rPr>
                <w:sz w:val="18"/>
                <w:szCs w:val="18"/>
                <w:color w:val="auto"/>
              </w:rPr>
            </w:pPr>
          </w:p>
        </w:tc>
        <w:tc>
          <w:tcPr>
            <w:tcW w:w="1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DFF"/>
          </w:tcPr>
          <w:p>
            <w:pPr>
              <w:spacing w:after="0"/>
              <w:rPr>
                <w:sz w:val="18"/>
                <w:szCs w:val="18"/>
                <w:color w:val="auto"/>
              </w:rPr>
            </w:pPr>
          </w:p>
        </w:tc>
        <w:tc>
          <w:tcPr>
            <w:tcW w:w="20" w:type="dxa"/>
            <w:vAlign w:val="bottom"/>
            <w:shd w:val="clear" w:color="auto" w:fill="CCEDFF"/>
          </w:tcPr>
          <w:p>
            <w:pPr>
              <w:spacing w:after="0"/>
              <w:rPr>
                <w:sz w:val="18"/>
                <w:szCs w:val="18"/>
                <w:color w:val="auto"/>
              </w:rPr>
            </w:pPr>
          </w:p>
        </w:tc>
        <w:tc>
          <w:tcPr>
            <w:tcW w:w="140" w:type="dxa"/>
            <w:vAlign w:val="bottom"/>
            <w:shd w:val="clear" w:color="auto" w:fill="CCEDFF"/>
          </w:tcPr>
          <w:p>
            <w:pPr>
              <w:spacing w:after="0"/>
              <w:rPr>
                <w:sz w:val="18"/>
                <w:szCs w:val="18"/>
                <w:color w:val="auto"/>
              </w:rPr>
            </w:pPr>
          </w:p>
        </w:tc>
        <w:tc>
          <w:tcPr>
            <w:tcW w:w="1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(4,650)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Future development costs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r>
      <w:tr>
        <w:trPr>
          <w:trHeight w:val="229"/>
        </w:trPr>
        <w:tc>
          <w:tcPr>
            <w:tcW w:w="558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Future tax expenses</w:t>
            </w:r>
          </w:p>
        </w:tc>
        <w:tc>
          <w:tcPr>
            <w:tcW w:w="1400" w:type="dxa"/>
            <w:vAlign w:val="bottom"/>
            <w:shd w:val="clear" w:color="auto" w:fill="CCEDFF"/>
          </w:tcPr>
          <w:p>
            <w:pPr>
              <w:spacing w:after="0"/>
              <w:rPr>
                <w:sz w:val="19"/>
                <w:szCs w:val="19"/>
                <w:color w:val="auto"/>
              </w:rPr>
            </w:pPr>
          </w:p>
        </w:tc>
        <w:tc>
          <w:tcPr>
            <w:tcW w:w="200" w:type="dxa"/>
            <w:vAlign w:val="bottom"/>
            <w:tcBorders>
              <w:bottom w:val="single" w:sz="8" w:color="auto"/>
            </w:tcBorders>
            <w:shd w:val="clear" w:color="auto" w:fill="CCEDFF"/>
          </w:tcPr>
          <w:p>
            <w:pPr>
              <w:spacing w:after="0"/>
              <w:rPr>
                <w:sz w:val="19"/>
                <w:szCs w:val="19"/>
                <w:color w:val="auto"/>
              </w:rPr>
            </w:pPr>
          </w:p>
        </w:tc>
        <w:tc>
          <w:tcPr>
            <w:tcW w:w="11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DFF"/>
          </w:tcPr>
          <w:p>
            <w:pPr>
              <w:spacing w:after="0"/>
              <w:rPr>
                <w:sz w:val="19"/>
                <w:szCs w:val="19"/>
                <w:color w:val="auto"/>
              </w:rPr>
            </w:pPr>
          </w:p>
        </w:tc>
        <w:tc>
          <w:tcPr>
            <w:tcW w:w="140" w:type="dxa"/>
            <w:vAlign w:val="bottom"/>
            <w:tcBorders>
              <w:bottom w:val="single" w:sz="8" w:color="auto"/>
            </w:tcBorders>
            <w:shd w:val="clear" w:color="auto" w:fill="CCEDFF"/>
          </w:tcPr>
          <w:p>
            <w:pPr>
              <w:spacing w:after="0"/>
              <w:rPr>
                <w:sz w:val="19"/>
                <w:szCs w:val="19"/>
                <w:color w:val="auto"/>
              </w:rPr>
            </w:pP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DFF"/>
          </w:tcPr>
          <w:p>
            <w:pPr>
              <w:spacing w:after="0"/>
              <w:rPr>
                <w:sz w:val="19"/>
                <w:szCs w:val="19"/>
                <w:color w:val="auto"/>
              </w:rPr>
            </w:pPr>
          </w:p>
        </w:tc>
        <w:tc>
          <w:tcPr>
            <w:tcW w:w="20" w:type="dxa"/>
            <w:vAlign w:val="bottom"/>
            <w:shd w:val="clear" w:color="auto" w:fill="CCEDFF"/>
          </w:tcPr>
          <w:p>
            <w:pPr>
              <w:spacing w:after="0"/>
              <w:rPr>
                <w:sz w:val="19"/>
                <w:szCs w:val="19"/>
                <w:color w:val="auto"/>
              </w:rPr>
            </w:pPr>
          </w:p>
        </w:tc>
        <w:tc>
          <w:tcPr>
            <w:tcW w:w="140" w:type="dxa"/>
            <w:vAlign w:val="bottom"/>
            <w:tcBorders>
              <w:bottom w:val="single" w:sz="8" w:color="auto"/>
            </w:tcBorders>
            <w:shd w:val="clear" w:color="auto" w:fill="CCEDFF"/>
          </w:tcPr>
          <w:p>
            <w:pPr>
              <w:spacing w:after="0"/>
              <w:rPr>
                <w:sz w:val="19"/>
                <w:szCs w:val="19"/>
                <w:color w:val="auto"/>
              </w:rPr>
            </w:pPr>
          </w:p>
        </w:tc>
        <w:tc>
          <w:tcPr>
            <w:tcW w:w="11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0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Future net cash flows</w:t>
            </w:r>
          </w:p>
        </w:tc>
        <w:tc>
          <w:tcPr>
            <w:tcW w:w="14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3,426</w:t>
            </w:r>
          </w:p>
        </w:tc>
      </w:tr>
      <w:tr>
        <w:trPr>
          <w:trHeight w:val="230"/>
        </w:trPr>
        <w:tc>
          <w:tcPr>
            <w:tcW w:w="558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10% annual discount for estimating timing of cash flows</w:t>
            </w:r>
          </w:p>
        </w:tc>
        <w:tc>
          <w:tcPr>
            <w:tcW w:w="1400" w:type="dxa"/>
            <w:vAlign w:val="bottom"/>
            <w:shd w:val="clear" w:color="auto" w:fill="CCEDFF"/>
          </w:tcPr>
          <w:p>
            <w:pPr>
              <w:spacing w:after="0"/>
              <w:rPr>
                <w:sz w:val="19"/>
                <w:szCs w:val="19"/>
                <w:color w:val="auto"/>
              </w:rPr>
            </w:pPr>
          </w:p>
        </w:tc>
        <w:tc>
          <w:tcPr>
            <w:tcW w:w="200" w:type="dxa"/>
            <w:vAlign w:val="bottom"/>
            <w:tcBorders>
              <w:bottom w:val="single" w:sz="8" w:color="auto"/>
            </w:tcBorders>
            <w:shd w:val="clear" w:color="auto" w:fill="CCEDFF"/>
          </w:tcPr>
          <w:p>
            <w:pPr>
              <w:spacing w:after="0"/>
              <w:rPr>
                <w:sz w:val="19"/>
                <w:szCs w:val="19"/>
                <w:color w:val="auto"/>
              </w:rPr>
            </w:pPr>
          </w:p>
        </w:tc>
        <w:tc>
          <w:tcPr>
            <w:tcW w:w="11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DFF"/>
          </w:tcPr>
          <w:p>
            <w:pPr>
              <w:spacing w:after="0"/>
              <w:rPr>
                <w:sz w:val="19"/>
                <w:szCs w:val="19"/>
                <w:color w:val="auto"/>
              </w:rPr>
            </w:pPr>
          </w:p>
        </w:tc>
        <w:tc>
          <w:tcPr>
            <w:tcW w:w="140" w:type="dxa"/>
            <w:vAlign w:val="bottom"/>
            <w:tcBorders>
              <w:bottom w:val="single" w:sz="8" w:color="auto"/>
            </w:tcBorders>
            <w:shd w:val="clear" w:color="auto" w:fill="CCEDFF"/>
          </w:tcPr>
          <w:p>
            <w:pPr>
              <w:spacing w:after="0"/>
              <w:rPr>
                <w:sz w:val="19"/>
                <w:szCs w:val="19"/>
                <w:color w:val="auto"/>
              </w:rPr>
            </w:pPr>
          </w:p>
        </w:tc>
        <w:tc>
          <w:tcPr>
            <w:tcW w:w="120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DFF"/>
          </w:tcPr>
          <w:p>
            <w:pPr>
              <w:spacing w:after="0"/>
              <w:rPr>
                <w:sz w:val="19"/>
                <w:szCs w:val="19"/>
                <w:color w:val="auto"/>
              </w:rPr>
            </w:pPr>
          </w:p>
        </w:tc>
        <w:tc>
          <w:tcPr>
            <w:tcW w:w="20" w:type="dxa"/>
            <w:vAlign w:val="bottom"/>
            <w:shd w:val="clear" w:color="auto" w:fill="CCEDFF"/>
          </w:tcPr>
          <w:p>
            <w:pPr>
              <w:spacing w:after="0"/>
              <w:rPr>
                <w:sz w:val="19"/>
                <w:szCs w:val="19"/>
                <w:color w:val="auto"/>
              </w:rPr>
            </w:pPr>
          </w:p>
        </w:tc>
        <w:tc>
          <w:tcPr>
            <w:tcW w:w="140" w:type="dxa"/>
            <w:vAlign w:val="bottom"/>
            <w:tcBorders>
              <w:bottom w:val="single" w:sz="8" w:color="auto"/>
            </w:tcBorders>
            <w:shd w:val="clear" w:color="auto" w:fill="CCEDFF"/>
          </w:tcPr>
          <w:p>
            <w:pPr>
              <w:spacing w:after="0"/>
              <w:rPr>
                <w:sz w:val="19"/>
                <w:szCs w:val="19"/>
                <w:color w:val="auto"/>
              </w:rPr>
            </w:pPr>
          </w:p>
        </w:tc>
        <w:tc>
          <w:tcPr>
            <w:tcW w:w="11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w:t>
            </w:r>
          </w:p>
        </w:tc>
        <w:tc>
          <w:tcPr>
            <w:tcW w:w="14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1,896</w:t>
            </w:r>
          </w:p>
        </w:tc>
      </w:tr>
      <w:tr>
        <w:trPr>
          <w:trHeight w:val="20"/>
        </w:trPr>
        <w:tc>
          <w:tcPr>
            <w:tcW w:w="5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foregoing determination of future cash inflows, sales prices used for gas and oil for December 31, 2025 were estimated using the average price during the 12-month period, determined as the unweighted arithmetic average of the first-day-of-the-month price for each month. Prices were adjusted by lease for quality, transportation fees and regional price differentials. Future costs of developing and producing the proved gas and oil reserves reported at the end of each year shown were based on costs determined at each such year-end, assuming the continuation of existing economic conditions.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not intended that the FASB’s standardized measure of discounted future net cash flows represent the fair market value of the Company’s proved reserves. The Company cautions that the disclosures shown are based on estimates of proved reserve quantities and future production schedules which are inherently imprecise and subject to revision, and the 10% discount rate is arbitrary. In addition, costs and prices as of the measurement date are used in the determinations, and no value may be assigned to probable or possible reserves.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standardized measure of discounted future net cash flows relating to proved oil and natural gas reserves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Kosmos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Disposition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38"/>
        </w:trPr>
        <w:tc>
          <w:tcPr>
            <w:tcW w:w="5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210"/>
        </w:trPr>
        <w:tc>
          <w:tcPr>
            <w:tcW w:w="5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94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Balance at December 31, 2024</w:t>
            </w:r>
          </w:p>
        </w:tc>
        <w:tc>
          <w:tcPr>
            <w:tcW w:w="1240" w:type="dxa"/>
            <w:vAlign w:val="bottom"/>
            <w:gridSpan w:val="2"/>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shd w:val="clear" w:color="auto" w:fill="CCEDFF"/>
          </w:tcPr>
          <w:p>
            <w:pPr>
              <w:spacing w:after="0"/>
              <w:rPr>
                <w:sz w:val="18"/>
                <w:szCs w:val="18"/>
                <w:color w:val="auto"/>
              </w:rPr>
            </w:pP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DFF"/>
          </w:tcPr>
          <w:p>
            <w:pPr>
              <w:spacing w:after="0"/>
              <w:rPr>
                <w:sz w:val="18"/>
                <w:szCs w:val="18"/>
                <w:color w:val="auto"/>
              </w:rPr>
            </w:pPr>
          </w:p>
        </w:tc>
        <w:tc>
          <w:tcPr>
            <w:tcW w:w="16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3,072</w:t>
            </w:r>
          </w:p>
        </w:tc>
      </w:tr>
      <w:tr>
        <w:trPr>
          <w:trHeight w:val="216"/>
        </w:trPr>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 of minerals in place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Sales and transfers 2025</w:t>
            </w:r>
          </w:p>
        </w:tc>
        <w:tc>
          <w:tcPr>
            <w:tcW w:w="104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DFF"/>
          </w:tcPr>
          <w:p>
            <w:pPr>
              <w:spacing w:after="0"/>
              <w:rPr>
                <w:sz w:val="18"/>
                <w:szCs w:val="18"/>
                <w:color w:val="auto"/>
              </w:rPr>
            </w:pPr>
          </w:p>
        </w:tc>
        <w:tc>
          <w:tcPr>
            <w:tcW w:w="140" w:type="dxa"/>
            <w:vAlign w:val="bottom"/>
            <w:shd w:val="clear" w:color="auto" w:fill="CCEDFF"/>
          </w:tcPr>
          <w:p>
            <w:pPr>
              <w:spacing w:after="0"/>
              <w:rPr>
                <w:sz w:val="18"/>
                <w:szCs w:val="18"/>
                <w:color w:val="auto"/>
              </w:rPr>
            </w:pPr>
          </w:p>
        </w:tc>
        <w:tc>
          <w:tcPr>
            <w:tcW w:w="1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DFF"/>
          </w:tcPr>
          <w:p>
            <w:pPr>
              <w:spacing w:after="0"/>
              <w:rPr>
                <w:sz w:val="18"/>
                <w:szCs w:val="18"/>
                <w:color w:val="auto"/>
              </w:rPr>
            </w:pPr>
          </w:p>
        </w:tc>
        <w:tc>
          <w:tcPr>
            <w:tcW w:w="20" w:type="dxa"/>
            <w:vAlign w:val="bottom"/>
            <w:shd w:val="clear" w:color="auto" w:fill="CCEDFF"/>
          </w:tcPr>
          <w:p>
            <w:pPr>
              <w:spacing w:after="0"/>
              <w:rPr>
                <w:sz w:val="18"/>
                <w:szCs w:val="18"/>
                <w:color w:val="auto"/>
              </w:rPr>
            </w:pPr>
          </w:p>
        </w:tc>
        <w:tc>
          <w:tcPr>
            <w:tcW w:w="140" w:type="dxa"/>
            <w:vAlign w:val="bottom"/>
            <w:shd w:val="clear" w:color="auto" w:fill="CCEDFF"/>
          </w:tcPr>
          <w:p>
            <w:pPr>
              <w:spacing w:after="0"/>
              <w:rPr>
                <w:sz w:val="18"/>
                <w:szCs w:val="18"/>
                <w:color w:val="auto"/>
              </w:rPr>
            </w:pPr>
          </w:p>
        </w:tc>
        <w:tc>
          <w:tcPr>
            <w:tcW w:w="1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16"/>
        </w:trPr>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Net changes in prices and costs</w:t>
            </w:r>
          </w:p>
        </w:tc>
        <w:tc>
          <w:tcPr>
            <w:tcW w:w="104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shd w:val="clear" w:color="auto" w:fill="CCEDFF"/>
          </w:tcPr>
          <w:p>
            <w:pPr>
              <w:spacing w:after="0"/>
              <w:rPr>
                <w:sz w:val="18"/>
                <w:szCs w:val="18"/>
                <w:color w:val="auto"/>
              </w:rPr>
            </w:pPr>
          </w:p>
        </w:tc>
        <w:tc>
          <w:tcPr>
            <w:tcW w:w="140" w:type="dxa"/>
            <w:vAlign w:val="bottom"/>
            <w:shd w:val="clear" w:color="auto" w:fill="CCEDFF"/>
          </w:tcPr>
          <w:p>
            <w:pPr>
              <w:spacing w:after="0"/>
              <w:rPr>
                <w:sz w:val="18"/>
                <w:szCs w:val="18"/>
                <w:color w:val="auto"/>
              </w:rPr>
            </w:pPr>
          </w:p>
        </w:tc>
        <w:tc>
          <w:tcPr>
            <w:tcW w:w="1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DFF"/>
          </w:tcPr>
          <w:p>
            <w:pPr>
              <w:spacing w:after="0"/>
              <w:rPr>
                <w:sz w:val="18"/>
                <w:szCs w:val="18"/>
                <w:color w:val="auto"/>
              </w:rPr>
            </w:pPr>
          </w:p>
        </w:tc>
        <w:tc>
          <w:tcPr>
            <w:tcW w:w="20" w:type="dxa"/>
            <w:vAlign w:val="bottom"/>
            <w:shd w:val="clear" w:color="auto" w:fill="CCEDFF"/>
          </w:tcPr>
          <w:p>
            <w:pPr>
              <w:spacing w:after="0"/>
              <w:rPr>
                <w:sz w:val="18"/>
                <w:szCs w:val="18"/>
                <w:color w:val="auto"/>
              </w:rPr>
            </w:pPr>
          </w:p>
        </w:tc>
        <w:tc>
          <w:tcPr>
            <w:tcW w:w="140" w:type="dxa"/>
            <w:vAlign w:val="bottom"/>
            <w:shd w:val="clear" w:color="auto" w:fill="CCEDFF"/>
          </w:tcPr>
          <w:p>
            <w:pPr>
              <w:spacing w:after="0"/>
              <w:rPr>
                <w:sz w:val="18"/>
                <w:szCs w:val="18"/>
                <w:color w:val="auto"/>
              </w:rPr>
            </w:pPr>
          </w:p>
        </w:tc>
        <w:tc>
          <w:tcPr>
            <w:tcW w:w="1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16"/>
        </w:trPr>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Previously estimated development costs incurred during the period</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594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Net changes in development costs</w:t>
            </w:r>
          </w:p>
        </w:tc>
        <w:tc>
          <w:tcPr>
            <w:tcW w:w="104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DFF"/>
          </w:tcPr>
          <w:p>
            <w:pPr>
              <w:spacing w:after="0"/>
              <w:rPr>
                <w:sz w:val="18"/>
                <w:szCs w:val="18"/>
                <w:color w:val="auto"/>
              </w:rPr>
            </w:pPr>
          </w:p>
        </w:tc>
        <w:tc>
          <w:tcPr>
            <w:tcW w:w="140" w:type="dxa"/>
            <w:vAlign w:val="bottom"/>
            <w:shd w:val="clear" w:color="auto" w:fill="CCEDFF"/>
          </w:tcPr>
          <w:p>
            <w:pPr>
              <w:spacing w:after="0"/>
              <w:rPr>
                <w:sz w:val="18"/>
                <w:szCs w:val="18"/>
                <w:color w:val="auto"/>
              </w:rPr>
            </w:pPr>
          </w:p>
        </w:tc>
        <w:tc>
          <w:tcPr>
            <w:tcW w:w="1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DFF"/>
          </w:tcPr>
          <w:p>
            <w:pPr>
              <w:spacing w:after="0"/>
              <w:rPr>
                <w:sz w:val="18"/>
                <w:szCs w:val="18"/>
                <w:color w:val="auto"/>
              </w:rPr>
            </w:pPr>
          </w:p>
        </w:tc>
        <w:tc>
          <w:tcPr>
            <w:tcW w:w="20" w:type="dxa"/>
            <w:vAlign w:val="bottom"/>
            <w:shd w:val="clear" w:color="auto" w:fill="CCEDFF"/>
          </w:tcPr>
          <w:p>
            <w:pPr>
              <w:spacing w:after="0"/>
              <w:rPr>
                <w:sz w:val="18"/>
                <w:szCs w:val="18"/>
                <w:color w:val="auto"/>
              </w:rPr>
            </w:pPr>
          </w:p>
        </w:tc>
        <w:tc>
          <w:tcPr>
            <w:tcW w:w="140" w:type="dxa"/>
            <w:vAlign w:val="bottom"/>
            <w:shd w:val="clear" w:color="auto" w:fill="CCEDFF"/>
          </w:tcPr>
          <w:p>
            <w:pPr>
              <w:spacing w:after="0"/>
              <w:rPr>
                <w:sz w:val="18"/>
                <w:szCs w:val="18"/>
                <w:color w:val="auto"/>
              </w:rPr>
            </w:pPr>
          </w:p>
        </w:tc>
        <w:tc>
          <w:tcPr>
            <w:tcW w:w="1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Revisions of previous quantity estimates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r>
      <w:tr>
        <w:trPr>
          <w:trHeight w:val="216"/>
        </w:trPr>
        <w:tc>
          <w:tcPr>
            <w:tcW w:w="594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Net changes in tax expenses</w:t>
            </w:r>
          </w:p>
        </w:tc>
        <w:tc>
          <w:tcPr>
            <w:tcW w:w="104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18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DFF"/>
          </w:tcPr>
          <w:p>
            <w:pPr>
              <w:spacing w:after="0"/>
              <w:rPr>
                <w:sz w:val="18"/>
                <w:szCs w:val="18"/>
                <w:color w:val="auto"/>
              </w:rPr>
            </w:pPr>
          </w:p>
        </w:tc>
        <w:tc>
          <w:tcPr>
            <w:tcW w:w="140" w:type="dxa"/>
            <w:vAlign w:val="bottom"/>
            <w:shd w:val="clear" w:color="auto" w:fill="CCEDFF"/>
          </w:tcPr>
          <w:p>
            <w:pPr>
              <w:spacing w:after="0"/>
              <w:rPr>
                <w:sz w:val="18"/>
                <w:szCs w:val="18"/>
                <w:color w:val="auto"/>
              </w:rPr>
            </w:pPr>
          </w:p>
        </w:tc>
        <w:tc>
          <w:tcPr>
            <w:tcW w:w="120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DFF"/>
          </w:tcPr>
          <w:p>
            <w:pPr>
              <w:spacing w:after="0"/>
              <w:rPr>
                <w:sz w:val="18"/>
                <w:szCs w:val="18"/>
                <w:color w:val="auto"/>
              </w:rPr>
            </w:pPr>
          </w:p>
        </w:tc>
        <w:tc>
          <w:tcPr>
            <w:tcW w:w="20" w:type="dxa"/>
            <w:vAlign w:val="bottom"/>
            <w:shd w:val="clear" w:color="auto" w:fill="CCEDFF"/>
          </w:tcPr>
          <w:p>
            <w:pPr>
              <w:spacing w:after="0"/>
              <w:rPr>
                <w:sz w:val="18"/>
                <w:szCs w:val="18"/>
                <w:color w:val="auto"/>
              </w:rPr>
            </w:pPr>
          </w:p>
        </w:tc>
        <w:tc>
          <w:tcPr>
            <w:tcW w:w="140" w:type="dxa"/>
            <w:vAlign w:val="bottom"/>
            <w:shd w:val="clear" w:color="auto" w:fill="CCEDFF"/>
          </w:tcPr>
          <w:p>
            <w:pPr>
              <w:spacing w:after="0"/>
              <w:rPr>
                <w:sz w:val="18"/>
                <w:szCs w:val="18"/>
                <w:color w:val="auto"/>
              </w:rPr>
            </w:pPr>
          </w:p>
        </w:tc>
        <w:tc>
          <w:tcPr>
            <w:tcW w:w="118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Accretion of discount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r>
      <w:tr>
        <w:trPr>
          <w:trHeight w:val="230"/>
        </w:trPr>
        <w:tc>
          <w:tcPr>
            <w:tcW w:w="594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Changes in timing and other</w:t>
            </w:r>
          </w:p>
        </w:tc>
        <w:tc>
          <w:tcPr>
            <w:tcW w:w="1040" w:type="dxa"/>
            <w:vAlign w:val="bottom"/>
            <w:shd w:val="clear" w:color="auto" w:fill="CCEDFF"/>
          </w:tcPr>
          <w:p>
            <w:pPr>
              <w:spacing w:after="0"/>
              <w:rPr>
                <w:sz w:val="19"/>
                <w:szCs w:val="19"/>
                <w:color w:val="auto"/>
              </w:rPr>
            </w:pPr>
          </w:p>
        </w:tc>
        <w:tc>
          <w:tcPr>
            <w:tcW w:w="200" w:type="dxa"/>
            <w:vAlign w:val="bottom"/>
            <w:tcBorders>
              <w:bottom w:val="single" w:sz="8" w:color="auto"/>
            </w:tcBorders>
            <w:shd w:val="clear" w:color="auto" w:fill="CCEDFF"/>
          </w:tcPr>
          <w:p>
            <w:pPr>
              <w:spacing w:after="0"/>
              <w:rPr>
                <w:sz w:val="19"/>
                <w:szCs w:val="19"/>
                <w:color w:val="auto"/>
              </w:rPr>
            </w:pPr>
          </w:p>
        </w:tc>
        <w:tc>
          <w:tcPr>
            <w:tcW w:w="118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DFF"/>
          </w:tcPr>
          <w:p>
            <w:pPr>
              <w:spacing w:after="0"/>
              <w:rPr>
                <w:sz w:val="19"/>
                <w:szCs w:val="19"/>
                <w:color w:val="auto"/>
              </w:rPr>
            </w:pPr>
          </w:p>
        </w:tc>
        <w:tc>
          <w:tcPr>
            <w:tcW w:w="140" w:type="dxa"/>
            <w:vAlign w:val="bottom"/>
            <w:tcBorders>
              <w:bottom w:val="single" w:sz="8" w:color="auto"/>
            </w:tcBorders>
            <w:shd w:val="clear" w:color="auto" w:fill="CCEDFF"/>
          </w:tcPr>
          <w:p>
            <w:pPr>
              <w:spacing w:after="0"/>
              <w:rPr>
                <w:sz w:val="19"/>
                <w:szCs w:val="19"/>
                <w:color w:val="auto"/>
              </w:rPr>
            </w:pPr>
          </w:p>
        </w:tc>
        <w:tc>
          <w:tcPr>
            <w:tcW w:w="120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DFF"/>
          </w:tcPr>
          <w:p>
            <w:pPr>
              <w:spacing w:after="0"/>
              <w:rPr>
                <w:sz w:val="19"/>
                <w:szCs w:val="19"/>
                <w:color w:val="auto"/>
              </w:rPr>
            </w:pPr>
          </w:p>
        </w:tc>
        <w:tc>
          <w:tcPr>
            <w:tcW w:w="20" w:type="dxa"/>
            <w:vAlign w:val="bottom"/>
            <w:shd w:val="clear" w:color="auto" w:fill="CCEDFF"/>
          </w:tcPr>
          <w:p>
            <w:pPr>
              <w:spacing w:after="0"/>
              <w:rPr>
                <w:sz w:val="19"/>
                <w:szCs w:val="19"/>
                <w:color w:val="auto"/>
              </w:rPr>
            </w:pPr>
          </w:p>
        </w:tc>
        <w:tc>
          <w:tcPr>
            <w:tcW w:w="140" w:type="dxa"/>
            <w:vAlign w:val="bottom"/>
            <w:tcBorders>
              <w:bottom w:val="single" w:sz="8" w:color="auto"/>
            </w:tcBorders>
            <w:shd w:val="clear" w:color="auto" w:fill="CCEDFF"/>
          </w:tcPr>
          <w:p>
            <w:pPr>
              <w:spacing w:after="0"/>
              <w:rPr>
                <w:sz w:val="19"/>
                <w:szCs w:val="19"/>
                <w:color w:val="auto"/>
              </w:rPr>
            </w:pPr>
          </w:p>
        </w:tc>
        <w:tc>
          <w:tcPr>
            <w:tcW w:w="1180" w:type="dxa"/>
            <w:vAlign w:val="bottom"/>
            <w:tcBorders>
              <w:bottom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594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Balance at December 31, 2025</w:t>
            </w:r>
          </w:p>
        </w:tc>
        <w:tc>
          <w:tcPr>
            <w:tcW w:w="10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1,896</w:t>
            </w:r>
          </w:p>
        </w:tc>
      </w:tr>
      <w:tr>
        <w:trPr>
          <w:trHeight w:val="20"/>
        </w:trPr>
        <w:tc>
          <w:tcPr>
            <w:tcW w:w="5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Estimates of economically recoverable oil and natural gas reserves and of future net revenues are based upon a number of variable factors and assumptions, all of which are to some degree subjective and may vary considerably from actual results. Therefore, actual production, revenues, development and operating expenditures may not occur as estimated. The reserve data are estimates only, are subject to many uncertainties and are based on data gained from production histories and on assumptions as to geologic formations and other matters. Actual quantities of oil and natural gas may differ materially from the amounts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2"/>
    </w:lvl>
  </w:abstractNum>
  <w:abstractNum w:abstractNumId="2">
    <w:nsid w:val="2EB141F2"/>
    <w:multiLevelType w:val="hybridMultilevel"/>
    <w:lvl w:ilvl="0">
      <w:lvlJc w:val="left"/>
      <w:lvlText w:val="(%1)"/>
      <w:numFmt w:val="lowerLetter"/>
      <w:start w:val="4"/>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upp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2026-06-22T16:15:54Z</dcterms:created>
  <dcterms:modified xsi:type="dcterms:W3CDTF">2026-06-22T16:15:54Z</dcterms:modified>
</cp:coreProperties>
</file>