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1107.xml.htm"/>
      <w:bookmarkStart w:id="1" w:name="kswkform4_17833711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INGLIS ANDREW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8176 PARK LANE,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Kosmos Energy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1051"/>
        <w:gridCol w:w="440"/>
        <w:gridCol w:w="703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221,171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4,763,978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85,935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4,678,043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 units were granted under the Issuer's Long Term Incentive Plan (the "Plan") and are scheduled to vest 100% on July 1, 2026, subject to the terms of the Plan and the applicable award agreement issued thereunder.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sold to satisfy the tax withholding requirement arising from the vesting of restricted share units granted to the reporting person under the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above reflects the weighted average sales price. Sales of shares took place at actual prices ranging from $2.00 to $2.115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Josh R. Marion,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00834" TargetMode="External"/><Relationship Id="rId5" Type="http://schemas.openxmlformats.org/officeDocument/2006/relationships/hyperlink" Target="http://www.sec.gov/cgi-bin/browse-edgar?action=getcompany&amp;CIK=00015099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3572</Characters>
  <CharactersWithSpaces>4170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