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242570</wp:posOffset>
            </wp:positionH>
            <wp:positionV relativeFrom="page">
              <wp:posOffset>688975</wp:posOffset>
            </wp:positionV>
            <wp:extent cx="7071995" cy="68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1995" cy="68580"/>
                    </a:xfrm>
                    <a:prstGeom prst="rect">
                      <a:avLst/>
                    </a:prstGeom>
                    <a:noFill/>
                  </pic:spPr>
                </pic:pic>
              </a:graphicData>
            </a:graphic>
          </wp:anchor>
        </w:drawing>
      </w: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October 30, 2026</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KOSMOS ENERGY LTD.</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4700" w:type="dxa"/>
            <w:vAlign w:val="bottom"/>
            <w:gridSpan w:val="3"/>
          </w:tcPr>
          <w:p>
            <w:pPr>
              <w:ind w:left="1420"/>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2680" w:type="dxa"/>
            <w:vAlign w:val="bottom"/>
          </w:tcPr>
          <w:p>
            <w:pPr>
              <w:jc w:val="center"/>
              <w:ind w:right="856"/>
              <w:spacing w:after="0"/>
              <w:rPr>
                <w:sz w:val="20"/>
                <w:szCs w:val="20"/>
                <w:color w:val="auto"/>
              </w:rPr>
            </w:pPr>
            <w:r>
              <w:rPr>
                <w:rFonts w:ascii="Times New Roman" w:cs="Times New Roman" w:eastAsia="Times New Roman" w:hAnsi="Times New Roman"/>
                <w:sz w:val="17"/>
                <w:szCs w:val="17"/>
                <w:b w:val="1"/>
                <w:bCs w:val="1"/>
                <w:color w:val="auto"/>
              </w:rPr>
              <w:t>001-35167</w:t>
            </w:r>
          </w:p>
        </w:tc>
        <w:tc>
          <w:tcPr>
            <w:tcW w:w="18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98-0686001</w:t>
            </w:r>
          </w:p>
        </w:tc>
      </w:tr>
      <w:tr>
        <w:trPr>
          <w:trHeight w:val="183"/>
        </w:trPr>
        <w:tc>
          <w:tcPr>
            <w:tcW w:w="4700" w:type="dxa"/>
            <w:vAlign w:val="bottom"/>
            <w:gridSpan w:val="3"/>
          </w:tcPr>
          <w:p>
            <w:pPr>
              <w:ind w:left="800"/>
              <w:spacing w:after="0" w:line="183" w:lineRule="exact"/>
              <w:rPr>
                <w:sz w:val="20"/>
                <w:szCs w:val="20"/>
                <w:color w:val="auto"/>
              </w:rPr>
            </w:pPr>
            <w:r>
              <w:rPr>
                <w:rFonts w:ascii="Times New Roman" w:cs="Times New Roman" w:eastAsia="Times New Roman" w:hAnsi="Times New Roman"/>
                <w:sz w:val="17"/>
                <w:szCs w:val="17"/>
                <w:color w:val="auto"/>
              </w:rPr>
              <w:t>(State or other jurisdiction</w:t>
            </w:r>
          </w:p>
        </w:tc>
        <w:tc>
          <w:tcPr>
            <w:tcW w:w="2860" w:type="dxa"/>
            <w:vAlign w:val="bottom"/>
            <w:gridSpan w:val="2"/>
          </w:tcPr>
          <w:p>
            <w:pPr>
              <w:jc w:val="center"/>
              <w:ind w:right="1140"/>
              <w:spacing w:after="0" w:line="183" w:lineRule="exact"/>
              <w:rPr>
                <w:sz w:val="20"/>
                <w:szCs w:val="20"/>
                <w:color w:val="auto"/>
              </w:rPr>
            </w:pPr>
            <w:r>
              <w:rPr>
                <w:rFonts w:ascii="Times New Roman" w:cs="Times New Roman" w:eastAsia="Times New Roman" w:hAnsi="Times New Roman"/>
                <w:sz w:val="17"/>
                <w:szCs w:val="17"/>
                <w:color w:val="auto"/>
              </w:rPr>
              <w:t>(Commission</w:t>
            </w:r>
          </w:p>
        </w:tc>
        <w:tc>
          <w:tcPr>
            <w:tcW w:w="3620" w:type="dxa"/>
            <w:vAlign w:val="bottom"/>
          </w:tcPr>
          <w:p>
            <w:pPr>
              <w:jc w:val="center"/>
              <w:spacing w:after="0" w:line="183" w:lineRule="exact"/>
              <w:rPr>
                <w:sz w:val="20"/>
                <w:szCs w:val="20"/>
                <w:color w:val="auto"/>
              </w:rPr>
            </w:pPr>
            <w:r>
              <w:rPr>
                <w:rFonts w:ascii="Times New Roman" w:cs="Times New Roman" w:eastAsia="Times New Roman" w:hAnsi="Times New Roman"/>
                <w:sz w:val="17"/>
                <w:szCs w:val="17"/>
                <w:color w:val="auto"/>
                <w:w w:val="99"/>
              </w:rPr>
              <w:t>(I.R.S. Employer</w:t>
            </w:r>
          </w:p>
        </w:tc>
      </w:tr>
      <w:tr>
        <w:trPr>
          <w:trHeight w:val="222"/>
        </w:trPr>
        <w:tc>
          <w:tcPr>
            <w:tcW w:w="4700" w:type="dxa"/>
            <w:vAlign w:val="bottom"/>
            <w:gridSpan w:val="3"/>
          </w:tcPr>
          <w:p>
            <w:pPr>
              <w:ind w:left="1180"/>
              <w:spacing w:after="0"/>
              <w:rPr>
                <w:sz w:val="20"/>
                <w:szCs w:val="20"/>
                <w:color w:val="auto"/>
              </w:rPr>
            </w:pPr>
            <w:r>
              <w:rPr>
                <w:rFonts w:ascii="Times New Roman" w:cs="Times New Roman" w:eastAsia="Times New Roman" w:hAnsi="Times New Roman"/>
                <w:sz w:val="17"/>
                <w:szCs w:val="17"/>
                <w:color w:val="auto"/>
              </w:rPr>
              <w:t>of incorporation)</w:t>
            </w:r>
          </w:p>
        </w:tc>
        <w:tc>
          <w:tcPr>
            <w:tcW w:w="2860" w:type="dxa"/>
            <w:vAlign w:val="bottom"/>
            <w:gridSpan w:val="2"/>
          </w:tcPr>
          <w:p>
            <w:pPr>
              <w:jc w:val="center"/>
              <w:ind w:right="1100"/>
              <w:spacing w:after="0"/>
              <w:rPr>
                <w:sz w:val="20"/>
                <w:szCs w:val="20"/>
                <w:color w:val="auto"/>
              </w:rPr>
            </w:pPr>
            <w:r>
              <w:rPr>
                <w:rFonts w:ascii="Times New Roman" w:cs="Times New Roman" w:eastAsia="Times New Roman" w:hAnsi="Times New Roman"/>
                <w:sz w:val="17"/>
                <w:szCs w:val="17"/>
                <w:color w:val="auto"/>
                <w:w w:val="99"/>
              </w:rPr>
              <w:t>File Number)</w:t>
            </w:r>
          </w:p>
        </w:tc>
        <w:tc>
          <w:tcPr>
            <w:tcW w:w="3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Identification No.)</w:t>
            </w:r>
          </w:p>
        </w:tc>
      </w:tr>
      <w:tr>
        <w:trPr>
          <w:trHeight w:val="338"/>
        </w:trPr>
        <w:tc>
          <w:tcPr>
            <w:tcW w:w="4700" w:type="dxa"/>
            <w:vAlign w:val="bottom"/>
            <w:gridSpan w:val="3"/>
          </w:tcPr>
          <w:p>
            <w:pPr>
              <w:ind w:left="2440"/>
              <w:spacing w:after="0"/>
              <w:rPr>
                <w:sz w:val="20"/>
                <w:szCs w:val="20"/>
                <w:color w:val="auto"/>
              </w:rPr>
            </w:pPr>
            <w:r>
              <w:rPr>
                <w:rFonts w:ascii="Times New Roman" w:cs="Times New Roman" w:eastAsia="Times New Roman" w:hAnsi="Times New Roman"/>
                <w:sz w:val="17"/>
                <w:szCs w:val="17"/>
                <w:b w:val="1"/>
                <w:bCs w:val="1"/>
                <w:color w:val="auto"/>
              </w:rPr>
              <w:t>8176 Park Lane</w:t>
            </w:r>
          </w:p>
        </w:tc>
        <w:tc>
          <w:tcPr>
            <w:tcW w:w="2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30"/>
        </w:trPr>
        <w:tc>
          <w:tcPr>
            <w:tcW w:w="4700" w:type="dxa"/>
            <w:vAlign w:val="bottom"/>
            <w:gridSpan w:val="3"/>
          </w:tcPr>
          <w:p>
            <w:pPr>
              <w:jc w:val="center"/>
              <w:ind w:left="1156"/>
              <w:spacing w:after="0"/>
              <w:rPr>
                <w:sz w:val="20"/>
                <w:szCs w:val="20"/>
                <w:color w:val="auto"/>
              </w:rPr>
            </w:pPr>
            <w:r>
              <w:rPr>
                <w:rFonts w:ascii="Times New Roman" w:cs="Times New Roman" w:eastAsia="Times New Roman" w:hAnsi="Times New Roman"/>
                <w:sz w:val="17"/>
                <w:szCs w:val="17"/>
                <w:b w:val="1"/>
                <w:bCs w:val="1"/>
                <w:color w:val="auto"/>
                <w:w w:val="97"/>
              </w:rPr>
              <w:t>Dallas, Texas</w:t>
            </w:r>
          </w:p>
        </w:tc>
        <w:tc>
          <w:tcPr>
            <w:tcW w:w="2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20" w:type="dxa"/>
            <w:vAlign w:val="bottom"/>
          </w:tcPr>
          <w:p>
            <w:pPr>
              <w:jc w:val="right"/>
              <w:ind w:right="2036"/>
              <w:spacing w:after="0"/>
              <w:rPr>
                <w:sz w:val="20"/>
                <w:szCs w:val="20"/>
                <w:color w:val="auto"/>
              </w:rPr>
            </w:pPr>
            <w:r>
              <w:rPr>
                <w:rFonts w:ascii="Times New Roman" w:cs="Times New Roman" w:eastAsia="Times New Roman" w:hAnsi="Times New Roman"/>
                <w:sz w:val="17"/>
                <w:szCs w:val="17"/>
                <w:b w:val="1"/>
                <w:bCs w:val="1"/>
                <w:color w:val="auto"/>
              </w:rPr>
              <w:t>75231</w:t>
            </w:r>
          </w:p>
        </w:tc>
      </w:tr>
      <w:tr>
        <w:trPr>
          <w:trHeight w:val="230"/>
        </w:trPr>
        <w:tc>
          <w:tcPr>
            <w:tcW w:w="4700" w:type="dxa"/>
            <w:vAlign w:val="bottom"/>
            <w:gridSpan w:val="3"/>
          </w:tcPr>
          <w:p>
            <w:pPr>
              <w:jc w:val="center"/>
              <w:ind w:left="1196"/>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2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20" w:type="dxa"/>
            <w:vAlign w:val="bottom"/>
          </w:tcPr>
          <w:p>
            <w:pPr>
              <w:jc w:val="center"/>
              <w:ind w:right="976"/>
              <w:spacing w:after="0"/>
              <w:rPr>
                <w:sz w:val="20"/>
                <w:szCs w:val="20"/>
                <w:color w:val="auto"/>
              </w:rPr>
            </w:pPr>
            <w:r>
              <w:rPr>
                <w:rFonts w:ascii="Times New Roman" w:cs="Times New Roman" w:eastAsia="Times New Roman" w:hAnsi="Times New Roman"/>
                <w:sz w:val="17"/>
                <w:szCs w:val="17"/>
                <w:color w:val="auto"/>
              </w:rPr>
              <w:t>(Zip Code)</w:t>
            </w:r>
          </w:p>
        </w:tc>
      </w:tr>
      <w:tr>
        <w:trPr>
          <w:trHeight w:val="350"/>
        </w:trPr>
        <w:tc>
          <w:tcPr>
            <w:tcW w:w="4700" w:type="dxa"/>
            <w:vAlign w:val="bottom"/>
            <w:gridSpan w:val="3"/>
          </w:tcPr>
          <w:p>
            <w:pPr>
              <w:ind w:left="118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860" w:type="dxa"/>
            <w:vAlign w:val="bottom"/>
            <w:gridSpan w:val="2"/>
          </w:tcPr>
          <w:p>
            <w:pPr>
              <w:jc w:val="center"/>
              <w:ind w:right="1120"/>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58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18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80" w:type="dxa"/>
            <w:vAlign w:val="bottom"/>
            <w:tcBorders>
              <w:top w:val="single" w:sz="8" w:color="auto"/>
            </w:tcBorders>
          </w:tcPr>
          <w:p>
            <w:pPr>
              <w:jc w:val="center"/>
              <w:ind w:right="856"/>
              <w:spacing w:after="0"/>
              <w:rPr>
                <w:sz w:val="20"/>
                <w:szCs w:val="20"/>
                <w:color w:val="auto"/>
              </w:rPr>
            </w:pPr>
            <w:r>
              <w:rPr>
                <w:rFonts w:ascii="Times New Roman" w:cs="Times New Roman" w:eastAsia="Times New Roman" w:hAnsi="Times New Roman"/>
                <w:sz w:val="16"/>
                <w:szCs w:val="16"/>
                <w:color w:val="auto"/>
              </w:rPr>
              <w:t>KOS</w:t>
            </w:r>
          </w:p>
        </w:tc>
        <w:tc>
          <w:tcPr>
            <w:tcW w:w="180" w:type="dxa"/>
            <w:vAlign w:val="bottom"/>
          </w:tcPr>
          <w:p>
            <w:pPr>
              <w:spacing w:after="0"/>
              <w:rPr>
                <w:sz w:val="17"/>
                <w:szCs w:val="17"/>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16"/>
        </w:trPr>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London Stock Exchange</w:t>
            </w:r>
          </w:p>
        </w:tc>
      </w:tr>
    </w:tbl>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+1 214 445 9600</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244" w:lineRule="exact"/>
        <w:rPr>
          <w:sz w:val="24"/>
          <w:szCs w:val="24"/>
          <w:color w:val="auto"/>
        </w:rPr>
      </w:pPr>
    </w:p>
    <w:p>
      <w:pPr>
        <w:ind w:right="520"/>
        <w:spacing w:after="0" w:line="281"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204"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263"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77"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63"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250" w:lineRule="exact"/>
        <w:rPr>
          <w:sz w:val="24"/>
          <w:szCs w:val="24"/>
          <w:color w:val="auto"/>
        </w:rPr>
      </w:pPr>
    </w:p>
    <w:p>
      <w:pPr>
        <w:ind w:right="260"/>
        <w:spacing w:after="0" w:line="281"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4"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9"/>
          <w:szCs w:val="19"/>
          <w:color w:val="auto"/>
        </w:rPr>
        <w:t>☐</w:t>
      </w:r>
    </w:p>
    <w:p>
      <w:pPr>
        <w:spacing w:after="0" w:line="314" w:lineRule="exact"/>
        <w:rPr>
          <w:sz w:val="24"/>
          <w:szCs w:val="24"/>
          <w:color w:val="auto"/>
        </w:rPr>
      </w:pPr>
    </w:p>
    <w:p>
      <w:pPr>
        <w:spacing w:after="0" w:line="234"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59690</wp:posOffset>
            </wp:positionV>
            <wp:extent cx="7071995"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1995" cy="6858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3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On October 30, 2026, Kosmos Energy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amended and restated its existing commercial debt facility by entering into an amended and restated facility agreement (the “</w:t>
      </w:r>
      <w:r>
        <w:rPr>
          <w:rFonts w:ascii="Times New Roman" w:cs="Times New Roman" w:eastAsia="Times New Roman" w:hAnsi="Times New Roman"/>
          <w:sz w:val="18"/>
          <w:szCs w:val="18"/>
          <w:b w:val="1"/>
          <w:bCs w:val="1"/>
          <w:color w:val="auto"/>
        </w:rPr>
        <w:t>A&amp;R RBL</w:t>
      </w:r>
      <w:r>
        <w:rPr>
          <w:rFonts w:ascii="Times New Roman" w:cs="Times New Roman" w:eastAsia="Times New Roman" w:hAnsi="Times New Roman"/>
          <w:sz w:val="18"/>
          <w:szCs w:val="18"/>
          <w:color w:val="auto"/>
        </w:rPr>
        <w:t>”) and certain ancillary documents.</w:t>
      </w:r>
    </w:p>
    <w:p>
      <w:pPr>
        <w:spacing w:after="0" w:line="18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A&amp;R RBL makes certain amendments to the terms of the existing amended and restated commercial debt facility, subject to certain conditions and exceptions, including without limitation:</w:t>
      </w:r>
    </w:p>
    <w:p>
      <w:pPr>
        <w:spacing w:after="0" w:line="21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the extension of the final maturity date to April 1, 2033;</w:t>
      </w:r>
    </w:p>
    <w:p>
      <w:pPr>
        <w:spacing w:after="0" w:line="14" w:lineRule="exact"/>
        <w:rPr>
          <w:rFonts w:ascii="Arial" w:cs="Arial" w:eastAsia="Arial" w:hAnsi="Arial"/>
          <w:sz w:val="22"/>
          <w:szCs w:val="22"/>
          <w:color w:val="auto"/>
        </w:rPr>
      </w:pPr>
    </w:p>
    <w:p>
      <w:pPr>
        <w:ind w:left="660" w:hanging="328"/>
        <w:spacing w:after="0" w:line="218"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extension of the amortization schedule such that reduction of principal is to commence on October 1, 2029 and then continue in equal amounts every six months thereafter until the final maturity date;</w:t>
      </w:r>
    </w:p>
    <w:p>
      <w:pPr>
        <w:ind w:left="660" w:hanging="328"/>
        <w:spacing w:after="0" w:line="230" w:lineRule="auto"/>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 applicable interest margin of 4.50% for the first three years, with subsequent increases during the amortization period;</w:t>
      </w:r>
    </w:p>
    <w:p>
      <w:pPr>
        <w:spacing w:after="0" w:line="12" w:lineRule="exact"/>
        <w:rPr>
          <w:rFonts w:ascii="Times New Roman" w:cs="Times New Roman" w:eastAsia="Times New Roman" w:hAnsi="Times New Roman"/>
          <w:sz w:val="22"/>
          <w:szCs w:val="22"/>
          <w:color w:val="auto"/>
        </w:rPr>
      </w:pPr>
    </w:p>
    <w:p>
      <w:pPr>
        <w:ind w:left="660" w:hanging="328"/>
        <w:spacing w:after="0" w:line="226"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addition of a new minimum liquidity covenant requiring the Company to maintain a minimum liquidity of $200 million to be tested semi-annually beginning on March 31, 2027; and</w:t>
      </w:r>
    </w:p>
    <w:p>
      <w:pPr>
        <w:ind w:left="660" w:hanging="328"/>
        <w:spacing w:after="0" w:line="230" w:lineRule="auto"/>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functional removal of the debt service reserves account.</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Following these amendments, total facility size under the A&amp;R RBL has been reduced to $1.2 billion in line with total commitments. The Company also has the option, subject to certain conditions and exceptions, to increase total available commitments by up to an additional $550 million, for a total of $1.75 billion.</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expects to incur approximately $20 million in fees and expenses (~1.7% of total commitments) associated with entering into the A&amp;R RBL, which such fees and expenses are expected to be amortized over the term of the A&amp;R RBL.</w:t>
      </w:r>
    </w:p>
    <w:p>
      <w:pPr>
        <w:spacing w:after="0" w:line="18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A&amp;R RBL contains other customary representations and warranties, covenants and informational undertakings, in each case, subject to certain exceptions and conditions. The A&amp;R RBL also provides for certain customary events of default, including, among other things, payment defaults, breach of representations and warranties, covenant defaults, cross-defaults to certain indebtedness, certain events of insolvency, judgment defaults, and repudiation or rescission of certain documents supporting the A&amp;R RBL. If such an event of default occurs, the agents under such A&amp;R RBL are entitled to take various actions, including the cancellation of any outstanding commitments, acceleration of amounts due thereunder and taking certain permitted enforcement actions under the ancillary security documents, subject in each case to the terms of the A&amp;R RBL and such security documents.</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A&amp;R RBL is not complete and is qualified in its entirety by reference to the full text of the A&amp;R RBL, a copy of which will be filed as an exhibit to the Company’s annual report on Form 10-K for the year-ended December 31,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required by this item is included in Item 1.01 above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2" w:name="page3"/>
    <w:bookmarkEnd w:id="2"/>
    <w:p>
      <w:pPr>
        <w:ind w:left="38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 November 2, 2026</w:t>
      </w:r>
    </w:p>
    <w:p>
      <w:pPr>
        <w:spacing w:after="0" w:line="2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KOSMOS ENERGY LTD.</w:t>
      </w:r>
    </w:p>
    <w:p>
      <w:pPr>
        <w:spacing w:after="0" w:line="200" w:lineRule="exact"/>
        <w:rPr>
          <w:sz w:val="20"/>
          <w:szCs w:val="20"/>
          <w:color w:val="auto"/>
        </w:rPr>
      </w:pPr>
    </w:p>
    <w:p>
      <w:pPr>
        <w:spacing w:after="0" w:line="336" w:lineRule="exact"/>
        <w:rPr>
          <w:sz w:val="20"/>
          <w:szCs w:val="20"/>
          <w:color w:val="auto"/>
        </w:rPr>
      </w:pPr>
    </w:p>
    <w:p>
      <w:pPr>
        <w:ind w:left="660"/>
        <w:spacing w:after="0"/>
        <w:tabs>
          <w:tab w:leader="none" w:pos="3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Neal D.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17145</wp:posOffset>
            </wp:positionV>
            <wp:extent cx="4963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63160" cy="8255"/>
                    </a:xfrm>
                    <a:prstGeom prst="rect">
                      <a:avLst/>
                    </a:prstGeom>
                    <a:noFill/>
                  </pic:spPr>
                </pic:pic>
              </a:graphicData>
            </a:graphic>
          </wp:anchor>
        </w:drawing>
      </w:r>
    </w:p>
    <w:p>
      <w:pPr>
        <w:spacing w:after="0" w:line="1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Neal D. Shah</w:t>
      </w:r>
    </w:p>
    <w:p>
      <w:pPr>
        <w:spacing w:after="0" w:line="2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220"/>
      </w:cols>
      <w:pgMar w:left="320" w:top="123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2026-11-02T05:46:55Z</dcterms:created>
  <dcterms:modified xsi:type="dcterms:W3CDTF">2026-11-02T05:46:55Z</dcterms:modified>
</cp:coreProperties>
</file>