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242570</wp:posOffset>
            </wp:positionH>
            <wp:positionV relativeFrom="page">
              <wp:posOffset>688975</wp:posOffset>
            </wp:positionV>
            <wp:extent cx="707199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1995" cy="68580"/>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2,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KOSMOS ENERGY LTD.</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4700" w:type="dxa"/>
            <w:vAlign w:val="bottom"/>
            <w:gridSpan w:val="3"/>
          </w:tcPr>
          <w:p>
            <w:pPr>
              <w:ind w:left="142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680" w:type="dxa"/>
            <w:vAlign w:val="bottom"/>
          </w:tcPr>
          <w:p>
            <w:pPr>
              <w:jc w:val="center"/>
              <w:ind w:right="856"/>
              <w:spacing w:after="0"/>
              <w:rPr>
                <w:sz w:val="20"/>
                <w:szCs w:val="20"/>
                <w:color w:val="auto"/>
              </w:rPr>
            </w:pPr>
            <w:r>
              <w:rPr>
                <w:rFonts w:ascii="Times New Roman" w:cs="Times New Roman" w:eastAsia="Times New Roman" w:hAnsi="Times New Roman"/>
                <w:sz w:val="17"/>
                <w:szCs w:val="17"/>
                <w:b w:val="1"/>
                <w:bCs w:val="1"/>
                <w:color w:val="auto"/>
              </w:rPr>
              <w:t>001-35167</w:t>
            </w:r>
          </w:p>
        </w:tc>
        <w:tc>
          <w:tcPr>
            <w:tcW w:w="18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98-0686001</w:t>
            </w:r>
          </w:p>
        </w:tc>
      </w:tr>
      <w:tr>
        <w:trPr>
          <w:trHeight w:val="183"/>
        </w:trPr>
        <w:tc>
          <w:tcPr>
            <w:tcW w:w="4700" w:type="dxa"/>
            <w:vAlign w:val="bottom"/>
            <w:gridSpan w:val="3"/>
          </w:tcPr>
          <w:p>
            <w:pPr>
              <w:ind w:left="800"/>
              <w:spacing w:after="0" w:line="183" w:lineRule="exact"/>
              <w:rPr>
                <w:sz w:val="20"/>
                <w:szCs w:val="20"/>
                <w:color w:val="auto"/>
              </w:rPr>
            </w:pPr>
            <w:r>
              <w:rPr>
                <w:rFonts w:ascii="Times New Roman" w:cs="Times New Roman" w:eastAsia="Times New Roman" w:hAnsi="Times New Roman"/>
                <w:sz w:val="17"/>
                <w:szCs w:val="17"/>
                <w:color w:val="auto"/>
              </w:rPr>
              <w:t>(State or other jurisdiction</w:t>
            </w:r>
          </w:p>
        </w:tc>
        <w:tc>
          <w:tcPr>
            <w:tcW w:w="2860" w:type="dxa"/>
            <w:vAlign w:val="bottom"/>
            <w:gridSpan w:val="2"/>
          </w:tcPr>
          <w:p>
            <w:pPr>
              <w:jc w:val="center"/>
              <w:ind w:right="1140"/>
              <w:spacing w:after="0" w:line="183" w:lineRule="exact"/>
              <w:rPr>
                <w:sz w:val="20"/>
                <w:szCs w:val="20"/>
                <w:color w:val="auto"/>
              </w:rPr>
            </w:pPr>
            <w:r>
              <w:rPr>
                <w:rFonts w:ascii="Times New Roman" w:cs="Times New Roman" w:eastAsia="Times New Roman" w:hAnsi="Times New Roman"/>
                <w:sz w:val="17"/>
                <w:szCs w:val="17"/>
                <w:color w:val="auto"/>
              </w:rPr>
              <w:t>(Commission</w:t>
            </w:r>
          </w:p>
        </w:tc>
        <w:tc>
          <w:tcPr>
            <w:tcW w:w="362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w w:val="99"/>
              </w:rPr>
              <w:t>(I.R.S. Employer</w:t>
            </w:r>
          </w:p>
        </w:tc>
      </w:tr>
      <w:tr>
        <w:trPr>
          <w:trHeight w:val="222"/>
        </w:trPr>
        <w:tc>
          <w:tcPr>
            <w:tcW w:w="4700" w:type="dxa"/>
            <w:vAlign w:val="bottom"/>
            <w:gridSpan w:val="3"/>
          </w:tcPr>
          <w:p>
            <w:pPr>
              <w:ind w:left="1180"/>
              <w:spacing w:after="0"/>
              <w:rPr>
                <w:sz w:val="20"/>
                <w:szCs w:val="20"/>
                <w:color w:val="auto"/>
              </w:rPr>
            </w:pPr>
            <w:r>
              <w:rPr>
                <w:rFonts w:ascii="Times New Roman" w:cs="Times New Roman" w:eastAsia="Times New Roman" w:hAnsi="Times New Roman"/>
                <w:sz w:val="17"/>
                <w:szCs w:val="17"/>
                <w:color w:val="auto"/>
              </w:rPr>
              <w:t>of incorporation)</w:t>
            </w:r>
          </w:p>
        </w:tc>
        <w:tc>
          <w:tcPr>
            <w:tcW w:w="2860" w:type="dxa"/>
            <w:vAlign w:val="bottom"/>
            <w:gridSpan w:val="2"/>
          </w:tcPr>
          <w:p>
            <w:pPr>
              <w:jc w:val="center"/>
              <w:ind w:right="1100"/>
              <w:spacing w:after="0"/>
              <w:rPr>
                <w:sz w:val="20"/>
                <w:szCs w:val="20"/>
                <w:color w:val="auto"/>
              </w:rPr>
            </w:pPr>
            <w:r>
              <w:rPr>
                <w:rFonts w:ascii="Times New Roman" w:cs="Times New Roman" w:eastAsia="Times New Roman" w:hAnsi="Times New Roman"/>
                <w:sz w:val="17"/>
                <w:szCs w:val="17"/>
                <w:color w:val="auto"/>
                <w:w w:val="99"/>
              </w:rPr>
              <w:t>File Number)</w:t>
            </w:r>
          </w:p>
        </w:tc>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338"/>
        </w:trPr>
        <w:tc>
          <w:tcPr>
            <w:tcW w:w="4700" w:type="dxa"/>
            <w:vAlign w:val="bottom"/>
            <w:gridSpan w:val="3"/>
          </w:tcPr>
          <w:p>
            <w:pPr>
              <w:ind w:left="2440"/>
              <w:spacing w:after="0"/>
              <w:rPr>
                <w:sz w:val="20"/>
                <w:szCs w:val="20"/>
                <w:color w:val="auto"/>
              </w:rPr>
            </w:pPr>
            <w:r>
              <w:rPr>
                <w:rFonts w:ascii="Times New Roman" w:cs="Times New Roman" w:eastAsia="Times New Roman" w:hAnsi="Times New Roman"/>
                <w:sz w:val="17"/>
                <w:szCs w:val="17"/>
                <w:b w:val="1"/>
                <w:bCs w:val="1"/>
                <w:color w:val="auto"/>
              </w:rPr>
              <w:t>8176 Park Lane</w:t>
            </w: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30"/>
        </w:trPr>
        <w:tc>
          <w:tcPr>
            <w:tcW w:w="4700" w:type="dxa"/>
            <w:vAlign w:val="bottom"/>
            <w:gridSpan w:val="3"/>
          </w:tcPr>
          <w:p>
            <w:pPr>
              <w:jc w:val="center"/>
              <w:ind w:left="1156"/>
              <w:spacing w:after="0"/>
              <w:rPr>
                <w:sz w:val="20"/>
                <w:szCs w:val="20"/>
                <w:color w:val="auto"/>
              </w:rPr>
            </w:pPr>
            <w:r>
              <w:rPr>
                <w:rFonts w:ascii="Times New Roman" w:cs="Times New Roman" w:eastAsia="Times New Roman" w:hAnsi="Times New Roman"/>
                <w:sz w:val="17"/>
                <w:szCs w:val="17"/>
                <w:b w:val="1"/>
                <w:bCs w:val="1"/>
                <w:color w:val="auto"/>
                <w:w w:val="97"/>
              </w:rPr>
              <w:t>Dallas, Texas</w:t>
            </w:r>
          </w:p>
        </w:tc>
        <w:tc>
          <w:tcPr>
            <w:tcW w:w="2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20" w:type="dxa"/>
            <w:vAlign w:val="bottom"/>
          </w:tcPr>
          <w:p>
            <w:pPr>
              <w:jc w:val="right"/>
              <w:ind w:right="2036"/>
              <w:spacing w:after="0"/>
              <w:rPr>
                <w:sz w:val="20"/>
                <w:szCs w:val="20"/>
                <w:color w:val="auto"/>
              </w:rPr>
            </w:pPr>
            <w:r>
              <w:rPr>
                <w:rFonts w:ascii="Times New Roman" w:cs="Times New Roman" w:eastAsia="Times New Roman" w:hAnsi="Times New Roman"/>
                <w:sz w:val="17"/>
                <w:szCs w:val="17"/>
                <w:b w:val="1"/>
                <w:bCs w:val="1"/>
                <w:color w:val="auto"/>
              </w:rPr>
              <w:t>75231</w:t>
            </w:r>
          </w:p>
        </w:tc>
      </w:tr>
      <w:tr>
        <w:trPr>
          <w:trHeight w:val="230"/>
        </w:trPr>
        <w:tc>
          <w:tcPr>
            <w:tcW w:w="4700" w:type="dxa"/>
            <w:vAlign w:val="bottom"/>
            <w:gridSpan w:val="3"/>
          </w:tcPr>
          <w:p>
            <w:pPr>
              <w:jc w:val="center"/>
              <w:ind w:left="1196"/>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2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20" w:type="dxa"/>
            <w:vAlign w:val="bottom"/>
          </w:tcPr>
          <w:p>
            <w:pPr>
              <w:jc w:val="center"/>
              <w:ind w:right="976"/>
              <w:spacing w:after="0"/>
              <w:rPr>
                <w:sz w:val="20"/>
                <w:szCs w:val="20"/>
                <w:color w:val="auto"/>
              </w:rPr>
            </w:pPr>
            <w:r>
              <w:rPr>
                <w:rFonts w:ascii="Times New Roman" w:cs="Times New Roman" w:eastAsia="Times New Roman" w:hAnsi="Times New Roman"/>
                <w:sz w:val="17"/>
                <w:szCs w:val="17"/>
                <w:color w:val="auto"/>
              </w:rPr>
              <w:t>(Zip Code)</w:t>
            </w:r>
          </w:p>
        </w:tc>
      </w:tr>
      <w:tr>
        <w:trPr>
          <w:trHeight w:val="350"/>
        </w:trPr>
        <w:tc>
          <w:tcPr>
            <w:tcW w:w="4700" w:type="dxa"/>
            <w:vAlign w:val="bottom"/>
            <w:gridSpan w:val="3"/>
          </w:tcPr>
          <w:p>
            <w:pPr>
              <w:ind w:left="11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6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58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tcPr>
          <w:p>
            <w:pPr>
              <w:jc w:val="center"/>
              <w:ind w:right="856"/>
              <w:spacing w:after="0"/>
              <w:rPr>
                <w:sz w:val="20"/>
                <w:szCs w:val="20"/>
                <w:color w:val="auto"/>
              </w:rPr>
            </w:pPr>
            <w:r>
              <w:rPr>
                <w:rFonts w:ascii="Times New Roman" w:cs="Times New Roman" w:eastAsia="Times New Roman" w:hAnsi="Times New Roman"/>
                <w:sz w:val="16"/>
                <w:szCs w:val="16"/>
                <w:color w:val="auto"/>
              </w:rPr>
              <w:t>KOS</w:t>
            </w:r>
          </w:p>
        </w:tc>
        <w:tc>
          <w:tcPr>
            <w:tcW w:w="180" w:type="dxa"/>
            <w:vAlign w:val="bottom"/>
          </w:tcPr>
          <w:p>
            <w:pPr>
              <w:spacing w:after="0"/>
              <w:rPr>
                <w:sz w:val="17"/>
                <w:szCs w:val="17"/>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London Stock Exchange</w:t>
            </w:r>
          </w:p>
        </w:tc>
      </w:tr>
    </w:tbl>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+1 214 445 9600</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44" w:lineRule="exact"/>
        <w:rPr>
          <w:sz w:val="24"/>
          <w:szCs w:val="24"/>
          <w:color w:val="auto"/>
        </w:rPr>
      </w:pPr>
    </w:p>
    <w:p>
      <w:pPr>
        <w:ind w:right="520"/>
        <w:spacing w:after="0" w:line="281"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20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63"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77"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63"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50" w:lineRule="exact"/>
        <w:rPr>
          <w:sz w:val="24"/>
          <w:szCs w:val="24"/>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4"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9"/>
          <w:szCs w:val="19"/>
          <w:color w:val="auto"/>
        </w:rPr>
        <w:t>☐</w:t>
      </w:r>
    </w:p>
    <w:p>
      <w:pPr>
        <w:spacing w:after="0" w:line="314" w:lineRule="exact"/>
        <w:rPr>
          <w:sz w:val="24"/>
          <w:szCs w:val="24"/>
          <w:color w:val="auto"/>
        </w:rPr>
      </w:pPr>
    </w:p>
    <w:p>
      <w:pPr>
        <w:spacing w:after="0" w:line="23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59690</wp:posOffset>
            </wp:positionV>
            <wp:extent cx="7071995"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1995" cy="685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November 2, 2026, Kosmos Energy Ltd. (the “Company”) issued a news release announcing results for the fiscal quarter ended September 30, 2026. A copy of the news release issued by the Company is attached hereto as Exhibit 99.1 and is incorporated herein by reference.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in this Form 8-K and Exhibit 99.1 shall not be deemed “filed” for purposes of Section 18 of the Securities Exchange Act of 1934, as amended, or otherwise subject to liabilities of that Section.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On November 2, 2026, the Company issued a news release announcing results for the fiscal quarter ended September 30, 2026. A copy of the news release issued by the Company is attached hereto as Exhibit 99.1 and is incorporated herein by reference.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in this Form 8-K and Exhibit 99.1 shall not be deemed “filed” for purposes of Section 18 of the Securities Exchange Act of 1934, as amended, or otherwise subject to liabilities of that Section.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54" w:lineRule="exact"/>
        <w:rPr>
          <w:sz w:val="20"/>
          <w:szCs w:val="20"/>
          <w:color w:val="auto"/>
        </w:rPr>
      </w:pPr>
    </w:p>
    <w:p>
      <w:pPr>
        <w:ind w:left="480" w:hanging="4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The following exhibit is furnished as part of this current report on Form 8-K:</w:t>
      </w:r>
    </w:p>
    <w:p>
      <w:pPr>
        <w:spacing w:after="0" w:line="279" w:lineRule="exact"/>
        <w:rPr>
          <w:sz w:val="20"/>
          <w:szCs w:val="20"/>
          <w:color w:val="auto"/>
        </w:rPr>
      </w:pPr>
    </w:p>
    <w:p>
      <w:pPr>
        <w:ind w:left="480"/>
        <w:spacing w:after="0"/>
        <w:tabs>
          <w:tab w:leader="none" w:pos="14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November 2, 2026 announcing results for the fiscal quarter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2" w:name="page3"/>
    <w:bookmarkEnd w:id="2"/>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14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KOSMOS ENERGY LTD.</w:t>
      </w:r>
    </w:p>
    <w:p>
      <w:pPr>
        <w:spacing w:after="0" w:line="200" w:lineRule="exact"/>
        <w:rPr>
          <w:sz w:val="20"/>
          <w:szCs w:val="20"/>
          <w:color w:val="auto"/>
        </w:rPr>
      </w:pPr>
    </w:p>
    <w:p>
      <w:pPr>
        <w:spacing w:after="0" w:line="336" w:lineRule="exact"/>
        <w:rPr>
          <w:sz w:val="20"/>
          <w:szCs w:val="20"/>
          <w:color w:val="auto"/>
        </w:rPr>
      </w:pPr>
    </w:p>
    <w:p>
      <w:pPr>
        <w:ind w:left="5860"/>
        <w:spacing w:after="0"/>
        <w:tabs>
          <w:tab w:leader="none" w:pos="6320" w:val="left"/>
        </w:tabs>
        <w:rPr>
          <w:sz w:val="20"/>
          <w:szCs w:val="20"/>
          <w:color w:val="auto"/>
        </w:rPr>
      </w:pPr>
      <w:r>
        <w:rPr>
          <w:rFonts w:ascii="Times New Roman" w:cs="Times New Roman" w:eastAsia="Times New Roman" w:hAnsi="Times New Roman"/>
          <w:sz w:val="18"/>
          <w:szCs w:val="18"/>
          <w:color w:val="auto"/>
        </w:rPr>
        <w:t>By:</w:t>
        <w:tab/>
        <w:t>/s/ NEAL D.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Neal D. Shah</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29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47"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6978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line="41"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November 2, 2026 announcing results for the fiscal quarter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999"/>
          </w:cols>
          <w:pgMar w:left="460" w:top="144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339975" cy="625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997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2"/>
          <w:szCs w:val="32"/>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07758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7585" cy="342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KOSMOS ENERGY ANNOUNCES THIRD QUARTER 2026 RESULTS</w:t>
      </w:r>
    </w:p>
    <w:p>
      <w:pPr>
        <w:spacing w:after="0" w:line="33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22"/>
          <w:szCs w:val="22"/>
          <w:color w:val="auto"/>
        </w:rPr>
        <w:t>DALLAS - November 2, 2026-- Kosmos Energy Ltd. (“Kosmos” or the “Company”) (NYSE/LSE: KOS) announced today its financial and operating results for the third quarter of 2026. For the quarter, the Company generated a net loss of $43 million, or $0.07 per diluted share. When adjusted for certain items that impact the comparability of results, the Company generated an adjusted net income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$35 million, or $0.06 per diluted share for the third quarter of 2026.</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THIRD QUARTER 2026 AND POST QUARTER END HIGHLIGHTS</w:t>
      </w:r>
    </w:p>
    <w:p>
      <w:pPr>
        <w:spacing w:after="0" w:line="258" w:lineRule="exact"/>
        <w:rPr>
          <w:sz w:val="20"/>
          <w:szCs w:val="20"/>
          <w:color w:val="auto"/>
        </w:rPr>
      </w:pPr>
    </w:p>
    <w:p>
      <w:pPr>
        <w:ind w:left="660" w:right="200" w:hanging="328"/>
        <w:spacing w:after="0" w:line="221"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Net Production</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~69,200 barrels of oil equivalent per day (boepd), up ~6% versus third quarter 2025 (~17% excluding Equatorial Guinea)</w:t>
      </w:r>
    </w:p>
    <w:p>
      <w:pPr>
        <w:spacing w:after="0" w:line="24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Revenues: $410 million, or $71.39 per barrel of oil equivalent (boe) (excluding the impact of derivative cash settlements)</w:t>
      </w:r>
    </w:p>
    <w:p>
      <w:pPr>
        <w:spacing w:after="0" w:line="285" w:lineRule="exact"/>
        <w:rPr>
          <w:rFonts w:ascii="Times New Roman" w:cs="Times New Roman" w:eastAsia="Times New Roman" w:hAnsi="Times New Roman"/>
          <w:sz w:val="21"/>
          <w:szCs w:val="21"/>
          <w:color w:val="auto"/>
        </w:rPr>
      </w:pPr>
    </w:p>
    <w:p>
      <w:pPr>
        <w:ind w:left="660" w:hanging="328"/>
        <w:spacing w:after="0" w:line="258"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Production expense: $102 million (or $17.72 per boe), a reduction in absolute production expenses of ~31% compared to third quarter 2025</w:t>
      </w:r>
    </w:p>
    <w:p>
      <w:pPr>
        <w:spacing w:after="0" w:line="2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expenditures: $85 million</w:t>
      </w:r>
    </w:p>
    <w:p>
      <w:pPr>
        <w:spacing w:after="0" w:line="31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Jubilee 2025/26 drilling campaign completed with seven wells successfully drilled during the program</w:t>
      </w:r>
    </w:p>
    <w:p>
      <w:pPr>
        <w:spacing w:after="0" w:line="314" w:lineRule="exact"/>
        <w:rPr>
          <w:rFonts w:ascii="Times New Roman" w:cs="Times New Roman" w:eastAsia="Times New Roman" w:hAnsi="Times New Roman"/>
          <w:sz w:val="22"/>
          <w:szCs w:val="22"/>
          <w:color w:val="auto"/>
        </w:rPr>
      </w:pPr>
    </w:p>
    <w:p>
      <w:pPr>
        <w:ind w:left="660" w:hanging="328"/>
        <w:spacing w:after="0" w:line="335"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Completed the Tiberius farm-down, securing a mix of upfront cash consideration, carry for future capital expenditure and future milestone payments</w:t>
      </w:r>
    </w:p>
    <w:p>
      <w:pPr>
        <w:spacing w:after="0" w:line="184" w:lineRule="exact"/>
        <w:rPr>
          <w:rFonts w:ascii="Times New Roman" w:cs="Times New Roman" w:eastAsia="Times New Roman" w:hAnsi="Times New Roman"/>
          <w:sz w:val="22"/>
          <w:szCs w:val="22"/>
          <w:color w:val="auto"/>
        </w:rPr>
      </w:pPr>
    </w:p>
    <w:p>
      <w:pPr>
        <w:ind w:left="660" w:hanging="328"/>
        <w:spacing w:after="0" w:line="269"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Reduced net debt</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by over $500 million through the end of the third quarter and are on track to achieve our 20% debt reduction target in 2026</w:t>
      </w:r>
    </w:p>
    <w:p>
      <w:pPr>
        <w:spacing w:after="0" w:line="246" w:lineRule="exact"/>
        <w:rPr>
          <w:rFonts w:ascii="Times New Roman" w:cs="Times New Roman" w:eastAsia="Times New Roman" w:hAnsi="Times New Roman"/>
          <w:sz w:val="22"/>
          <w:szCs w:val="22"/>
          <w:color w:val="auto"/>
        </w:rPr>
      </w:pPr>
    </w:p>
    <w:p>
      <w:pPr>
        <w:ind w:left="660" w:right="20" w:hanging="328"/>
        <w:spacing w:after="0" w:line="335"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Successfully completed the $1.2 billion reserve-based lending (RBL) facility amendment and extension, further addressing near-term maturities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Commenting on the Company’s third quarter 2026 performance, Chairman and Chief Executive Officer Andrew G. Inglis said: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“Kosmos continued to make meaningful progress during the third quarter against the four objectives we</w:t>
      </w:r>
    </w:p>
    <w:p>
      <w:pPr>
        <w:sectPr>
          <w:pgSz w:w="11900" w:h="16838" w:orient="portrait"/>
          <w:cols w:equalWidth="0" w:num="1">
            <w:col w:w="11240"/>
          </w:cols>
          <w:pgMar w:left="320" w:top="608" w:right="339" w:bottom="1440" w:gutter="0" w:footer="0" w:header="0"/>
        </w:sectPr>
      </w:pPr>
    </w:p>
    <w:bookmarkStart w:id="5" w:name="page6"/>
    <w:bookmarkEnd w:id="5"/>
    <w:p>
      <w:pPr>
        <w:jc w:val="both"/>
        <w:spacing w:after="0" w:line="321" w:lineRule="auto"/>
        <w:rPr>
          <w:sz w:val="20"/>
          <w:szCs w:val="20"/>
          <w:color w:val="auto"/>
        </w:rPr>
      </w:pPr>
      <w:r>
        <w:rPr>
          <w:rFonts w:ascii="Times New Roman" w:cs="Times New Roman" w:eastAsia="Times New Roman" w:hAnsi="Times New Roman"/>
          <w:sz w:val="22"/>
          <w:szCs w:val="22"/>
          <w:color w:val="auto"/>
        </w:rPr>
        <w:t>established at the beginning of the year: increase production, lower costs, reduce debt and advance our quality growth opportunities. Through a combination of strong operational execution, reduced costs, disciplined capital allocation and proactive financing, we continue to strengthen our business.</w:t>
      </w:r>
    </w:p>
    <w:p>
      <w:pPr>
        <w:spacing w:after="0" w:line="200"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22"/>
          <w:szCs w:val="22"/>
          <w:color w:val="auto"/>
        </w:rPr>
        <w:t>In Ghana, the 2025/26 Jubilee drilling campaign successfully delivered seven wells and demonstrated the continued quality of the infill opportunities of this midlife asset. At GTA, production continues to be strong with solid reservoir performance. Across the portfolio, we remain focused on maximizing value from our existing assets while investing selectively in growth opportunities with attractive returns.</w:t>
      </w:r>
    </w:p>
    <w:p>
      <w:pPr>
        <w:spacing w:after="0" w:line="207"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22"/>
          <w:szCs w:val="22"/>
          <w:color w:val="auto"/>
        </w:rPr>
        <w:t>Financially, 2026 continues to represent a year of significant progress for Kosmos. Since the beginning of the year, we have materially improved liquidity, reduced debt, extended maturities, lowered leverage and strengthened the overall credit profile of the company. With the RBL re-financing complete, we have further increased our financial resilience and will now look to address our 2028 bond maturities.</w:t>
      </w:r>
    </w:p>
    <w:p>
      <w:pPr>
        <w:spacing w:after="0" w:line="207"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2"/>
          <w:szCs w:val="22"/>
          <w:color w:val="auto"/>
        </w:rPr>
        <w:t>Looking ahead, our focus remains clear and we expect to make continued progress against our four strategic priorities, entering 2027 in a much stronger position with multiple catalysts across the portfolio to create additional value.”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UPDATE</w:t>
      </w:r>
    </w:p>
    <w:p>
      <w:pPr>
        <w:spacing w:after="0" w:line="31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2"/>
          <w:szCs w:val="22"/>
          <w:color w:val="auto"/>
        </w:rPr>
        <w:t>The Company generated net cash provided by operating activities of approximately $164 million and free cash flow</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approximately $90 million in the third quarter. Kosmos has now delivered three consecutive quarters of positive free cash flow with year-to-date free cash flow of $193 million, reflecting continued operational performance, higher realized pricing and disciplined capital spending. Kosmos exited the third quarter of 2026 with approximately $2.47 billion of net debt</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and approximately $570 million of liquidity.</w:t>
      </w:r>
    </w:p>
    <w:p>
      <w:pPr>
        <w:spacing w:after="0" w:line="232"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22"/>
          <w:szCs w:val="22"/>
          <w:color w:val="auto"/>
        </w:rPr>
        <w:t>In October, Kosmos completed the amendment and extension of the RBL with a facility size and total commitments of $1.2 billion. The final maturity has been extended to April 2033. Following the significant reduction in debt year-to-date and $750 million currently drawn on the facility, there are no planned amortization payments until 2031.</w:t>
      </w:r>
    </w:p>
    <w:p>
      <w:pPr>
        <w:spacing w:after="0" w:line="200"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2"/>
          <w:szCs w:val="22"/>
          <w:color w:val="auto"/>
        </w:rPr>
        <w:t>With strong operational performance for the year and continued debt reduction, we are on track to achieve our ~20% net debt reduction target for 2026 with year-end net debt expected to be below $2.4 billion and leverage expected to fall towards 2.0x.</w:t>
      </w:r>
    </w:p>
    <w:p>
      <w:pPr>
        <w:spacing w:after="0" w:line="185"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2"/>
          <w:szCs w:val="22"/>
          <w:color w:val="auto"/>
        </w:rPr>
        <w:t>Net capital expenditure for the third quarter of 2026 was $85 million, in line with guidance. Full year 2026 capital expenditure guidance of approximately $350 million is unchanged.</w:t>
      </w:r>
    </w:p>
    <w:p>
      <w:pPr>
        <w:sectPr>
          <w:pgSz w:w="11900" w:h="16838" w:orient="portrait"/>
          <w:cols w:equalWidth="0" w:num="1">
            <w:col w:w="11240"/>
          </w:cols>
          <w:pgMar w:left="320" w:top="639" w:right="339" w:bottom="1440" w:gutter="0" w:footer="0" w:header="0"/>
        </w:sectPr>
      </w:pPr>
    </w:p>
    <w:bookmarkStart w:id="6" w:name="page7"/>
    <w:bookmarkEnd w:id="6"/>
    <w:p>
      <w:pPr>
        <w:jc w:val="both"/>
        <w:spacing w:after="0" w:line="362" w:lineRule="auto"/>
        <w:rPr>
          <w:sz w:val="20"/>
          <w:szCs w:val="20"/>
          <w:color w:val="auto"/>
        </w:rPr>
      </w:pPr>
      <w:r>
        <w:rPr>
          <w:rFonts w:ascii="Times New Roman" w:cs="Times New Roman" w:eastAsia="Times New Roman" w:hAnsi="Times New Roman"/>
          <w:sz w:val="21"/>
          <w:szCs w:val="21"/>
          <w:color w:val="auto"/>
        </w:rPr>
        <w:t>Kosmos has continued to take advantage of higher oil prices to add further hedges for 2027. The Company has 8 million barrels of oil hedged for 2027 with an average floor of approximately $68/barrel and an average ceiling of approximately $84/barrel.</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OPERATIONAL UPDATE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Production</w:t>
      </w:r>
    </w:p>
    <w:p>
      <w:pPr>
        <w:spacing w:after="0" w:line="33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2"/>
          <w:szCs w:val="22"/>
          <w:color w:val="auto"/>
        </w:rPr>
        <w:t>Total net production</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in the third quarter of 2026 averaged approximately 69,200 boepd, in line with guidance. Sales for the third quarter of 2026 were approximately 62,400 boepd.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exited the quarter in a net underlift position of approximately 1.1 mmboe.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Ghana</w:t>
      </w:r>
    </w:p>
    <w:p>
      <w:pPr>
        <w:spacing w:after="0" w:line="345" w:lineRule="exact"/>
        <w:rPr>
          <w:sz w:val="20"/>
          <w:szCs w:val="20"/>
          <w:color w:val="auto"/>
        </w:rPr>
      </w:pPr>
    </w:p>
    <w:p>
      <w:pPr>
        <w:jc w:val="both"/>
        <w:ind w:right="20"/>
        <w:spacing w:after="0" w:line="373" w:lineRule="auto"/>
        <w:rPr>
          <w:sz w:val="20"/>
          <w:szCs w:val="20"/>
          <w:color w:val="auto"/>
        </w:rPr>
      </w:pPr>
      <w:r>
        <w:rPr>
          <w:rFonts w:ascii="Times New Roman" w:cs="Times New Roman" w:eastAsia="Times New Roman" w:hAnsi="Times New Roman"/>
          <w:sz w:val="22"/>
          <w:szCs w:val="22"/>
          <w:color w:val="auto"/>
        </w:rPr>
        <w:t>Production in Ghana averaged approximately 40,500 boepd net in the third quarter of 2026, which included gas production of approximately 6,800 boepd. 2.75 Jubilee cargo liftings took place in the third quarter, in line with guidance.</w:t>
      </w:r>
    </w:p>
    <w:p>
      <w:pPr>
        <w:spacing w:after="0" w:line="199"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22"/>
          <w:szCs w:val="22"/>
          <w:color w:val="auto"/>
        </w:rPr>
        <w:t>At Jubilee (38.6% working interest), oil production in the third quarter averaged approximately 84,500 bopd gross, approximately 17% higher than the second quarter. During the quarter, Kosmos and its partners completed the 2025/26 drilling campaign, which delivered seven successful infill wells. The final well in the program, a water injector, was drilled and completed during the third quarter. With the drilling activity in 2026 now concluded, the Company continues to work closely with the operator to drive operational excellence to mitigate decline ahead of the 2027/28 drilling campaign, including improved water injection performance, adding gas lift to the west side of the field, production system optimization and high FPSO uptime. Importantly, in September, the partnership secured the Noble Faye Kozack rig for the 2027/28 drilling program of up to 10 wells, which is expected to start in mid-2027.</w:t>
      </w:r>
    </w:p>
    <w:p>
      <w:pPr>
        <w:spacing w:after="0" w:line="191"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22"/>
          <w:szCs w:val="22"/>
          <w:color w:val="auto"/>
        </w:rPr>
        <w:t>At TEN (20.4% working interest), oil production averaged approximately 14,600 bopd gross for the third quarter, in line with expectations. Preparations continue for the ownership and operational transition of the FPSO to the partnership, scheduled for the first quarter of 2027, which is expected to drive a further reduction in operating costs for TEN production thereafter.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Mauritania and Senegal</w:t>
      </w:r>
    </w:p>
    <w:p>
      <w:pPr>
        <w:spacing w:after="0" w:line="318"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2"/>
          <w:szCs w:val="22"/>
          <w:color w:val="auto"/>
        </w:rPr>
        <w:t>Greater Tortue Ahmeyim ("GTA") continued to demonstrate stable operations during the third quarter, delivering cargos slightly ahead of guidance, while maintaining strong reservoir performance.</w:t>
      </w:r>
    </w:p>
    <w:p>
      <w:pPr>
        <w:sectPr>
          <w:pgSz w:w="11900" w:h="16838" w:orient="portrait"/>
          <w:cols w:equalWidth="0" w:num="1">
            <w:col w:w="11240"/>
          </w:cols>
          <w:pgMar w:left="320" w:top="639" w:right="339" w:bottom="1440" w:gutter="0" w:footer="0" w:header="0"/>
        </w:sectPr>
      </w:pPr>
    </w:p>
    <w:bookmarkStart w:id="7" w:name="page8"/>
    <w:bookmarkEnd w:id="7"/>
    <w:p>
      <w:pPr>
        <w:jc w:val="both"/>
        <w:spacing w:after="0" w:line="312" w:lineRule="auto"/>
        <w:rPr>
          <w:sz w:val="20"/>
          <w:szCs w:val="20"/>
          <w:color w:val="auto"/>
        </w:rPr>
      </w:pPr>
      <w:r>
        <w:rPr>
          <w:rFonts w:ascii="Times New Roman" w:cs="Times New Roman" w:eastAsia="Times New Roman" w:hAnsi="Times New Roman"/>
          <w:sz w:val="22"/>
          <w:szCs w:val="22"/>
          <w:color w:val="auto"/>
        </w:rPr>
        <w:t>GTA production averaged approximately 14,600 boepd net during the quarter, or approximately 2.44 mtpa of LNG equivalent gross, reflecting warmer seasonal temperatures as previously guided. The partnership lifted 8.5 gross LNG cargos in the third quarter, slightly above guidance, bringing the total number of gross LNG cargos for the nine months ended September 30 to 27. Full year gross LNG cargo liftings are expected to be at the upper end of the 32-36 guidance range. The third gross condensate cargo of the year was lifted by Kosmos and the national oil companies of Mauritania and Senegal at the beginning of the fourth quarter, with timing slightly impacted by weather.</w:t>
      </w:r>
    </w:p>
    <w:p>
      <w:pPr>
        <w:spacing w:after="0" w:line="214"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2"/>
          <w:szCs w:val="22"/>
          <w:color w:val="auto"/>
        </w:rPr>
        <w:t>Work continues to advance domestic gas initiatives and Phase 1+ development planning, with several positive engagements with our host governments and partners in recent weeks regarding the future development of the resource.</w:t>
      </w:r>
    </w:p>
    <w:p>
      <w:pPr>
        <w:spacing w:after="0" w:line="185"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22"/>
          <w:szCs w:val="22"/>
          <w:color w:val="auto"/>
        </w:rPr>
        <w:t>In Senegal, Réseau Gazier du Sénégal, the operator of the gas pipeline, reported that the first phase of the onshore pipeline (the "Northern Segment") to connect the GTA hub to the 230 megawatt Gandon power plant is over 25% complete as of October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Gulf of America</w:t>
      </w:r>
    </w:p>
    <w:p>
      <w:pPr>
        <w:spacing w:after="0" w:line="318"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1"/>
          <w:szCs w:val="21"/>
          <w:color w:val="auto"/>
        </w:rPr>
        <w:t>Production in the Gulf of America averaged approximately 14,100 boepd net (~83% oil) during the third quarter, in line with guidance, reflecting continued strong performance from the Company's operated assets, partially offset by host facility downtime.</w:t>
      </w:r>
    </w:p>
    <w:p>
      <w:pPr>
        <w:spacing w:after="0" w:line="163"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22"/>
          <w:szCs w:val="22"/>
          <w:color w:val="auto"/>
        </w:rPr>
        <w:t>In the fourth quarter, Gulf of America production is expected to be impacted by planned Delta House platform maintenance (Odd Job host facility), a workover on the Kodiak-1 well and downtime associated with Hurricane Isaias, and has been reflected in the Company's fourth quarter guidance.</w:t>
      </w:r>
    </w:p>
    <w:p>
      <w:pPr>
        <w:spacing w:after="0" w:line="200"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22"/>
          <w:szCs w:val="22"/>
          <w:color w:val="auto"/>
        </w:rPr>
        <w:t>On the Kosmos-operated Tiberius project, Kosmos successfully completed a highly competitive farm out process in July, with Navitas becoming a 33.33% partner in the project alongside Kosmos (33.34%) and Occidental (33.33%, as well as an owner and operator of the host facility, Lucius). The consideration for the farm down was a mix of upfront cash, carry for future development capital expenditure, and future milestone payments, preserving significant future upside and reducing near-term capital requirements. The carry is expected to cover Kosmos' spend on the project through 2026 and the first half of 2027.</w:t>
      </w:r>
    </w:p>
    <w:p>
      <w:pPr>
        <w:spacing w:after="0" w:line="208"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22"/>
          <w:szCs w:val="22"/>
          <w:color w:val="auto"/>
        </w:rPr>
        <w:t>Kosmos continues to mature several high-return growth opportunities, including Trailblazer, while maintaining a disciplined approach to capital allocation. Trailblazer (~200 mmboe gross resource) is the first exploration well to be drilled through the exploration alliance with Shell announced earlier in the year. Drilling is expected to commence in the first half of 2027. In the event of success, Trailblazer could be tied back into Shell's nearby Appomattox platform with Kosmos designated as development operator.</w:t>
      </w:r>
    </w:p>
    <w:p>
      <w:pPr>
        <w:sectPr>
          <w:pgSz w:w="11900" w:h="16838" w:orient="portrait"/>
          <w:cols w:equalWidth="0" w:num="1">
            <w:col w:w="11240"/>
          </w:cols>
          <w:pgMar w:left="320" w:top="882" w:right="339" w:bottom="1440" w:gutter="0" w:footer="0" w:header="0"/>
        </w:sectPr>
      </w:pPr>
    </w:p>
    <w:bookmarkStart w:id="8" w:name="page9"/>
    <w:bookmarkEnd w:id="8"/>
    <w:p>
      <w:pPr>
        <w:jc w:val="both"/>
        <w:ind w:firstLine="8"/>
        <w:spacing w:after="0" w:line="307" w:lineRule="auto"/>
        <w:tabs>
          <w:tab w:leader="none" w:pos="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Non-GAAP measure, see attached reconciliation of non-GAAP measure. Net debt excludes $63.9 million TEN FPSO finance lease liability. For purposes of the debt cover ratio calculation under the RBL Facility, the finance lease liability is included in net debt.</w:t>
      </w:r>
    </w:p>
    <w:p>
      <w:pPr>
        <w:spacing w:after="0" w:line="1" w:lineRule="exact"/>
        <w:rPr>
          <w:rFonts w:ascii="Times New Roman" w:cs="Times New Roman" w:eastAsia="Times New Roman" w:hAnsi="Times New Roman"/>
          <w:sz w:val="22"/>
          <w:szCs w:val="22"/>
          <w:color w:val="auto"/>
        </w:rPr>
      </w:pPr>
    </w:p>
    <w:p>
      <w:pPr>
        <w:jc w:val="both"/>
        <w:ind w:firstLine="8"/>
        <w:spacing w:after="0" w:line="321" w:lineRule="auto"/>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Production means net entitlement volumes. In Ghana and Mauritania and Senegal this means those volumes net to Kosmos' working interest or participating interest and net of royalty or production sharing contract effect. In the Gulf of America, this means those volumes net to Kosmos' working interest and net of royalty.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and Webcast Information</w:t>
      </w:r>
    </w:p>
    <w:p>
      <w:pPr>
        <w:spacing w:after="0" w:line="31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22"/>
          <w:szCs w:val="22"/>
          <w:color w:val="auto"/>
        </w:rPr>
        <w:t>Kosmos will host a conference call and webcast to discuss third quarter 2026 financial and operating results today, November 2, 2026, at 10:00 a.m. Central time (11:00 a.m. Eastern time). The live webcast of the event can be accessed on the Investors page of Kosmos’ website at http://investors.kosmosenergy.com/investor-events. The dial-in telephone number for the call is +1-800-715-9871. Callers in the United Kingdom should call 0800 260 6466. Callers outside the United States should dial +1-646-307-1963. A replay of the webcast will be available on the Investors page of Kosmos’ website for approximately 90 days following the event.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Kosmos Energy</w:t>
      </w:r>
    </w:p>
    <w:p>
      <w:pPr>
        <w:spacing w:after="0" w:line="31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22"/>
          <w:szCs w:val="22"/>
          <w:color w:val="auto"/>
        </w:rPr>
        <w:t>Kosmos Energy is a leading deepwater exploration and production company focused on meeting the world’s growing demand for energy. We have diversified oil and gas production from assets offshore Ghana, Mauritania, Senegal and the Gulf of America. Additionally, in the proven basins where we operate we are advancing high-quality development opportunities, which have come from our exploration success. Kosmos is listed on the NYSE and LSE and is traded under the ticker symbol KOS. As an ethical and transparent company, Kosmos is committed to doing things the right way. The Company’s Business Principles articulate our commitment to transparency, ethics, human rights, safety and the environment. Read more about this commitment in the Kosmos Sustainability Report. For additional information, visit www.kosmosenergy.com.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Non-GAAP Financial Measures</w:t>
      </w:r>
    </w:p>
    <w:p>
      <w:pPr>
        <w:spacing w:after="0" w:line="31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21"/>
          <w:szCs w:val="21"/>
          <w:i w:val="1"/>
          <w:iCs w:val="1"/>
          <w:color w:val="auto"/>
        </w:rPr>
        <w:t>EBITDAX, Adjusted net income (loss), Adjusted net income (loss) per share, free cash flow, and net debt are supplemental non-GAAP financial measures used by management and external users of the Company's consolidated financial statements, such as industry analysts, investors, lenders and rating agencies. The Company defines EBITDAX as Net income (loss) plus (i) exploration expense, (ii) depletion, depreciation and amortization expense, (iii) equity based compensation expense, (iv) unrealized (gain) loss on commodity derivatives (realized losses are deducted and realized gains are added back), (v) (gain) loss on sale of oil and gas properties, (vi) interest (income) expense, (vii) income taxes, (viii) debt modifications and extinguishments,</w:t>
      </w:r>
    </w:p>
    <w:p>
      <w:pPr>
        <w:jc w:val="both"/>
        <w:ind w:firstLine="8"/>
        <w:spacing w:after="0" w:line="315" w:lineRule="auto"/>
        <w:tabs>
          <w:tab w:leader="none" w:pos="393"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doubtful accounts expense and (x) similar other material items which management believes affect the comparability of operating results. The Company defines Adjusted net income (loss) as Net income (loss) adjusted for certain items that impact the comparability of results. The Company defines free cash flow as net cash provided by operating activities less Oil and gas assets, Other property, and certain other items that may affect the comparability of results and excludes non-recurring activity such as acquisitions, divestitures and National Oil Company ("NOC") financing.</w:t>
      </w:r>
    </w:p>
    <w:p>
      <w:pPr>
        <w:sectPr>
          <w:pgSz w:w="11900" w:h="16838" w:orient="portrait"/>
          <w:cols w:equalWidth="0" w:num="1">
            <w:col w:w="11240"/>
          </w:cols>
          <w:pgMar w:left="320" w:top="639" w:right="339" w:bottom="1440" w:gutter="0" w:footer="0" w:header="0"/>
        </w:sectPr>
      </w:pPr>
    </w:p>
    <w:bookmarkStart w:id="9" w:name="page10"/>
    <w:bookmarkEnd w:id="9"/>
    <w:p>
      <w:pPr>
        <w:jc w:val="both"/>
        <w:spacing w:after="0" w:line="317" w:lineRule="auto"/>
        <w:rPr>
          <w:sz w:val="20"/>
          <w:szCs w:val="20"/>
          <w:color w:val="auto"/>
        </w:rPr>
      </w:pPr>
      <w:r>
        <w:rPr>
          <w:rFonts w:ascii="Times New Roman" w:cs="Times New Roman" w:eastAsia="Times New Roman" w:hAnsi="Times New Roman"/>
          <w:sz w:val="22"/>
          <w:szCs w:val="22"/>
          <w:i w:val="1"/>
          <w:iCs w:val="1"/>
          <w:color w:val="auto"/>
        </w:rPr>
        <w:t>NOC financing refers to the amounts funded by Kosmos under the Carry Advance Agreements that the Company has in place with the national oil companies of each of Mauritania and Senegal related to the financing of the respective national oil companies’ share of certain development costs at Greater Tortue Ahmeyim. The Company defines net debt as total long-term debt less cash and cash equivalents and total restricted cash.</w:t>
      </w:r>
    </w:p>
    <w:p>
      <w:pPr>
        <w:spacing w:after="0" w:line="20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2"/>
          <w:szCs w:val="22"/>
          <w:i w:val="1"/>
          <w:iCs w:val="1"/>
          <w:color w:val="auto"/>
        </w:rPr>
        <w:t>We believe that EBITDAX, Adjusted net income (loss), Adjusted net income (loss) per share, free cash flow, Net debt and other similar measures are useful to investors because they are frequently used by securities analysts, investors and other interested parties in the evaluation of companies in the oil and gas sector and will provide investors with a useful tool for assessing the comparability between periods, among securities analysts, as well as company by company. EBITDAX, Adjusted net income (loss), Adjusted net income (loss) per share, free cash flow, and net debt as presented by us may not be comparable to similarly titled measures of other companies.</w:t>
      </w:r>
    </w:p>
    <w:p>
      <w:pPr>
        <w:spacing w:after="0" w:line="234"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2"/>
          <w:szCs w:val="22"/>
          <w:i w:val="1"/>
          <w:iCs w:val="1"/>
          <w:color w:val="auto"/>
        </w:rPr>
        <w:t>This release also contains certain forward-looking non-GAAP financial measures, including free cash flow. Due to the forward-looking nature of the aforementioned non-GAAP financial measures, management cannot reliably or reasonably predict certain of the necessary components of the most directly comparable forward-looking GAAP measures, such as future impairments and future changes in working capital. Accordingly, we are unable to present a quantitative reconciliation of such forward-looking non-GAAP financial measures to their most directly comparable forward-looking GAAP financial measures. Amounts excluded from these non-GAAP measures in future periods could be significant.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Forward-Looking Statements</w:t>
      </w:r>
    </w:p>
    <w:p>
      <w:pPr>
        <w:spacing w:after="0" w:line="31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1"/>
          <w:szCs w:val="21"/>
          <w:i w:val="1"/>
          <w:iCs w:val="1"/>
          <w:color w:val="auto"/>
        </w:rPr>
        <w:t>This press release contains forward-looking statements within the meaning of Section 27A of the Securities Act of 1933 and Section 21E of the Securities Exchange Act of 1934. All statements, other than statements of historical facts, included in this press release that address activities, events or developments that Kosmos expects, believes or anticipates will or may occur in the future are forward-looking statements. Kosmos’ estimates and forward-looking statements are mainly based on its current expectations and estimates of future events and trends, which affect or may affect its businesses and operations. Although Kosmos believes that these estimates and forward-looking statements are based upon reasonable assumptions, they are subject to several risks and uncertainties and are made in light of information currently available to Kosmos. When used in this press release, the words “anticipate,” “believe,” “intend,” “expect,” “plan,” “will” or other similar words are intended to identify forward-looking statements. Such statements are subject to a number of assumptions, risks and uncertainties, many of which are beyond the control of Kosmos, which may cause actual results to differ materially from those implied or expressed by the forward-looking statements. Further information on such assumptions, risks and uncertainties is available in Kosmos’ Securities and Exchange Commission (“SEC”) filings. Kosmos undertakes no obligation and does not intend to update or correct these forward-looking statements to reflect events or circumstances occurring after the date of this press release, except as required by applicable law. You are cautioned not to place undue reliance on these forward-looking statements, which speak only as of the date of this press release. All forward-looking statements are qualified in their entirety by this cautionary statement.</w:t>
      </w:r>
    </w:p>
    <w:p>
      <w:pPr>
        <w:sectPr>
          <w:pgSz w:w="11900" w:h="16838" w:orient="portrait"/>
          <w:cols w:equalWidth="0" w:num="1">
            <w:col w:w="11240"/>
          </w:cols>
          <w:pgMar w:left="320" w:top="6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639" w:right="1440"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Kosmos Energy Ltd.</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(In thousands, except per share amounts, 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20" w:type="dxa"/>
            <w:vAlign w:val="bottom"/>
            <w:gridSpan w:val="5"/>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180" w:type="dxa"/>
            <w:vAlign w:val="bottom"/>
          </w:tcPr>
          <w:p>
            <w:pPr>
              <w:spacing w:after="0"/>
              <w:rPr>
                <w:sz w:val="23"/>
                <w:szCs w:val="23"/>
                <w:color w:val="auto"/>
              </w:rPr>
            </w:pPr>
          </w:p>
        </w:tc>
        <w:tc>
          <w:tcPr>
            <w:tcW w:w="2320" w:type="dxa"/>
            <w:vAlign w:val="bottom"/>
            <w:gridSpan w:val="4"/>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87"/>
        </w:trPr>
        <w:tc>
          <w:tcPr>
            <w:tcW w:w="5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5"/>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8"/>
              </w:rPr>
              <w:t>September 30,</w:t>
            </w:r>
          </w:p>
        </w:tc>
        <w:tc>
          <w:tcPr>
            <w:tcW w:w="180" w:type="dxa"/>
            <w:vAlign w:val="bottom"/>
          </w:tcPr>
          <w:p>
            <w:pPr>
              <w:spacing w:after="0"/>
              <w:rPr>
                <w:sz w:val="24"/>
                <w:szCs w:val="24"/>
                <w:color w:val="auto"/>
              </w:rPr>
            </w:pPr>
          </w:p>
        </w:tc>
        <w:tc>
          <w:tcPr>
            <w:tcW w:w="2320" w:type="dxa"/>
            <w:vAlign w:val="bottom"/>
            <w:gridSpan w:val="4"/>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September 30,</w:t>
            </w:r>
          </w:p>
        </w:tc>
      </w:tr>
      <w:tr>
        <w:trPr>
          <w:trHeight w:val="264"/>
        </w:trPr>
        <w:tc>
          <w:tcPr>
            <w:tcW w:w="58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50"/>
        </w:trPr>
        <w:tc>
          <w:tcPr>
            <w:tcW w:w="58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22"/>
                <w:szCs w:val="22"/>
                <w:b w:val="1"/>
                <w:bCs w:val="1"/>
                <w:color w:val="auto"/>
              </w:rPr>
              <w:t>Revenues and other income:</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70"/>
        </w:trPr>
        <w:tc>
          <w:tcPr>
            <w:tcW w:w="5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Oil and gas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410,059</w:t>
            </w: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310,959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1,388,040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993,729</w:t>
            </w:r>
          </w:p>
        </w:tc>
      </w:tr>
      <w:tr>
        <w:trPr>
          <w:trHeight w:val="270"/>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2"/>
                <w:szCs w:val="22"/>
                <w:color w:val="auto"/>
              </w:rPr>
              <w:t>Gain (loss) on sale of assets</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(339)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9,082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600</w:t>
            </w:r>
          </w:p>
        </w:tc>
      </w:tr>
      <w:tr>
        <w:trPr>
          <w:trHeight w:val="270"/>
        </w:trPr>
        <w:tc>
          <w:tcPr>
            <w:tcW w:w="5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2"/>
                <w:szCs w:val="22"/>
                <w:color w:val="auto"/>
              </w:rPr>
              <w:t>Other income, net</w:t>
            </w: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690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849</w:t>
            </w:r>
          </w:p>
        </w:tc>
      </w:tr>
      <w:tr>
        <w:trPr>
          <w:trHeight w:val="263"/>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color w:val="auto"/>
              </w:rPr>
              <w:t>Total revenues and other income</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409,880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311,229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1,397,812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995,178</w:t>
            </w:r>
          </w:p>
        </w:tc>
      </w:tr>
      <w:tr>
        <w:trPr>
          <w:trHeight w:val="270"/>
        </w:trPr>
        <w:tc>
          <w:tcPr>
            <w:tcW w:w="5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Costs and expenses:</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70"/>
        </w:trPr>
        <w:tc>
          <w:tcPr>
            <w:tcW w:w="5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Oil and gas production</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101,756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147,696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411,780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558,122</w:t>
            </w:r>
          </w:p>
        </w:tc>
      </w:tr>
      <w:tr>
        <w:trPr>
          <w:trHeight w:val="270"/>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2"/>
                <w:szCs w:val="22"/>
                <w:color w:val="auto"/>
              </w:rPr>
              <w:t>Exploration expenses</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4,239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54,948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27,180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68,686</w:t>
            </w:r>
          </w:p>
        </w:tc>
      </w:tr>
      <w:tr>
        <w:trPr>
          <w:trHeight w:val="270"/>
        </w:trPr>
        <w:tc>
          <w:tcPr>
            <w:tcW w:w="5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65,655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58,215</w:t>
            </w:r>
          </w:p>
        </w:tc>
      </w:tr>
      <w:tr>
        <w:trPr>
          <w:trHeight w:val="270"/>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2"/>
                <w:szCs w:val="22"/>
                <w:color w:val="auto"/>
              </w:rPr>
              <w:t>Depletion, depreciation and amortization</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112,228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141,514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352,602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413,449</w:t>
            </w:r>
          </w:p>
        </w:tc>
      </w:tr>
      <w:tr>
        <w:trPr>
          <w:trHeight w:val="270"/>
        </w:trPr>
        <w:tc>
          <w:tcPr>
            <w:tcW w:w="5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Interest and other financing costs, net</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53,746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57,919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166,248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164,595</w:t>
            </w:r>
          </w:p>
        </w:tc>
      </w:tr>
      <w:tr>
        <w:trPr>
          <w:trHeight w:val="270"/>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2"/>
                <w:szCs w:val="22"/>
                <w:color w:val="auto"/>
              </w:rPr>
              <w:t>Derivatives, net</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133,876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(3,646)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334,063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(18,480)</w:t>
            </w:r>
          </w:p>
        </w:tc>
      </w:tr>
      <w:tr>
        <w:trPr>
          <w:trHeight w:val="270"/>
        </w:trPr>
        <w:tc>
          <w:tcPr>
            <w:tcW w:w="5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2"/>
                <w:szCs w:val="22"/>
                <w:color w:val="auto"/>
              </w:rPr>
              <w:t>Other expenses, net</w:t>
            </w: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12,680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6,384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26,225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14,854</w:t>
            </w:r>
          </w:p>
        </w:tc>
      </w:tr>
      <w:tr>
        <w:trPr>
          <w:trHeight w:val="263"/>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color w:val="auto"/>
              </w:rPr>
              <w:t>Total costs and expenses</w:t>
            </w: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437,207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417,701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1,383,753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1,259,441</w:t>
            </w:r>
          </w:p>
        </w:tc>
      </w:tr>
      <w:tr>
        <w:trPr>
          <w:trHeight w:val="250"/>
        </w:trPr>
        <w:tc>
          <w:tcPr>
            <w:tcW w:w="5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Income (loss) before income taxes</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(27,327)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(106,472)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14,059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(264,263)</w:t>
            </w:r>
          </w:p>
        </w:tc>
      </w:tr>
      <w:tr>
        <w:trPr>
          <w:trHeight w:val="270"/>
        </w:trPr>
        <w:tc>
          <w:tcPr>
            <w:tcW w:w="5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2"/>
                <w:szCs w:val="22"/>
                <w:color w:val="auto"/>
              </w:rPr>
              <w:t>Income tax expense</w:t>
            </w: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15,683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17,827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97,868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58,382</w:t>
            </w:r>
          </w:p>
        </w:tc>
      </w:tr>
      <w:tr>
        <w:trPr>
          <w:trHeight w:val="289"/>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2"/>
                <w:szCs w:val="22"/>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(43,010)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(124,299)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(83,809)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(322,645)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7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Net loss per share:</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70"/>
        </w:trPr>
        <w:tc>
          <w:tcPr>
            <w:tcW w:w="5840" w:type="dxa"/>
            <w:vAlign w:val="bottom"/>
          </w:tcPr>
          <w:p>
            <w:pPr>
              <w:spacing w:after="0"/>
              <w:rPr>
                <w:sz w:val="20"/>
                <w:szCs w:val="20"/>
                <w:color w:val="auto"/>
              </w:rPr>
            </w:pPr>
            <w:r>
              <w:rPr>
                <w:rFonts w:ascii="Times New Roman" w:cs="Times New Roman" w:eastAsia="Times New Roman" w:hAnsi="Times New Roman"/>
                <w:sz w:val="22"/>
                <w:szCs w:val="22"/>
                <w:color w:val="auto"/>
              </w:rPr>
              <w:t>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(0.07)</w:t>
            </w:r>
          </w:p>
        </w:tc>
        <w:tc>
          <w:tcPr>
            <w:tcW w:w="12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(0.26)</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(0.15)</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(0.68)</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9"/>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2"/>
                <w:szCs w:val="22"/>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(0.07)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(0.26)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(0.15)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(0.68)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70"/>
        </w:trPr>
        <w:tc>
          <w:tcPr>
            <w:tcW w:w="5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03"/>
        </w:trPr>
        <w:tc>
          <w:tcPr>
            <w:tcW w:w="5840" w:type="dxa"/>
            <w:vAlign w:val="bottom"/>
          </w:tcPr>
          <w:p>
            <w:pPr>
              <w:spacing w:after="0" w:line="203" w:lineRule="exact"/>
              <w:rPr>
                <w:sz w:val="20"/>
                <w:szCs w:val="20"/>
                <w:color w:val="auto"/>
              </w:rPr>
            </w:pPr>
            <w:r>
              <w:rPr>
                <w:rFonts w:ascii="Times New Roman" w:cs="Times New Roman" w:eastAsia="Times New Roman" w:hAnsi="Times New Roman"/>
                <w:sz w:val="22"/>
                <w:szCs w:val="22"/>
                <w:color w:val="auto"/>
              </w:rPr>
              <w:t>Weighted average number of shares used to compute net loss per</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83"/>
        </w:trPr>
        <w:tc>
          <w:tcPr>
            <w:tcW w:w="58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share:</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2"/>
                <w:szCs w:val="22"/>
                <w:color w:val="auto"/>
              </w:rPr>
              <w:t>Basic</w:t>
            </w:r>
          </w:p>
        </w:tc>
        <w:tc>
          <w:tcPr>
            <w:tcW w:w="1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595,470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478,254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565,363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477,344</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5840" w:type="dxa"/>
            <w:vAlign w:val="bottom"/>
          </w:tcPr>
          <w:p>
            <w:pPr>
              <w:spacing w:after="0" w:line="244" w:lineRule="exact"/>
              <w:rPr>
                <w:sz w:val="20"/>
                <w:szCs w:val="20"/>
                <w:color w:val="auto"/>
              </w:rPr>
            </w:pPr>
            <w:r>
              <w:rPr>
                <w:rFonts w:ascii="Times New Roman" w:cs="Times New Roman" w:eastAsia="Times New Roman" w:hAnsi="Times New Roman"/>
                <w:sz w:val="22"/>
                <w:szCs w:val="22"/>
                <w:color w:val="auto"/>
              </w:rPr>
              <w:t>Diluted</w:t>
            </w: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4" w:lineRule="exact"/>
              <w:rPr>
                <w:sz w:val="20"/>
                <w:szCs w:val="20"/>
                <w:color w:val="auto"/>
              </w:rPr>
            </w:pPr>
            <w:r>
              <w:rPr>
                <w:rFonts w:ascii="Times New Roman" w:cs="Times New Roman" w:eastAsia="Times New Roman" w:hAnsi="Times New Roman"/>
                <w:sz w:val="22"/>
                <w:szCs w:val="22"/>
                <w:color w:val="auto"/>
              </w:rPr>
              <w:t>595,470</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line="244" w:lineRule="exact"/>
              <w:rPr>
                <w:sz w:val="20"/>
                <w:szCs w:val="20"/>
                <w:color w:val="auto"/>
              </w:rPr>
            </w:pPr>
            <w:r>
              <w:rPr>
                <w:rFonts w:ascii="Times New Roman" w:cs="Times New Roman" w:eastAsia="Times New Roman" w:hAnsi="Times New Roman"/>
                <w:sz w:val="22"/>
                <w:szCs w:val="22"/>
                <w:color w:val="auto"/>
              </w:rPr>
              <w:t>478,254</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line="244" w:lineRule="exact"/>
              <w:rPr>
                <w:sz w:val="20"/>
                <w:szCs w:val="20"/>
                <w:color w:val="auto"/>
              </w:rPr>
            </w:pPr>
            <w:r>
              <w:rPr>
                <w:rFonts w:ascii="Times New Roman" w:cs="Times New Roman" w:eastAsia="Times New Roman" w:hAnsi="Times New Roman"/>
                <w:sz w:val="22"/>
                <w:szCs w:val="22"/>
                <w:color w:val="auto"/>
              </w:rPr>
              <w:t>565,363</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4" w:lineRule="exact"/>
              <w:rPr>
                <w:sz w:val="20"/>
                <w:szCs w:val="20"/>
                <w:color w:val="auto"/>
              </w:rPr>
            </w:pPr>
            <w:r>
              <w:rPr>
                <w:rFonts w:ascii="Times New Roman" w:cs="Times New Roman" w:eastAsia="Times New Roman" w:hAnsi="Times New Roman"/>
                <w:sz w:val="22"/>
                <w:szCs w:val="22"/>
                <w:color w:val="auto"/>
              </w:rPr>
              <w:t>477,344</w:t>
            </w: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40"/>
          </w:cols>
          <w:pgMar w:left="480" w:top="851" w:right="47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60" w:type="dxa"/>
            <w:vAlign w:val="bottom"/>
          </w:tcPr>
          <w:p>
            <w:pPr>
              <w:jc w:val="center"/>
              <w:ind w:left="3232"/>
              <w:spacing w:after="0"/>
              <w:rPr>
                <w:sz w:val="20"/>
                <w:szCs w:val="20"/>
                <w:color w:val="auto"/>
              </w:rPr>
            </w:pPr>
            <w:r>
              <w:rPr>
                <w:rFonts w:ascii="Times New Roman" w:cs="Times New Roman" w:eastAsia="Times New Roman" w:hAnsi="Times New Roman"/>
                <w:sz w:val="22"/>
                <w:szCs w:val="22"/>
                <w:b w:val="1"/>
                <w:bCs w:val="1"/>
                <w:color w:val="auto"/>
                <w:w w:val="98"/>
              </w:rPr>
              <w:t>Kosmos Energy Ltd.</w:t>
            </w: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360" w:type="dxa"/>
            <w:vAlign w:val="bottom"/>
          </w:tcPr>
          <w:p>
            <w:pPr>
              <w:jc w:val="center"/>
              <w:ind w:left="3212"/>
              <w:spacing w:after="0"/>
              <w:rPr>
                <w:sz w:val="20"/>
                <w:szCs w:val="20"/>
                <w:color w:val="auto"/>
              </w:rPr>
            </w:pPr>
            <w:r>
              <w:rPr>
                <w:rFonts w:ascii="Times New Roman" w:cs="Times New Roman" w:eastAsia="Times New Roman" w:hAnsi="Times New Roman"/>
                <w:sz w:val="22"/>
                <w:szCs w:val="22"/>
                <w:b w:val="1"/>
                <w:bCs w:val="1"/>
                <w:color w:val="auto"/>
                <w:w w:val="98"/>
              </w:rPr>
              <w:t>Condensed Consolidated Balance Sheets</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7360" w:type="dxa"/>
            <w:vAlign w:val="bottom"/>
          </w:tcPr>
          <w:p>
            <w:pPr>
              <w:jc w:val="center"/>
              <w:ind w:left="3232"/>
              <w:spacing w:after="0"/>
              <w:rPr>
                <w:sz w:val="20"/>
                <w:szCs w:val="20"/>
                <w:color w:val="auto"/>
              </w:rPr>
            </w:pPr>
            <w:r>
              <w:rPr>
                <w:rFonts w:ascii="Times New Roman" w:cs="Times New Roman" w:eastAsia="Times New Roman" w:hAnsi="Times New Roman"/>
                <w:sz w:val="22"/>
                <w:szCs w:val="22"/>
                <w:b w:val="1"/>
                <w:bCs w:val="1"/>
                <w:color w:val="auto"/>
                <w:w w:val="98"/>
              </w:rPr>
              <w:t>(In thousands, unaudited)</w:t>
            </w:r>
          </w:p>
        </w:tc>
        <w:tc>
          <w:tcPr>
            <w:tcW w:w="140" w:type="dxa"/>
            <w:vAlign w:val="bottom"/>
          </w:tcPr>
          <w:p>
            <w:pPr>
              <w:spacing w:after="0"/>
              <w:rPr>
                <w:sz w:val="24"/>
                <w:szCs w:val="24"/>
                <w:color w:val="auto"/>
              </w:rPr>
            </w:pPr>
          </w:p>
        </w:tc>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140" w:type="dxa"/>
            <w:vAlign w:val="bottom"/>
          </w:tcPr>
          <w:p>
            <w:pPr>
              <w:spacing w:after="0"/>
              <w:rPr>
                <w:sz w:val="24"/>
                <w:szCs w:val="24"/>
                <w:color w:val="auto"/>
              </w:rPr>
            </w:pPr>
          </w:p>
        </w:tc>
        <w:tc>
          <w:tcPr>
            <w:tcW w:w="146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8"/>
              </w:rPr>
              <w:t>December 31,</w:t>
            </w:r>
          </w:p>
        </w:tc>
        <w:tc>
          <w:tcPr>
            <w:tcW w:w="0" w:type="dxa"/>
            <w:vAlign w:val="bottom"/>
          </w:tcPr>
          <w:p>
            <w:pPr>
              <w:spacing w:after="0"/>
              <w:rPr>
                <w:sz w:val="1"/>
                <w:szCs w:val="1"/>
                <w:color w:val="auto"/>
              </w:rPr>
            </w:pPr>
          </w:p>
        </w:tc>
      </w:tr>
      <w:tr>
        <w:trPr>
          <w:trHeight w:val="267"/>
        </w:trPr>
        <w:tc>
          <w:tcPr>
            <w:tcW w:w="7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73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51"/>
        </w:trPr>
        <w:tc>
          <w:tcPr>
            <w:tcW w:w="73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22"/>
                <w:szCs w:val="22"/>
                <w:b w:val="1"/>
                <w:bCs w:val="1"/>
                <w:color w:val="auto"/>
              </w:rPr>
              <w:t>Assets</w:t>
            </w: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22"/>
                <w:szCs w:val="22"/>
                <w:color w:val="auto"/>
              </w:rPr>
              <w:t>Current assets:</w:t>
            </w: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103,749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91,518</w:t>
            </w:r>
          </w:p>
        </w:tc>
        <w:tc>
          <w:tcPr>
            <w:tcW w:w="0" w:type="dxa"/>
            <w:vAlign w:val="bottom"/>
          </w:tcPr>
          <w:p>
            <w:pPr>
              <w:spacing w:after="0"/>
              <w:rPr>
                <w:sz w:val="1"/>
                <w:szCs w:val="1"/>
                <w:color w:val="auto"/>
              </w:rPr>
            </w:pPr>
          </w:p>
        </w:tc>
      </w:tr>
      <w:tr>
        <w:trPr>
          <w:trHeight w:val="270"/>
        </w:trPr>
        <w:tc>
          <w:tcPr>
            <w:tcW w:w="7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Receivables, net</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96,853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103,472</w:t>
            </w:r>
          </w:p>
        </w:tc>
        <w:tc>
          <w:tcPr>
            <w:tcW w:w="0" w:type="dxa"/>
            <w:vAlign w:val="bottom"/>
          </w:tcPr>
          <w:p>
            <w:pPr>
              <w:spacing w:after="0"/>
              <w:rPr>
                <w:sz w:val="1"/>
                <w:szCs w:val="1"/>
                <w:color w:val="auto"/>
              </w:rPr>
            </w:pPr>
          </w:p>
        </w:tc>
      </w:tr>
      <w:tr>
        <w:trPr>
          <w:trHeight w:val="27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Other current assets</w:t>
            </w: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180,755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232,884</w:t>
            </w:r>
          </w:p>
        </w:tc>
        <w:tc>
          <w:tcPr>
            <w:tcW w:w="0" w:type="dxa"/>
            <w:vAlign w:val="bottom"/>
          </w:tcPr>
          <w:p>
            <w:pPr>
              <w:spacing w:after="0"/>
              <w:rPr>
                <w:sz w:val="1"/>
                <w:szCs w:val="1"/>
                <w:color w:val="auto"/>
              </w:rPr>
            </w:pPr>
          </w:p>
        </w:tc>
      </w:tr>
      <w:tr>
        <w:trPr>
          <w:trHeight w:val="264"/>
        </w:trPr>
        <w:tc>
          <w:tcPr>
            <w:tcW w:w="7360" w:type="dxa"/>
            <w:vAlign w:val="bottom"/>
          </w:tcPr>
          <w:p>
            <w:pPr>
              <w:spacing w:after="0"/>
              <w:rPr>
                <w:sz w:val="20"/>
                <w:szCs w:val="20"/>
                <w:color w:val="auto"/>
              </w:rPr>
            </w:pPr>
            <w:r>
              <w:rPr>
                <w:rFonts w:ascii="Times New Roman" w:cs="Times New Roman" w:eastAsia="Times New Roman" w:hAnsi="Times New Roman"/>
                <w:sz w:val="22"/>
                <w:szCs w:val="22"/>
                <w:color w:val="auto"/>
              </w:rPr>
              <w:t>Total current assets</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381,357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427,874</w:t>
            </w:r>
          </w:p>
        </w:tc>
        <w:tc>
          <w:tcPr>
            <w:tcW w:w="0" w:type="dxa"/>
            <w:vAlign w:val="bottom"/>
          </w:tcPr>
          <w:p>
            <w:pPr>
              <w:spacing w:after="0"/>
              <w:rPr>
                <w:sz w:val="1"/>
                <w:szCs w:val="1"/>
                <w:color w:val="auto"/>
              </w:rPr>
            </w:pPr>
          </w:p>
        </w:tc>
      </w:tr>
      <w:tr>
        <w:trPr>
          <w:trHeight w:val="256"/>
        </w:trPr>
        <w:tc>
          <w:tcPr>
            <w:tcW w:w="7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22"/>
                <w:szCs w:val="22"/>
                <w:color w:val="auto"/>
              </w:rPr>
              <w:t>Property and equipment, net</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3,309,462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3,733,784</w:t>
            </w:r>
          </w:p>
        </w:tc>
        <w:tc>
          <w:tcPr>
            <w:tcW w:w="0" w:type="dxa"/>
            <w:vAlign w:val="bottom"/>
          </w:tcPr>
          <w:p>
            <w:pPr>
              <w:spacing w:after="0"/>
              <w:rPr>
                <w:sz w:val="1"/>
                <w:szCs w:val="1"/>
                <w:color w:val="auto"/>
              </w:rPr>
            </w:pPr>
          </w:p>
        </w:tc>
      </w:tr>
      <w:tr>
        <w:trPr>
          <w:trHeight w:val="27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Other non-current assets</w:t>
            </w: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572,757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534,968</w:t>
            </w:r>
          </w:p>
        </w:tc>
        <w:tc>
          <w:tcPr>
            <w:tcW w:w="0" w:type="dxa"/>
            <w:vAlign w:val="bottom"/>
          </w:tcPr>
          <w:p>
            <w:pPr>
              <w:spacing w:after="0"/>
              <w:rPr>
                <w:sz w:val="1"/>
                <w:szCs w:val="1"/>
                <w:color w:val="auto"/>
              </w:rPr>
            </w:pPr>
          </w:p>
        </w:tc>
      </w:tr>
      <w:tr>
        <w:trPr>
          <w:trHeight w:val="264"/>
        </w:trPr>
        <w:tc>
          <w:tcPr>
            <w:tcW w:w="73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4,263,576</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4,696,626</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Liabilities and stockholders’ equity</w:t>
            </w: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Current liabilities:</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141,816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202,555</w:t>
            </w:r>
          </w:p>
        </w:tc>
        <w:tc>
          <w:tcPr>
            <w:tcW w:w="0" w:type="dxa"/>
            <w:vAlign w:val="bottom"/>
          </w:tcPr>
          <w:p>
            <w:pPr>
              <w:spacing w:after="0"/>
              <w:rPr>
                <w:sz w:val="1"/>
                <w:szCs w:val="1"/>
                <w:color w:val="auto"/>
              </w:rPr>
            </w:pPr>
          </w:p>
        </w:tc>
      </w:tr>
      <w:tr>
        <w:trPr>
          <w:trHeight w:val="27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Accrued liabilities</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376,130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237,609</w:t>
            </w:r>
          </w:p>
        </w:tc>
        <w:tc>
          <w:tcPr>
            <w:tcW w:w="0" w:type="dxa"/>
            <w:vAlign w:val="bottom"/>
          </w:tcPr>
          <w:p>
            <w:pPr>
              <w:spacing w:after="0"/>
              <w:rPr>
                <w:sz w:val="1"/>
                <w:szCs w:val="1"/>
                <w:color w:val="auto"/>
              </w:rPr>
            </w:pPr>
          </w:p>
        </w:tc>
      </w:tr>
      <w:tr>
        <w:trPr>
          <w:trHeight w:val="270"/>
        </w:trPr>
        <w:tc>
          <w:tcPr>
            <w:tcW w:w="7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Current maturities of long-term debt</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95,303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132,143</w:t>
            </w:r>
          </w:p>
        </w:tc>
        <w:tc>
          <w:tcPr>
            <w:tcW w:w="0" w:type="dxa"/>
            <w:vAlign w:val="bottom"/>
          </w:tcPr>
          <w:p>
            <w:pPr>
              <w:spacing w:after="0"/>
              <w:rPr>
                <w:sz w:val="1"/>
                <w:szCs w:val="1"/>
                <w:color w:val="auto"/>
              </w:rPr>
            </w:pPr>
          </w:p>
        </w:tc>
      </w:tr>
      <w:tr>
        <w:trPr>
          <w:trHeight w:val="27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Other current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97,263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7360" w:type="dxa"/>
            <w:vAlign w:val="bottom"/>
          </w:tcPr>
          <w:p>
            <w:pPr>
              <w:spacing w:after="0"/>
              <w:rPr>
                <w:sz w:val="20"/>
                <w:szCs w:val="20"/>
                <w:color w:val="auto"/>
              </w:rPr>
            </w:pPr>
            <w:r>
              <w:rPr>
                <w:rFonts w:ascii="Times New Roman" w:cs="Times New Roman" w:eastAsia="Times New Roman" w:hAnsi="Times New Roman"/>
                <w:sz w:val="22"/>
                <w:szCs w:val="22"/>
                <w:color w:val="auto"/>
              </w:rPr>
              <w:t>Total current liabilities</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710,512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572,307</w:t>
            </w:r>
          </w:p>
        </w:tc>
        <w:tc>
          <w:tcPr>
            <w:tcW w:w="0" w:type="dxa"/>
            <w:vAlign w:val="bottom"/>
          </w:tcPr>
          <w:p>
            <w:pPr>
              <w:spacing w:after="0"/>
              <w:rPr>
                <w:sz w:val="1"/>
                <w:szCs w:val="1"/>
                <w:color w:val="auto"/>
              </w:rPr>
            </w:pPr>
          </w:p>
        </w:tc>
      </w:tr>
      <w:tr>
        <w:trPr>
          <w:trHeight w:val="256"/>
        </w:trPr>
        <w:tc>
          <w:tcPr>
            <w:tcW w:w="7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22"/>
                <w:szCs w:val="22"/>
                <w:color w:val="auto"/>
              </w:rPr>
              <w:t>Long-term liabilities:</w:t>
            </w: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Long-term debt, net</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2,492,138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2,920,616</w:t>
            </w:r>
          </w:p>
        </w:tc>
        <w:tc>
          <w:tcPr>
            <w:tcW w:w="0" w:type="dxa"/>
            <w:vAlign w:val="bottom"/>
          </w:tcPr>
          <w:p>
            <w:pPr>
              <w:spacing w:after="0"/>
              <w:rPr>
                <w:sz w:val="1"/>
                <w:szCs w:val="1"/>
                <w:color w:val="auto"/>
              </w:rPr>
            </w:pPr>
          </w:p>
        </w:tc>
      </w:tr>
      <w:tr>
        <w:trPr>
          <w:trHeight w:val="270"/>
        </w:trPr>
        <w:tc>
          <w:tcPr>
            <w:tcW w:w="7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Deferred tax liabilities</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143,340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305,924</w:t>
            </w:r>
          </w:p>
        </w:tc>
        <w:tc>
          <w:tcPr>
            <w:tcW w:w="0" w:type="dxa"/>
            <w:vAlign w:val="bottom"/>
          </w:tcPr>
          <w:p>
            <w:pPr>
              <w:spacing w:after="0"/>
              <w:rPr>
                <w:sz w:val="1"/>
                <w:szCs w:val="1"/>
                <w:color w:val="auto"/>
              </w:rPr>
            </w:pPr>
          </w:p>
        </w:tc>
      </w:tr>
      <w:tr>
        <w:trPr>
          <w:trHeight w:val="27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Other non-current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248,404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369,189</w:t>
            </w:r>
          </w:p>
        </w:tc>
        <w:tc>
          <w:tcPr>
            <w:tcW w:w="0" w:type="dxa"/>
            <w:vAlign w:val="bottom"/>
          </w:tcPr>
          <w:p>
            <w:pPr>
              <w:spacing w:after="0"/>
              <w:rPr>
                <w:sz w:val="1"/>
                <w:szCs w:val="1"/>
                <w:color w:val="auto"/>
              </w:rPr>
            </w:pPr>
          </w:p>
        </w:tc>
      </w:tr>
      <w:tr>
        <w:trPr>
          <w:trHeight w:val="263"/>
        </w:trPr>
        <w:tc>
          <w:tcPr>
            <w:tcW w:w="7360" w:type="dxa"/>
            <w:vAlign w:val="bottom"/>
          </w:tcPr>
          <w:p>
            <w:pPr>
              <w:spacing w:after="0"/>
              <w:rPr>
                <w:sz w:val="20"/>
                <w:szCs w:val="20"/>
                <w:color w:val="auto"/>
              </w:rPr>
            </w:pPr>
            <w:r>
              <w:rPr>
                <w:rFonts w:ascii="Times New Roman" w:cs="Times New Roman" w:eastAsia="Times New Roman" w:hAnsi="Times New Roman"/>
                <w:sz w:val="22"/>
                <w:szCs w:val="22"/>
                <w:color w:val="auto"/>
              </w:rPr>
              <w:t>Total long-term liabilities</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2,883,882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3,595,729</w:t>
            </w:r>
          </w:p>
        </w:tc>
        <w:tc>
          <w:tcPr>
            <w:tcW w:w="0" w:type="dxa"/>
            <w:vAlign w:val="bottom"/>
          </w:tcPr>
          <w:p>
            <w:pPr>
              <w:spacing w:after="0"/>
              <w:rPr>
                <w:sz w:val="1"/>
                <w:szCs w:val="1"/>
                <w:color w:val="auto"/>
              </w:rPr>
            </w:pPr>
          </w:p>
        </w:tc>
      </w:tr>
      <w:tr>
        <w:trPr>
          <w:trHeight w:val="257"/>
        </w:trPr>
        <w:tc>
          <w:tcPr>
            <w:tcW w:w="7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2"/>
                <w:szCs w:val="22"/>
                <w:color w:val="auto"/>
              </w:rPr>
              <w:t>Total stockholders’ equity</w:t>
            </w: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669,182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528,590</w:t>
            </w:r>
          </w:p>
        </w:tc>
        <w:tc>
          <w:tcPr>
            <w:tcW w:w="0" w:type="dxa"/>
            <w:vAlign w:val="bottom"/>
          </w:tcPr>
          <w:p>
            <w:pPr>
              <w:spacing w:after="0"/>
              <w:rPr>
                <w:sz w:val="1"/>
                <w:szCs w:val="1"/>
                <w:color w:val="auto"/>
              </w:rPr>
            </w:pPr>
          </w:p>
        </w:tc>
      </w:tr>
      <w:tr>
        <w:trPr>
          <w:trHeight w:val="288"/>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4,263,576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4,696,626</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00"/>
          </w:cols>
          <w:pgMar w:left="600" w:top="1026" w:right="599" w:bottom="1440" w:gutter="0" w:footer="0" w:header="0"/>
        </w:sectPr>
      </w:pPr>
    </w:p>
    <w:bookmarkStart w:id="13" w:name="page14"/>
    <w:bookmarkEnd w:id="13"/>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Kosmos Energy Ltd.</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(In thousands, 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6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20" w:type="dxa"/>
            <w:vAlign w:val="bottom"/>
            <w:gridSpan w:val="5"/>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8"/>
              </w:rPr>
              <w:t>Three Months Ended</w:t>
            </w:r>
          </w:p>
        </w:tc>
        <w:tc>
          <w:tcPr>
            <w:tcW w:w="220" w:type="dxa"/>
            <w:vAlign w:val="bottom"/>
          </w:tcPr>
          <w:p>
            <w:pPr>
              <w:spacing w:after="0"/>
              <w:rPr>
                <w:sz w:val="22"/>
                <w:szCs w:val="22"/>
                <w:color w:val="auto"/>
              </w:rPr>
            </w:pPr>
          </w:p>
        </w:tc>
        <w:tc>
          <w:tcPr>
            <w:tcW w:w="2160" w:type="dxa"/>
            <w:vAlign w:val="bottom"/>
            <w:gridSpan w:val="4"/>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Nine Months Ended</w:t>
            </w:r>
          </w:p>
        </w:tc>
        <w:tc>
          <w:tcPr>
            <w:tcW w:w="0" w:type="dxa"/>
            <w:vAlign w:val="bottom"/>
          </w:tcPr>
          <w:p>
            <w:pPr>
              <w:spacing w:after="0"/>
              <w:rPr>
                <w:sz w:val="1"/>
                <w:szCs w:val="1"/>
                <w:color w:val="auto"/>
              </w:rPr>
            </w:pPr>
          </w:p>
        </w:tc>
      </w:tr>
      <w:tr>
        <w:trPr>
          <w:trHeight w:val="266"/>
        </w:trPr>
        <w:tc>
          <w:tcPr>
            <w:tcW w:w="1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20" w:type="dxa"/>
            <w:vAlign w:val="bottom"/>
            <w:gridSpan w:val="5"/>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9"/>
              </w:rPr>
              <w:t>September 30,</w:t>
            </w:r>
          </w:p>
        </w:tc>
        <w:tc>
          <w:tcPr>
            <w:tcW w:w="220" w:type="dxa"/>
            <w:vAlign w:val="bottom"/>
          </w:tcPr>
          <w:p>
            <w:pPr>
              <w:spacing w:after="0"/>
              <w:rPr>
                <w:sz w:val="23"/>
                <w:szCs w:val="23"/>
                <w:color w:val="auto"/>
              </w:rPr>
            </w:pPr>
          </w:p>
        </w:tc>
        <w:tc>
          <w:tcPr>
            <w:tcW w:w="2160" w:type="dxa"/>
            <w:vAlign w:val="bottom"/>
            <w:gridSpan w:val="4"/>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September 30,</w:t>
            </w:r>
          </w:p>
        </w:tc>
        <w:tc>
          <w:tcPr>
            <w:tcW w:w="0" w:type="dxa"/>
            <w:vAlign w:val="bottom"/>
          </w:tcPr>
          <w:p>
            <w:pPr>
              <w:spacing w:after="0"/>
              <w:rPr>
                <w:sz w:val="1"/>
                <w:szCs w:val="1"/>
                <w:color w:val="auto"/>
              </w:rPr>
            </w:pPr>
          </w:p>
        </w:tc>
      </w:tr>
      <w:tr>
        <w:trPr>
          <w:trHeight w:val="254"/>
        </w:trPr>
        <w:tc>
          <w:tcPr>
            <w:tcW w:w="160" w:type="dxa"/>
            <w:vAlign w:val="bottom"/>
          </w:tcPr>
          <w:p>
            <w:pPr>
              <w:spacing w:after="0"/>
              <w:rPr>
                <w:sz w:val="22"/>
                <w:szCs w:val="22"/>
                <w:color w:val="auto"/>
              </w:rPr>
            </w:pPr>
          </w:p>
        </w:tc>
        <w:tc>
          <w:tcPr>
            <w:tcW w:w="3460" w:type="dxa"/>
            <w:vAlign w:val="bottom"/>
            <w:tcBorders>
              <w:bottom w:val="single" w:sz="8" w:color="CCEEFF"/>
            </w:tcBorders>
          </w:tcPr>
          <w:p>
            <w:pPr>
              <w:spacing w:after="0"/>
              <w:rPr>
                <w:sz w:val="22"/>
                <w:szCs w:val="22"/>
                <w:color w:val="auto"/>
              </w:rPr>
            </w:pPr>
          </w:p>
        </w:tc>
        <w:tc>
          <w:tcPr>
            <w:tcW w:w="25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4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4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Net loss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(43,010)</w:t>
            </w:r>
          </w:p>
        </w:tc>
        <w:tc>
          <w:tcPr>
            <w:tcW w:w="14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(124,299)</w:t>
            </w:r>
          </w:p>
        </w:tc>
        <w:tc>
          <w:tcPr>
            <w:tcW w:w="14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(83,809)</w:t>
            </w:r>
          </w:p>
        </w:tc>
        <w:tc>
          <w:tcPr>
            <w:tcW w:w="140" w:type="dxa"/>
            <w:vAlign w:val="bottom"/>
          </w:tcPr>
          <w:p>
            <w:pPr>
              <w:spacing w:after="0"/>
              <w:rPr>
                <w:sz w:val="22"/>
                <w:szCs w:val="22"/>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(322,645)</w:t>
            </w: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604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20"/>
                <w:szCs w:val="20"/>
                <w:color w:val="auto"/>
              </w:rPr>
              <w:t>Adjustments to reconcile net income to net cash provided by (used in)</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60" w:type="dxa"/>
            <w:vAlign w:val="bottom"/>
          </w:tcPr>
          <w:p>
            <w:pPr>
              <w:spacing w:after="0"/>
              <w:rPr>
                <w:sz w:val="21"/>
                <w:szCs w:val="21"/>
                <w:color w:val="auto"/>
              </w:rPr>
            </w:pPr>
          </w:p>
        </w:tc>
        <w:tc>
          <w:tcPr>
            <w:tcW w:w="6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operating activities: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6040" w:type="dxa"/>
            <w:vAlign w:val="bottom"/>
            <w:gridSpan w:val="2"/>
          </w:tcPr>
          <w:p>
            <w:pPr>
              <w:ind w:left="140"/>
              <w:spacing w:after="0" w:line="193" w:lineRule="exact"/>
              <w:rPr>
                <w:sz w:val="20"/>
                <w:szCs w:val="20"/>
                <w:color w:val="auto"/>
              </w:rPr>
            </w:pPr>
            <w:r>
              <w:rPr>
                <w:rFonts w:ascii="Times New Roman" w:cs="Times New Roman" w:eastAsia="Times New Roman" w:hAnsi="Times New Roman"/>
                <w:sz w:val="20"/>
                <w:szCs w:val="20"/>
                <w:color w:val="auto"/>
              </w:rPr>
              <w:t>Depletion, depreciation and amortization (including deferred financing</w:t>
            </w:r>
          </w:p>
        </w:tc>
        <w:tc>
          <w:tcPr>
            <w:tcW w:w="2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114,910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143,403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360,581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419,111</w:t>
            </w:r>
          </w:p>
        </w:tc>
        <w:tc>
          <w:tcPr>
            <w:tcW w:w="0" w:type="dxa"/>
            <w:vAlign w:val="bottom"/>
          </w:tcPr>
          <w:p>
            <w:pPr>
              <w:spacing w:after="0"/>
              <w:rPr>
                <w:sz w:val="1"/>
                <w:szCs w:val="1"/>
                <w:color w:val="auto"/>
              </w:rPr>
            </w:pPr>
          </w:p>
        </w:tc>
      </w:tr>
      <w:tr>
        <w:trPr>
          <w:trHeight w:val="252"/>
        </w:trPr>
        <w:tc>
          <w:tcPr>
            <w:tcW w:w="160" w:type="dxa"/>
            <w:vAlign w:val="bottom"/>
          </w:tcPr>
          <w:p>
            <w:pPr>
              <w:spacing w:after="0"/>
              <w:rPr>
                <w:sz w:val="21"/>
                <w:szCs w:val="21"/>
                <w:color w:val="auto"/>
              </w:rPr>
            </w:pPr>
          </w:p>
        </w:tc>
        <w:tc>
          <w:tcPr>
            <w:tcW w:w="60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costs)</w:t>
            </w:r>
          </w:p>
        </w:tc>
        <w:tc>
          <w:tcPr>
            <w:tcW w:w="2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Deferred income taxes</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(34,019)</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(950)</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(35,287)</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686</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60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Unsuccessful well costs and leasehold impairments</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51,211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14,313</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51,373</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Change in fair value of derivatives</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107,014</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(2,792)</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369,306</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(10,675)</w:t>
            </w:r>
          </w:p>
        </w:tc>
        <w:tc>
          <w:tcPr>
            <w:tcW w:w="0" w:type="dxa"/>
            <w:vAlign w:val="bottom"/>
          </w:tcPr>
          <w:p>
            <w:pPr>
              <w:spacing w:after="0"/>
              <w:rPr>
                <w:sz w:val="1"/>
                <w:szCs w:val="1"/>
                <w:color w:val="auto"/>
              </w:rPr>
            </w:pPr>
          </w:p>
        </w:tc>
      </w:tr>
      <w:tr>
        <w:trPr>
          <w:trHeight w:val="320"/>
        </w:trPr>
        <w:tc>
          <w:tcPr>
            <w:tcW w:w="160" w:type="dxa"/>
            <w:vAlign w:val="bottom"/>
          </w:tcPr>
          <w:p>
            <w:pPr>
              <w:spacing w:after="0"/>
              <w:rPr>
                <w:sz w:val="24"/>
                <w:szCs w:val="24"/>
                <w:color w:val="auto"/>
              </w:rPr>
            </w:pPr>
          </w:p>
        </w:tc>
        <w:tc>
          <w:tcPr>
            <w:tcW w:w="60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Cash settlements on derivatives, net(1)</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(12,071)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(210,755)</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2,801</w:t>
            </w:r>
          </w:p>
        </w:tc>
        <w:tc>
          <w:tcPr>
            <w:tcW w:w="0" w:type="dxa"/>
            <w:vAlign w:val="bottom"/>
          </w:tcPr>
          <w:p>
            <w:pPr>
              <w:spacing w:after="0"/>
              <w:rPr>
                <w:sz w:val="1"/>
                <w:szCs w:val="1"/>
                <w:color w:val="auto"/>
              </w:rPr>
            </w:pPr>
          </w:p>
        </w:tc>
      </w:tr>
      <w:tr>
        <w:trPr>
          <w:trHeight w:val="260"/>
        </w:trPr>
        <w:tc>
          <w:tcPr>
            <w:tcW w:w="160" w:type="dxa"/>
            <w:vAlign w:val="bottom"/>
          </w:tcPr>
          <w:p>
            <w:pPr>
              <w:spacing w:after="0"/>
              <w:rPr>
                <w:sz w:val="22"/>
                <w:szCs w:val="22"/>
                <w:color w:val="auto"/>
              </w:rPr>
            </w:pPr>
          </w:p>
        </w:tc>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Equity-based compensation</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4,347</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5,302</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18,411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21,009</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0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(Gain) loss on sale of assets</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(9,082)</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Debt modifications and extinguishments</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(1,016)</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0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(4,046)</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(2,986)</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(24,805)</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(11,492)</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Changes in assets and liabilities:</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20"/>
                <w:szCs w:val="20"/>
                <w:color w:val="auto"/>
              </w:rPr>
              <w:t>Net changes in working capital</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30,101</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(92,977)</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47,693</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(50,856)</w:t>
            </w: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163,984</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(27,568)</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445,550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98,712</w:t>
            </w: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Investing activities</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Oil and gas assets</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(64,525)</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(71,367)</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(228,002)</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(244,133)</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Proceeds on sale of assets</w:t>
            </w: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127,034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Notes receivable and other investing activities</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(11,598)</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(86,791)</w:t>
            </w: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6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2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(64,525)</w:t>
            </w:r>
          </w:p>
        </w:tc>
        <w:tc>
          <w:tcPr>
            <w:tcW w:w="1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(71,367)</w:t>
            </w:r>
          </w:p>
        </w:tc>
        <w:tc>
          <w:tcPr>
            <w:tcW w:w="1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(112,566)</w:t>
            </w:r>
          </w:p>
        </w:tc>
        <w:tc>
          <w:tcPr>
            <w:tcW w:w="1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(330,924)</w:t>
            </w: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Borrowings under long-term debt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27,000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175,000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151,167</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375,000</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Payments on long-term debt</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(65,110)</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(569,848)</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Net proceeds from issuance of senior notes and bonds</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350,000</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Repurchase and redemption of senior notes</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(397,184)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Net proceeds from issuance of common stock</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206,440</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Payments on finance lease</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(9,319)</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(24,270)</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Other financing costs</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(8,836)</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6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(97,493)</w:t>
            </w:r>
          </w:p>
        </w:tc>
        <w:tc>
          <w:tcPr>
            <w:tcW w:w="1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125,000</w:t>
            </w:r>
          </w:p>
        </w:tc>
        <w:tc>
          <w:tcPr>
            <w:tcW w:w="1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(292,531)</w:t>
            </w:r>
          </w:p>
        </w:tc>
        <w:tc>
          <w:tcPr>
            <w:tcW w:w="1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224,999</w:t>
            </w:r>
          </w:p>
        </w:tc>
        <w:tc>
          <w:tcPr>
            <w:tcW w:w="0" w:type="dxa"/>
            <w:vAlign w:val="bottom"/>
          </w:tcPr>
          <w:p>
            <w:pPr>
              <w:spacing w:after="0"/>
              <w:rPr>
                <w:sz w:val="1"/>
                <w:szCs w:val="1"/>
                <w:color w:val="auto"/>
              </w:rPr>
            </w:pPr>
          </w:p>
        </w:tc>
      </w:tr>
      <w:tr>
        <w:trPr>
          <w:trHeight w:val="75"/>
        </w:trPr>
        <w:tc>
          <w:tcPr>
            <w:tcW w:w="160" w:type="dxa"/>
            <w:vAlign w:val="bottom"/>
          </w:tcPr>
          <w:p>
            <w:pPr>
              <w:spacing w:after="0"/>
              <w:rPr>
                <w:sz w:val="6"/>
                <w:szCs w:val="6"/>
                <w:color w:val="auto"/>
              </w:rPr>
            </w:pPr>
          </w:p>
        </w:tc>
        <w:tc>
          <w:tcPr>
            <w:tcW w:w="34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increase (decrease) in cash, cash equivalents and restricted cash</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1,966</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26,065</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40,453</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(7,213)</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6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Cash, cash equivalents and restricted cash at beginning of period</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156,231</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51,999</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117,744</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85,277</w:t>
            </w:r>
          </w:p>
        </w:tc>
        <w:tc>
          <w:tcPr>
            <w:tcW w:w="0" w:type="dxa"/>
            <w:vAlign w:val="bottom"/>
          </w:tcPr>
          <w:p>
            <w:pPr>
              <w:spacing w:after="0"/>
              <w:rPr>
                <w:sz w:val="1"/>
                <w:szCs w:val="1"/>
                <w:color w:val="auto"/>
              </w:rPr>
            </w:pPr>
          </w:p>
        </w:tc>
      </w:tr>
      <w:tr>
        <w:trPr>
          <w:trHeight w:val="275"/>
        </w:trPr>
        <w:tc>
          <w:tcPr>
            <w:tcW w:w="160" w:type="dxa"/>
            <w:vAlign w:val="bottom"/>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cash equivalents and restricted cash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158,197</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78,064</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158,197</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78,064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0" w:type="dxa"/>
            <w:vAlign w:val="bottom"/>
            <w:tcBorders>
              <w:bottom w:val="single" w:sz="8" w:color="auto"/>
            </w:tcBorders>
          </w:tcPr>
          <w:p>
            <w:pPr>
              <w:spacing w:after="0"/>
              <w:rPr>
                <w:sz w:val="12"/>
                <w:szCs w:val="12"/>
                <w:color w:val="auto"/>
              </w:rPr>
            </w:pPr>
          </w:p>
        </w:tc>
        <w:tc>
          <w:tcPr>
            <w:tcW w:w="3460" w:type="dxa"/>
            <w:vAlign w:val="bottom"/>
            <w:tcBorders>
              <w:bottom w:val="single" w:sz="8" w:color="auto"/>
            </w:tcBorders>
          </w:tcPr>
          <w:p>
            <w:pPr>
              <w:spacing w:after="0"/>
              <w:rPr>
                <w:sz w:val="12"/>
                <w:szCs w:val="12"/>
                <w:color w:val="auto"/>
              </w:rPr>
            </w:pPr>
          </w:p>
        </w:tc>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0" w:right="660" w:hanging="330"/>
        <w:spacing w:after="0" w:line="313" w:lineRule="auto"/>
        <w:tabs>
          <w:tab w:leader="none" w:pos="4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settlements on commodity hedges were $(39.8) million and $(2.3) million for the three months ended September 30, 2026 and 2025, respectively, and $(175.5) million and $7.3 million for the nine months ended September 30, 2026 and 2025, respectively.</w:t>
      </w:r>
    </w:p>
    <w:p>
      <w:pPr>
        <w:sectPr>
          <w:pgSz w:w="11900" w:h="16838" w:orient="portrait"/>
          <w:cols w:equalWidth="0" w:num="1">
            <w:col w:w="11100"/>
          </w:cols>
          <w:pgMar w:left="320" w:top="608" w:right="479" w:bottom="1440" w:gutter="0" w:footer="0" w:header="0"/>
        </w:sectPr>
      </w:pPr>
    </w:p>
    <w:bookmarkStart w:id="14" w:name="page15"/>
    <w:bookmarkEnd w:id="14"/>
    <w:p>
      <w:pPr>
        <w:ind w:left="4580"/>
        <w:spacing w:after="0"/>
        <w:rPr>
          <w:sz w:val="20"/>
          <w:szCs w:val="20"/>
          <w:color w:val="auto"/>
        </w:rPr>
      </w:pPr>
      <w:r>
        <w:rPr>
          <w:rFonts w:ascii="Times New Roman" w:cs="Times New Roman" w:eastAsia="Times New Roman" w:hAnsi="Times New Roman"/>
          <w:sz w:val="22"/>
          <w:szCs w:val="22"/>
          <w:b w:val="1"/>
          <w:bCs w:val="1"/>
          <w:color w:val="auto"/>
        </w:rPr>
        <w:t>Kosmos Energy Ltd.</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EBITDAX</w:t>
      </w: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unaudited)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6"/>
                <w:szCs w:val="16"/>
                <w:color w:val="auto"/>
              </w:rPr>
            </w:pPr>
          </w:p>
        </w:tc>
        <w:tc>
          <w:tcPr>
            <w:tcW w:w="2720" w:type="dxa"/>
            <w:vAlign w:val="bottom"/>
            <w:gridSpan w:val="5"/>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Pr>
          <w:p>
            <w:pPr>
              <w:spacing w:after="0"/>
              <w:rPr>
                <w:sz w:val="16"/>
                <w:szCs w:val="16"/>
                <w:color w:val="auto"/>
              </w:rPr>
            </w:pPr>
          </w:p>
        </w:tc>
        <w:tc>
          <w:tcPr>
            <w:tcW w:w="120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8"/>
              </w:rPr>
              <w:t>Twelve Months</w:t>
            </w: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157"/>
        </w:trPr>
        <w:tc>
          <w:tcPr>
            <w:tcW w:w="2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71"/>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3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0" w:type="dxa"/>
            <w:vAlign w:val="bottom"/>
          </w:tcPr>
          <w:p>
            <w:pPr>
              <w:spacing w:after="0"/>
              <w:rPr>
                <w:sz w:val="1"/>
                <w:szCs w:val="1"/>
                <w:color w:val="auto"/>
              </w:rPr>
            </w:pPr>
          </w:p>
        </w:tc>
      </w:tr>
      <w:tr>
        <w:trPr>
          <w:trHeight w:val="227"/>
        </w:trPr>
        <w:tc>
          <w:tcPr>
            <w:tcW w:w="3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(124,299)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(83,809)</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(322,645)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(460,950)</w:t>
            </w:r>
          </w:p>
        </w:tc>
        <w:tc>
          <w:tcPr>
            <w:tcW w:w="0" w:type="dxa"/>
            <w:vAlign w:val="bottom"/>
          </w:tcPr>
          <w:p>
            <w:pPr>
              <w:spacing w:after="0"/>
              <w:rPr>
                <w:sz w:val="1"/>
                <w:szCs w:val="1"/>
                <w:color w:val="auto"/>
              </w:rPr>
            </w:pPr>
          </w:p>
        </w:tc>
      </w:tr>
      <w:tr>
        <w:trPr>
          <w:trHeight w:val="229"/>
        </w:trPr>
        <w:tc>
          <w:tcPr>
            <w:tcW w:w="3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Exploration expenses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182,110</w:t>
            </w:r>
          </w:p>
        </w:tc>
        <w:tc>
          <w:tcPr>
            <w:tcW w:w="0" w:type="dxa"/>
            <w:vAlign w:val="bottom"/>
          </w:tcPr>
          <w:p>
            <w:pPr>
              <w:spacing w:after="0"/>
              <w:rPr>
                <w:sz w:val="1"/>
                <w:szCs w:val="1"/>
                <w:color w:val="auto"/>
              </w:rPr>
            </w:pPr>
          </w:p>
        </w:tc>
      </w:tr>
      <w:tr>
        <w:trPr>
          <w:trHeight w:val="230"/>
        </w:trPr>
        <w:tc>
          <w:tcPr>
            <w:tcW w:w="3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352,602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495,927</w:t>
            </w:r>
          </w:p>
        </w:tc>
        <w:tc>
          <w:tcPr>
            <w:tcW w:w="0" w:type="dxa"/>
            <w:vAlign w:val="bottom"/>
          </w:tcPr>
          <w:p>
            <w:pPr>
              <w:spacing w:after="0"/>
              <w:rPr>
                <w:sz w:val="1"/>
                <w:szCs w:val="1"/>
                <w:color w:val="auto"/>
              </w:rPr>
            </w:pPr>
          </w:p>
        </w:tc>
      </w:tr>
      <w:tr>
        <w:trPr>
          <w:trHeight w:val="229"/>
        </w:trPr>
        <w:tc>
          <w:tcPr>
            <w:tcW w:w="3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177,563</w:t>
            </w:r>
          </w:p>
        </w:tc>
        <w:tc>
          <w:tcPr>
            <w:tcW w:w="0" w:type="dxa"/>
            <w:vAlign w:val="bottom"/>
          </w:tcPr>
          <w:p>
            <w:pPr>
              <w:spacing w:after="0"/>
              <w:rPr>
                <w:sz w:val="1"/>
                <w:szCs w:val="1"/>
                <w:color w:val="auto"/>
              </w:rPr>
            </w:pPr>
          </w:p>
        </w:tc>
      </w:tr>
      <w:tr>
        <w:trPr>
          <w:trHeight w:val="230"/>
        </w:trPr>
        <w:tc>
          <w:tcPr>
            <w:tcW w:w="3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25,355</w:t>
            </w:r>
          </w:p>
        </w:tc>
        <w:tc>
          <w:tcPr>
            <w:tcW w:w="0" w:type="dxa"/>
            <w:vAlign w:val="bottom"/>
          </w:tcPr>
          <w:p>
            <w:pPr>
              <w:spacing w:after="0"/>
              <w:rPr>
                <w:sz w:val="1"/>
                <w:szCs w:val="1"/>
                <w:color w:val="auto"/>
              </w:rPr>
            </w:pPr>
          </w:p>
        </w:tc>
      </w:tr>
      <w:tr>
        <w:trPr>
          <w:trHeight w:val="229"/>
        </w:trPr>
        <w:tc>
          <w:tcPr>
            <w:tcW w:w="3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334,063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298,878</w:t>
            </w:r>
          </w:p>
        </w:tc>
        <w:tc>
          <w:tcPr>
            <w:tcW w:w="0" w:type="dxa"/>
            <w:vAlign w:val="bottom"/>
          </w:tcPr>
          <w:p>
            <w:pPr>
              <w:spacing w:after="0"/>
              <w:rPr>
                <w:sz w:val="1"/>
                <w:szCs w:val="1"/>
                <w:color w:val="auto"/>
              </w:rPr>
            </w:pPr>
          </w:p>
        </w:tc>
      </w:tr>
      <w:tr>
        <w:trPr>
          <w:trHeight w:val="229"/>
        </w:trPr>
        <w:tc>
          <w:tcPr>
            <w:tcW w:w="3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Cash settlements on commodity derivatives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(175,513)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(172,459)</w:t>
            </w:r>
          </w:p>
        </w:tc>
        <w:tc>
          <w:tcPr>
            <w:tcW w:w="0" w:type="dxa"/>
            <w:vAlign w:val="bottom"/>
          </w:tcPr>
          <w:p>
            <w:pPr>
              <w:spacing w:after="0"/>
              <w:rPr>
                <w:sz w:val="1"/>
                <w:szCs w:val="1"/>
                <w:color w:val="auto"/>
              </w:rPr>
            </w:pPr>
          </w:p>
        </w:tc>
      </w:tr>
      <w:tr>
        <w:trPr>
          <w:trHeight w:val="230"/>
        </w:trPr>
        <w:tc>
          <w:tcPr>
            <w:tcW w:w="3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24,862</w:t>
            </w:r>
          </w:p>
        </w:tc>
        <w:tc>
          <w:tcPr>
            <w:tcW w:w="0" w:type="dxa"/>
            <w:vAlign w:val="bottom"/>
          </w:tcPr>
          <w:p>
            <w:pPr>
              <w:spacing w:after="0"/>
              <w:rPr>
                <w:sz w:val="1"/>
                <w:szCs w:val="1"/>
                <w:color w:val="auto"/>
              </w:rPr>
            </w:pPr>
          </w:p>
        </w:tc>
      </w:tr>
      <w:tr>
        <w:trPr>
          <w:trHeight w:val="229"/>
        </w:trPr>
        <w:tc>
          <w:tcPr>
            <w:tcW w:w="3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0" w:type="dxa"/>
            <w:vAlign w:val="bottom"/>
          </w:tcPr>
          <w:p>
            <w:pPr>
              <w:spacing w:after="0"/>
              <w:rPr>
                <w:sz w:val="1"/>
                <w:szCs w:val="1"/>
                <w:color w:val="auto"/>
              </w:rPr>
            </w:pPr>
          </w:p>
        </w:tc>
      </w:tr>
      <w:tr>
        <w:trPr>
          <w:trHeight w:val="229"/>
        </w:trPr>
        <w:tc>
          <w:tcPr>
            <w:tcW w:w="3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225,083</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97,868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104,691</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754,193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406,590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890,378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gridSpan w:val="3"/>
            <w:vMerge w:val="restart"/>
          </w:tcPr>
          <w:p>
            <w:pPr>
              <w:ind w:left="140"/>
              <w:spacing w:after="0" w:line="163" w:lineRule="exact"/>
              <w:rPr>
                <w:sz w:val="20"/>
                <w:szCs w:val="20"/>
                <w:color w:val="auto"/>
              </w:rPr>
            </w:pPr>
            <w:r>
              <w:rPr>
                <w:rFonts w:ascii="Times New Roman" w:cs="Times New Roman" w:eastAsia="Times New Roman" w:hAnsi="Times New Roman"/>
                <w:sz w:val="18"/>
                <w:szCs w:val="18"/>
                <w:color w:val="auto"/>
              </w:rPr>
              <w:t>Pro Forma Adjustment - TEN FPSO Lease and EG</w:t>
            </w: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9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Divestiture(1)</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41,286</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EBITDAX</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781,517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931,664</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3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00" w:right="100" w:hanging="330"/>
        <w:spacing w:after="0" w:line="261" w:lineRule="auto"/>
        <w:tabs>
          <w:tab w:leader="none" w:pos="50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present Pro Forma EBITDAX for the impact of the TEN FPSO finance lease transaction on oil and gas production expense for the periods presented and for the impact of the oil revenues and expenses and results of operations associated with the interest in the Ceiba Field and Okume Complex production assets located in Block G offshore Equatorial Guinea sold to Panoro Energy ASA for the respective period. The sale closed on June 16,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our net debt as of September 30, 2026 and December 31, 2025:</w:t>
      </w: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1380" w:type="dxa"/>
            <w:vAlign w:val="bottom"/>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1380" w:type="dxa"/>
            <w:vAlign w:val="bottom"/>
          </w:tcPr>
          <w:p>
            <w:pPr>
              <w:spacing w:after="0"/>
              <w:rPr>
                <w:sz w:val="19"/>
                <w:szCs w:val="19"/>
                <w:color w:val="auto"/>
              </w:rPr>
            </w:pPr>
          </w:p>
        </w:tc>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2,631,566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3,100,274</w:t>
            </w:r>
          </w:p>
        </w:tc>
      </w:tr>
      <w:tr>
        <w:trPr>
          <w:trHeight w:val="230"/>
        </w:trPr>
        <w:tc>
          <w:tcPr>
            <w:tcW w:w="1380" w:type="dxa"/>
            <w:vAlign w:val="bottom"/>
          </w:tcPr>
          <w:p>
            <w:pPr>
              <w:spacing w:after="0"/>
              <w:rPr>
                <w:sz w:val="19"/>
                <w:szCs w:val="19"/>
                <w:color w:val="auto"/>
              </w:rPr>
            </w:pPr>
          </w:p>
        </w:tc>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91,518</w:t>
            </w:r>
          </w:p>
        </w:tc>
      </w:tr>
      <w:tr>
        <w:trPr>
          <w:trHeight w:val="229"/>
        </w:trPr>
        <w:tc>
          <w:tcPr>
            <w:tcW w:w="1380" w:type="dxa"/>
            <w:vAlign w:val="bottom"/>
          </w:tcPr>
          <w:p>
            <w:pPr>
              <w:spacing w:after="0"/>
              <w:rPr>
                <w:sz w:val="19"/>
                <w:szCs w:val="19"/>
                <w:color w:val="auto"/>
              </w:rPr>
            </w:pPr>
          </w:p>
        </w:tc>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restricted cash</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26,226</w:t>
            </w:r>
          </w:p>
        </w:tc>
      </w:tr>
      <w:tr>
        <w:trPr>
          <w:trHeight w:val="223"/>
        </w:trPr>
        <w:tc>
          <w:tcPr>
            <w:tcW w:w="138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2,473,369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2,982,530</w:t>
            </w:r>
          </w:p>
        </w:tc>
      </w:tr>
      <w:tr>
        <w:trPr>
          <w:trHeight w:val="21"/>
        </w:trPr>
        <w:tc>
          <w:tcPr>
            <w:tcW w:w="1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92"/>
        </w:trPr>
        <w:tc>
          <w:tcPr>
            <w:tcW w:w="13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 Excludes $63.9 million TEN FPSO finance lease liability.</w:t>
      </w:r>
    </w:p>
    <w:p>
      <w:pPr>
        <w:sectPr>
          <w:pgSz w:w="11900" w:h="16838" w:orient="portrait"/>
          <w:cols w:equalWidth="0" w:num="1">
            <w:col w:w="11040"/>
          </w:cols>
          <w:pgMar w:left="420" w:top="608" w:right="439" w:bottom="1440" w:gutter="0" w:footer="0" w:header="0"/>
        </w:sectPr>
      </w:pPr>
    </w:p>
    <w:bookmarkStart w:id="15" w:name="page16"/>
    <w:bookmarkEnd w:id="15"/>
    <w:p>
      <w:pPr>
        <w:jc w:val="center"/>
        <w:ind w:right="-89"/>
        <w:spacing w:after="0"/>
        <w:rPr>
          <w:sz w:val="20"/>
          <w:szCs w:val="20"/>
          <w:color w:val="auto"/>
        </w:rPr>
      </w:pPr>
      <w:r>
        <w:rPr>
          <w:rFonts w:ascii="Times New Roman" w:cs="Times New Roman" w:eastAsia="Times New Roman" w:hAnsi="Times New Roman"/>
          <w:sz w:val="22"/>
          <w:szCs w:val="22"/>
          <w:b w:val="1"/>
          <w:bCs w:val="1"/>
          <w:color w:val="auto"/>
        </w:rPr>
        <w:t>Kosmos Energy Ltd.</w:t>
      </w:r>
    </w:p>
    <w:p>
      <w:pPr>
        <w:spacing w:after="0" w:line="32"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22"/>
          <w:szCs w:val="22"/>
          <w:b w:val="1"/>
          <w:bCs w:val="1"/>
          <w:color w:val="auto"/>
        </w:rPr>
        <w:t>Adjusted Net Income (Loss)</w:t>
      </w:r>
    </w:p>
    <w:p>
      <w:pPr>
        <w:spacing w:after="0" w:line="4"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22"/>
          <w:szCs w:val="22"/>
          <w:b w:val="1"/>
          <w:bCs w:val="1"/>
          <w:color w:val="auto"/>
        </w:rPr>
        <w:t>(In thousands, except per share amounts, unaudited)</w:t>
      </w:r>
    </w:p>
    <w:p>
      <w:pPr>
        <w:spacing w:after="0" w:line="21" w:lineRule="exact"/>
        <w:rPr>
          <w:sz w:val="20"/>
          <w:szCs w:val="20"/>
          <w:color w:val="auto"/>
        </w:rPr>
      </w:pPr>
    </w:p>
    <w:tbl>
      <w:tblPr>
        <w:tblLayout w:type="fixed"/>
        <w:tblInd w:w="110" w:type="dxa"/>
        <w:tblCellMar>
          <w:top w:w="0" w:type="dxa"/>
          <w:left w:w="0" w:type="dxa"/>
          <w:bottom w:w="0" w:type="dxa"/>
          <w:right w:w="0" w:type="dxa"/>
        </w:tblCellMar>
      </w:tblPr>
      <w:tr>
        <w:trPr>
          <w:trHeight w:val="257"/>
        </w:trPr>
        <w:tc>
          <w:tcPr>
            <w:tcW w:w="4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40" w:type="dxa"/>
            <w:vAlign w:val="bottom"/>
            <w:gridSpan w:val="5"/>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w w:val="98"/>
              </w:rPr>
              <w:t>Three Months Ended</w:t>
            </w:r>
          </w:p>
        </w:tc>
        <w:tc>
          <w:tcPr>
            <w:tcW w:w="300" w:type="dxa"/>
            <w:vAlign w:val="bottom"/>
          </w:tcPr>
          <w:p>
            <w:pPr>
              <w:spacing w:after="0"/>
              <w:rPr>
                <w:sz w:val="22"/>
                <w:szCs w:val="22"/>
                <w:color w:val="auto"/>
              </w:rPr>
            </w:pPr>
          </w:p>
        </w:tc>
        <w:tc>
          <w:tcPr>
            <w:tcW w:w="2540" w:type="dxa"/>
            <w:vAlign w:val="bottom"/>
            <w:gridSpan w:val="4"/>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Nine Months Ended</w:t>
            </w:r>
          </w:p>
        </w:tc>
      </w:tr>
      <w:tr>
        <w:trPr>
          <w:trHeight w:val="266"/>
        </w:trPr>
        <w:tc>
          <w:tcPr>
            <w:tcW w:w="4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40" w:type="dxa"/>
            <w:vAlign w:val="bottom"/>
            <w:gridSpan w:val="5"/>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w w:val="99"/>
              </w:rPr>
              <w:t>September 30,</w:t>
            </w:r>
          </w:p>
        </w:tc>
        <w:tc>
          <w:tcPr>
            <w:tcW w:w="300" w:type="dxa"/>
            <w:vAlign w:val="bottom"/>
          </w:tcPr>
          <w:p>
            <w:pPr>
              <w:spacing w:after="0"/>
              <w:rPr>
                <w:sz w:val="23"/>
                <w:szCs w:val="23"/>
                <w:color w:val="auto"/>
              </w:rPr>
            </w:pPr>
          </w:p>
        </w:tc>
        <w:tc>
          <w:tcPr>
            <w:tcW w:w="2540" w:type="dxa"/>
            <w:vAlign w:val="bottom"/>
            <w:gridSpan w:val="4"/>
          </w:tcPr>
          <w:p>
            <w:pPr>
              <w:jc w:val="right"/>
              <w:ind w:right="721"/>
              <w:spacing w:after="0"/>
              <w:rPr>
                <w:sz w:val="20"/>
                <w:szCs w:val="20"/>
                <w:color w:val="auto"/>
              </w:rPr>
            </w:pPr>
            <w:r>
              <w:rPr>
                <w:rFonts w:ascii="Times New Roman" w:cs="Times New Roman" w:eastAsia="Times New Roman" w:hAnsi="Times New Roman"/>
                <w:sz w:val="20"/>
                <w:szCs w:val="20"/>
                <w:b w:val="1"/>
                <w:bCs w:val="1"/>
                <w:color w:val="auto"/>
              </w:rPr>
              <w:t>September 30,</w:t>
            </w:r>
          </w:p>
        </w:tc>
      </w:tr>
      <w:tr>
        <w:trPr>
          <w:trHeight w:val="254"/>
        </w:trPr>
        <w:tc>
          <w:tcPr>
            <w:tcW w:w="49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2025</w:t>
            </w:r>
          </w:p>
        </w:tc>
      </w:tr>
      <w:tr>
        <w:trPr>
          <w:trHeight w:val="25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loss</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(43,010)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(124,299)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(83,809)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(322,645)</w:t>
            </w:r>
          </w:p>
        </w:tc>
      </w:tr>
      <w:tr>
        <w:trPr>
          <w:trHeight w:val="257"/>
        </w:trPr>
        <w:tc>
          <w:tcPr>
            <w:tcW w:w="4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7"/>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Derivatives, net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133,876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(3,646)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334,063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(18,480)</w:t>
            </w:r>
          </w:p>
        </w:tc>
      </w:tr>
      <w:tr>
        <w:trPr>
          <w:trHeight w:val="256"/>
        </w:trPr>
        <w:tc>
          <w:tcPr>
            <w:tcW w:w="4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Cash settlements on commodity derivatives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(39,790)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(175,513)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7,340</w:t>
            </w:r>
          </w:p>
        </w:tc>
      </w:tr>
      <w:tr>
        <w:trPr>
          <w:trHeight w:val="257"/>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(Gain) loss on sale of assets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(9,082)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(600)</w:t>
            </w:r>
          </w:p>
        </w:tc>
      </w:tr>
      <w:tr>
        <w:trPr>
          <w:trHeight w:val="257"/>
        </w:trPr>
        <w:tc>
          <w:tcPr>
            <w:tcW w:w="4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Other expenses, net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14,386</w:t>
            </w:r>
          </w:p>
        </w:tc>
      </w:tr>
      <w:tr>
        <w:trPr>
          <w:trHeight w:val="257"/>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Write-off of leasehold costs</w:t>
            </w:r>
          </w:p>
        </w:tc>
        <w:tc>
          <w:tcPr>
            <w:tcW w:w="3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13,181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4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Impairment of suspended well costs</w:t>
            </w:r>
          </w:p>
        </w:tc>
        <w:tc>
          <w:tcPr>
            <w:tcW w:w="3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51,060</w:t>
            </w:r>
          </w:p>
        </w:tc>
      </w:tr>
      <w:tr>
        <w:trPr>
          <w:trHeight w:val="256"/>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Debt modifications and extinguishments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Total selected items before tax</w:t>
            </w: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107,109</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51,448</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187,752</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53,706</w:t>
            </w:r>
          </w:p>
        </w:tc>
      </w:tr>
      <w:tr>
        <w:trPr>
          <w:trHeight w:val="237"/>
        </w:trPr>
        <w:tc>
          <w:tcPr>
            <w:tcW w:w="4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320"/>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Income tax (expense) benefit on adjustments(1)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(29,106)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(36,394)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(1,459)</w:t>
            </w:r>
          </w:p>
        </w:tc>
      </w:tr>
      <w:tr>
        <w:trPr>
          <w:trHeight w:val="279"/>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Adjusted net income (loss)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34,993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(72,276)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67,549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(270,398)</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7"/>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loss per diluted share</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(0.26)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(0.68)</w:t>
            </w:r>
          </w:p>
        </w:tc>
      </w:tr>
      <w:tr>
        <w:trPr>
          <w:trHeight w:val="257"/>
        </w:trPr>
        <w:tc>
          <w:tcPr>
            <w:tcW w:w="4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6"/>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Derivatives, net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0.22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0.59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(0.04)</w:t>
            </w:r>
          </w:p>
        </w:tc>
      </w:tr>
      <w:tr>
        <w:trPr>
          <w:trHeight w:val="256"/>
        </w:trPr>
        <w:tc>
          <w:tcPr>
            <w:tcW w:w="4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Cash settlements on commodity derivatives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r>
      <w:tr>
        <w:trPr>
          <w:trHeight w:val="257"/>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(Gain) loss on sale of assets</w:t>
            </w:r>
          </w:p>
        </w:tc>
        <w:tc>
          <w:tcPr>
            <w:tcW w:w="3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4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Other expenses, net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0.03</w:t>
            </w:r>
          </w:p>
        </w:tc>
      </w:tr>
      <w:tr>
        <w:trPr>
          <w:trHeight w:val="257"/>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Write-off of leasehold costs</w:t>
            </w:r>
          </w:p>
        </w:tc>
        <w:tc>
          <w:tcPr>
            <w:tcW w:w="3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4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Impairment of suspended well costs</w:t>
            </w:r>
          </w:p>
        </w:tc>
        <w:tc>
          <w:tcPr>
            <w:tcW w:w="3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0.10</w:t>
            </w:r>
          </w:p>
        </w:tc>
      </w:tr>
      <w:tr>
        <w:trPr>
          <w:trHeight w:val="25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selected items before tax</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0.33</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0.11</w:t>
            </w:r>
          </w:p>
        </w:tc>
      </w:tr>
      <w:tr>
        <w:trPr>
          <w:trHeight w:val="237"/>
        </w:trPr>
        <w:tc>
          <w:tcPr>
            <w:tcW w:w="4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2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Income tax (expense) benefit on adjustments(1)</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Adjusted net income (loss) per diluted share</w:t>
            </w: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0.12</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(0.57)</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4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8"/>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number of diluted shares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595,470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478,254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565,363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93345</wp:posOffset>
            </wp:positionV>
            <wp:extent cx="22885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230" w:lineRule="exact"/>
        <w:rPr>
          <w:sz w:val="20"/>
          <w:szCs w:val="20"/>
          <w:color w:val="auto"/>
        </w:rPr>
      </w:pPr>
    </w:p>
    <w:p>
      <w:pPr>
        <w:ind w:left="330" w:right="120" w:hanging="330"/>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is calculated at the statutory rate in which such item(s) reside. Statutory rates for the U.S., Equatorial Guinea and Ghana are 21%, 25% and 35%, respectively.</w:t>
      </w:r>
    </w:p>
    <w:p>
      <w:pPr>
        <w:sectPr>
          <w:pgSz w:w="11900" w:h="16838" w:orient="portrait"/>
          <w:cols w:equalWidth="0" w:num="1">
            <w:col w:w="10810"/>
          </w:cols>
          <w:pgMar w:left="490" w:top="608" w:right="599" w:bottom="1440" w:gutter="0" w:footer="0" w:header="0"/>
        </w:sectPr>
      </w:pPr>
    </w:p>
    <w:bookmarkStart w:id="16" w:name="page17"/>
    <w:bookmarkEnd w:id="16"/>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Kosmos Energy Ltd.</w:t>
      </w:r>
    </w:p>
    <w:p>
      <w:pPr>
        <w:spacing w:after="0" w:line="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Free Cash Flow</w:t>
      </w:r>
    </w:p>
    <w:p>
      <w:pPr>
        <w:spacing w:after="0" w:line="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(In thousands, 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8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220" w:type="dxa"/>
            <w:vAlign w:val="bottom"/>
          </w:tcPr>
          <w:p>
            <w:pPr>
              <w:spacing w:after="0"/>
              <w:rPr>
                <w:sz w:val="23"/>
                <w:szCs w:val="23"/>
                <w:color w:val="auto"/>
              </w:rPr>
            </w:pPr>
          </w:p>
        </w:tc>
        <w:tc>
          <w:tcPr>
            <w:tcW w:w="2280" w:type="dxa"/>
            <w:vAlign w:val="bottom"/>
            <w:gridSpan w:val="4"/>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87"/>
        </w:trPr>
        <w:tc>
          <w:tcPr>
            <w:tcW w:w="1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56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8"/>
              </w:rPr>
              <w:t>September 30,</w:t>
            </w: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September 30,</w:t>
            </w:r>
          </w:p>
        </w:tc>
      </w:tr>
      <w:tr>
        <w:trPr>
          <w:trHeight w:val="264"/>
        </w:trPr>
        <w:tc>
          <w:tcPr>
            <w:tcW w:w="180" w:type="dxa"/>
            <w:vAlign w:val="bottom"/>
          </w:tcPr>
          <w:p>
            <w:pPr>
              <w:spacing w:after="0"/>
              <w:rPr>
                <w:sz w:val="22"/>
                <w:szCs w:val="22"/>
                <w:color w:val="auto"/>
              </w:rPr>
            </w:pPr>
          </w:p>
        </w:tc>
        <w:tc>
          <w:tcPr>
            <w:tcW w:w="3440" w:type="dxa"/>
            <w:vAlign w:val="bottom"/>
            <w:tcBorders>
              <w:bottom w:val="single" w:sz="8" w:color="CCEEFF"/>
            </w:tcBorders>
          </w:tcPr>
          <w:p>
            <w:pPr>
              <w:spacing w:after="0"/>
              <w:rPr>
                <w:sz w:val="22"/>
                <w:szCs w:val="22"/>
                <w:color w:val="auto"/>
              </w:rPr>
            </w:pPr>
          </w:p>
        </w:tc>
        <w:tc>
          <w:tcPr>
            <w:tcW w:w="24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50"/>
        </w:trPr>
        <w:tc>
          <w:tcPr>
            <w:tcW w:w="180" w:type="dxa"/>
            <w:vAlign w:val="bottom"/>
          </w:tcPr>
          <w:p>
            <w:pPr>
              <w:spacing w:after="0"/>
              <w:rPr>
                <w:sz w:val="21"/>
                <w:szCs w:val="21"/>
                <w:color w:val="auto"/>
              </w:rPr>
            </w:pPr>
          </w:p>
        </w:tc>
        <w:tc>
          <w:tcPr>
            <w:tcW w:w="584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22"/>
                <w:szCs w:val="22"/>
                <w:b w:val="1"/>
                <w:bCs w:val="1"/>
                <w:color w:val="auto"/>
              </w:rPr>
              <w:t>Reconciliation of free cash flow:</w:t>
            </w: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0"/>
        </w:trPr>
        <w:tc>
          <w:tcPr>
            <w:tcW w:w="180" w:type="dxa"/>
            <w:vAlign w:val="bottom"/>
          </w:tcPr>
          <w:p>
            <w:pPr>
              <w:spacing w:after="0"/>
              <w:rPr>
                <w:sz w:val="23"/>
                <w:szCs w:val="23"/>
                <w:color w:val="auto"/>
              </w:rPr>
            </w:pPr>
          </w:p>
        </w:tc>
        <w:tc>
          <w:tcPr>
            <w:tcW w:w="58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Net cash provided by (used in) operating activities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163,984</w:t>
            </w:r>
          </w:p>
        </w:tc>
        <w:tc>
          <w:tcPr>
            <w:tcW w:w="10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(27,568)</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445,550</w:t>
            </w: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98,712</w:t>
            </w:r>
          </w:p>
        </w:tc>
      </w:tr>
      <w:tr>
        <w:trPr>
          <w:trHeight w:val="270"/>
        </w:trPr>
        <w:tc>
          <w:tcPr>
            <w:tcW w:w="180" w:type="dxa"/>
            <w:vAlign w:val="bottom"/>
          </w:tcPr>
          <w:p>
            <w:pPr>
              <w:spacing w:after="0"/>
              <w:rPr>
                <w:sz w:val="23"/>
                <w:szCs w:val="23"/>
                <w:color w:val="auto"/>
              </w:rPr>
            </w:pPr>
          </w:p>
        </w:tc>
        <w:tc>
          <w:tcPr>
            <w:tcW w:w="5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22"/>
                <w:szCs w:val="22"/>
                <w:color w:val="auto"/>
              </w:rPr>
              <w:t>Net cash used for oil and gas assets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(64,525)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(71,367)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(228,002)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(244,133)</w:t>
            </w:r>
          </w:p>
        </w:tc>
      </w:tr>
      <w:tr>
        <w:trPr>
          <w:trHeight w:val="270"/>
        </w:trPr>
        <w:tc>
          <w:tcPr>
            <w:tcW w:w="180" w:type="dxa"/>
            <w:vAlign w:val="bottom"/>
          </w:tcPr>
          <w:p>
            <w:pPr>
              <w:spacing w:after="0"/>
              <w:rPr>
                <w:sz w:val="23"/>
                <w:szCs w:val="23"/>
                <w:color w:val="auto"/>
              </w:rPr>
            </w:pPr>
          </w:p>
        </w:tc>
        <w:tc>
          <w:tcPr>
            <w:tcW w:w="58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Payments on finance lease</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(24,270)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180" w:type="dxa"/>
            <w:vAlign w:val="bottom"/>
          </w:tcPr>
          <w:p>
            <w:pPr>
              <w:spacing w:after="0"/>
              <w:rPr>
                <w:sz w:val="22"/>
                <w:szCs w:val="22"/>
                <w:color w:val="auto"/>
              </w:rPr>
            </w:pPr>
          </w:p>
        </w:tc>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Free cash flow</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90,140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(98,935)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193,278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(145,421)</w:t>
            </w:r>
          </w:p>
        </w:tc>
      </w:tr>
      <w:tr>
        <w:trPr>
          <w:trHeight w:val="156"/>
        </w:trPr>
        <w:tc>
          <w:tcPr>
            <w:tcW w:w="18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tcPr>
          <w:p>
            <w:pPr>
              <w:spacing w:after="0"/>
              <w:rPr>
                <w:sz w:val="13"/>
                <w:szCs w:val="13"/>
                <w:color w:val="auto"/>
              </w:rPr>
            </w:pPr>
          </w:p>
        </w:tc>
        <w:tc>
          <w:tcPr>
            <w:tcW w:w="2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ectPr>
          <w:pgSz w:w="11900" w:h="16838" w:orient="portrait"/>
          <w:cols w:equalWidth="0" w:num="1">
            <w:col w:w="11080"/>
          </w:cols>
          <w:pgMar w:left="320" w:top="608" w:right="4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b w:val="1"/>
          <w:bCs w:val="1"/>
          <w:color w:val="auto"/>
        </w:rPr>
        <w:t>Kosmos Energy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Operational Summary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barrel and per barrel data, 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9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0" w:type="dxa"/>
            <w:vAlign w:val="bottom"/>
            <w:tcBorders>
              <w:bottom w:val="single" w:sz="8" w:color="CCEEFF"/>
            </w:tcBorders>
          </w:tcPr>
          <w:p>
            <w:pPr>
              <w:spacing w:after="0"/>
              <w:rPr>
                <w:sz w:val="19"/>
                <w:szCs w:val="19"/>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Volume Sold</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29"/>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Oil (MMBbl)</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12.822</w:t>
            </w:r>
          </w:p>
        </w:tc>
        <w:tc>
          <w:tcPr>
            <w:tcW w:w="300" w:type="dxa"/>
            <w:vAlign w:val="bottom"/>
          </w:tcPr>
          <w:p>
            <w:pPr>
              <w:spacing w:after="0"/>
              <w:rPr>
                <w:sz w:val="19"/>
                <w:szCs w:val="19"/>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Gas (Bcf)</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36.770</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21.004</w:t>
            </w:r>
          </w:p>
        </w:tc>
        <w:tc>
          <w:tcPr>
            <w:tcW w:w="300" w:type="dxa"/>
            <w:vAlign w:val="bottom"/>
            <w:shd w:val="clear" w:color="auto" w:fill="CCEEFF"/>
          </w:tcPr>
          <w:p>
            <w:pPr>
              <w:spacing w:after="0"/>
              <w:rPr>
                <w:sz w:val="19"/>
                <w:szCs w:val="19"/>
                <w:color w:val="auto"/>
              </w:rPr>
            </w:pPr>
          </w:p>
        </w:tc>
      </w:tr>
      <w:tr>
        <w:trPr>
          <w:trHeight w:val="229"/>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NGL (MMBbl)</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0.095</w:t>
            </w:r>
          </w:p>
        </w:tc>
        <w:tc>
          <w:tcPr>
            <w:tcW w:w="3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0.097</w:t>
            </w:r>
          </w:p>
        </w:tc>
        <w:tc>
          <w:tcPr>
            <w:tcW w:w="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0.587</w:t>
            </w:r>
          </w:p>
        </w:tc>
        <w:tc>
          <w:tcPr>
            <w:tcW w:w="3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0.301</w:t>
            </w:r>
          </w:p>
        </w:tc>
        <w:tc>
          <w:tcPr>
            <w:tcW w:w="300" w:type="dxa"/>
            <w:vAlign w:val="bottom"/>
            <w:tcBorders>
              <w:bottom w:val="single" w:sz="8" w:color="CCEEFF"/>
            </w:tcBorders>
          </w:tcPr>
          <w:p>
            <w:pPr>
              <w:spacing w:after="0"/>
              <w:rPr>
                <w:sz w:val="19"/>
                <w:szCs w:val="19"/>
                <w:color w:val="auto"/>
              </w:rPr>
            </w:pPr>
          </w:p>
        </w:tc>
      </w:tr>
      <w:tr>
        <w:trPr>
          <w:trHeight w:val="248"/>
        </w:trPr>
        <w:tc>
          <w:tcPr>
            <w:tcW w:w="4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(MMBoe)</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r>
        <w:trPr>
          <w:trHeight w:val="203"/>
        </w:trPr>
        <w:tc>
          <w:tcPr>
            <w:tcW w:w="482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(MBoepd)</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62.437</w:t>
            </w:r>
          </w:p>
        </w:tc>
        <w:tc>
          <w:tcPr>
            <w:tcW w:w="3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59.942</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71.027</w:t>
            </w:r>
          </w:p>
        </w:tc>
        <w:tc>
          <w:tcPr>
            <w:tcW w:w="3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60.893</w:t>
            </w:r>
          </w:p>
        </w:tc>
        <w:tc>
          <w:tcPr>
            <w:tcW w:w="300" w:type="dxa"/>
            <w:vAlign w:val="bottom"/>
          </w:tcPr>
          <w:p>
            <w:pPr>
              <w:spacing w:after="0"/>
              <w:rPr>
                <w:sz w:val="17"/>
                <w:szCs w:val="17"/>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r>
      <w:tr>
        <w:trPr>
          <w:trHeight w:val="75"/>
        </w:trPr>
        <w:tc>
          <w:tcPr>
            <w:tcW w:w="48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326,899</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255,661</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1,120,201</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880,584</w:t>
            </w:r>
          </w:p>
        </w:tc>
        <w:tc>
          <w:tcPr>
            <w:tcW w:w="300" w:type="dxa"/>
            <w:vAlign w:val="bottom"/>
            <w:shd w:val="clear" w:color="auto" w:fill="CCEEFF"/>
          </w:tcPr>
          <w:p>
            <w:pPr>
              <w:spacing w:after="0"/>
              <w:rPr>
                <w:sz w:val="19"/>
                <w:szCs w:val="19"/>
                <w:color w:val="auto"/>
              </w:rPr>
            </w:pPr>
          </w:p>
        </w:tc>
      </w:tr>
      <w:tr>
        <w:trPr>
          <w:trHeight w:val="229"/>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Gas sales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81,377</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237,082</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107,439</w:t>
            </w:r>
          </w:p>
        </w:tc>
        <w:tc>
          <w:tcPr>
            <w:tcW w:w="300" w:type="dxa"/>
            <w:vAlign w:val="bottom"/>
          </w:tcPr>
          <w:p>
            <w:pPr>
              <w:spacing w:after="0"/>
              <w:rPr>
                <w:sz w:val="19"/>
                <w:szCs w:val="19"/>
                <w:color w:val="auto"/>
              </w:rPr>
            </w:pPr>
          </w:p>
        </w:tc>
      </w:tr>
      <w:tr>
        <w:trPr>
          <w:trHeight w:val="229"/>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 sales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3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3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30,757</w:t>
            </w:r>
          </w:p>
        </w:tc>
        <w:tc>
          <w:tcPr>
            <w:tcW w:w="3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300" w:type="dxa"/>
            <w:vAlign w:val="bottom"/>
            <w:shd w:val="clear" w:color="auto" w:fill="CCEEFF"/>
          </w:tcPr>
          <w:p>
            <w:pPr>
              <w:spacing w:after="0"/>
              <w:rPr>
                <w:sz w:val="19"/>
                <w:szCs w:val="19"/>
                <w:color w:val="auto"/>
              </w:rPr>
            </w:pP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oil and gas revenue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410,059</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310,959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1,388,040</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993,729</w:t>
            </w:r>
          </w:p>
        </w:tc>
        <w:tc>
          <w:tcPr>
            <w:tcW w:w="30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settlements on commodity derivatives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(39,790)</w:t>
            </w:r>
          </w:p>
        </w:tc>
        <w:tc>
          <w:tcPr>
            <w:tcW w:w="3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3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(175,513)</w:t>
            </w:r>
          </w:p>
        </w:tc>
        <w:tc>
          <w:tcPr>
            <w:tcW w:w="3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300" w:type="dxa"/>
            <w:vAlign w:val="bottom"/>
            <w:shd w:val="clear" w:color="auto" w:fill="CCEEFF"/>
          </w:tcPr>
          <w:p>
            <w:pPr>
              <w:spacing w:after="0"/>
              <w:rPr>
                <w:sz w:val="19"/>
                <w:szCs w:val="19"/>
                <w:color w:val="auto"/>
              </w:rPr>
            </w:pP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370,269</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308,635</w:t>
            </w:r>
          </w:p>
        </w:tc>
        <w:tc>
          <w:tcPr>
            <w:tcW w:w="3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1,212,527</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1,001,069</w:t>
            </w:r>
          </w:p>
        </w:tc>
        <w:tc>
          <w:tcPr>
            <w:tcW w:w="300" w:type="dxa"/>
            <w:vAlign w:val="bottom"/>
          </w:tcPr>
          <w:p>
            <w:pPr>
              <w:spacing w:after="0"/>
              <w:rPr>
                <w:sz w:val="19"/>
                <w:szCs w:val="19"/>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r>
      <w:tr>
        <w:trPr>
          <w:trHeight w:val="75"/>
        </w:trPr>
        <w:tc>
          <w:tcPr>
            <w:tcW w:w="48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r>
      <w:tr>
        <w:trPr>
          <w:trHeight w:val="216"/>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Oil and Gas Production Costs(1)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101,756</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147,696</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411,780</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558,122</w:t>
            </w:r>
          </w:p>
        </w:tc>
        <w:tc>
          <w:tcPr>
            <w:tcW w:w="300" w:type="dxa"/>
            <w:vAlign w:val="bottom"/>
            <w:shd w:val="clear" w:color="auto" w:fill="CCEEFF"/>
          </w:tcPr>
          <w:p>
            <w:pPr>
              <w:spacing w:after="0"/>
              <w:rPr>
                <w:sz w:val="19"/>
                <w:szCs w:val="19"/>
                <w:color w:val="auto"/>
              </w:rPr>
            </w:pPr>
          </w:p>
        </w:tc>
      </w:tr>
      <w:tr>
        <w:trPr>
          <w:trHeight w:val="216"/>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per Bbl/Mcf/Boe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30"/>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oil sales price per Bbl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3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3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3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300" w:type="dxa"/>
            <w:vAlign w:val="bottom"/>
          </w:tcPr>
          <w:p>
            <w:pPr>
              <w:spacing w:after="0"/>
              <w:rPr>
                <w:sz w:val="19"/>
                <w:szCs w:val="19"/>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gas sales price per Mcf</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00" w:type="dxa"/>
            <w:vAlign w:val="bottom"/>
            <w:shd w:val="clear" w:color="auto" w:fill="CCEEFF"/>
          </w:tcPr>
          <w:p>
            <w:pPr>
              <w:spacing w:after="0"/>
              <w:rPr>
                <w:sz w:val="19"/>
                <w:szCs w:val="19"/>
                <w:color w:val="auto"/>
              </w:rPr>
            </w:pPr>
          </w:p>
        </w:tc>
      </w:tr>
      <w:tr>
        <w:trPr>
          <w:trHeight w:val="229"/>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NGL sales price per Bbl</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300" w:type="dxa"/>
            <w:vAlign w:val="bottom"/>
          </w:tcPr>
          <w:p>
            <w:pPr>
              <w:spacing w:after="0"/>
              <w:rPr>
                <w:sz w:val="19"/>
                <w:szCs w:val="19"/>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Average total sales price per Boe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300" w:type="dxa"/>
            <w:vAlign w:val="bottom"/>
            <w:shd w:val="clear" w:color="auto" w:fill="CCEEFF"/>
          </w:tcPr>
          <w:p>
            <w:pPr>
              <w:spacing w:after="0"/>
              <w:rPr>
                <w:sz w:val="19"/>
                <w:szCs w:val="19"/>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settlements on commodity derivatives per Boe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300" w:type="dxa"/>
            <w:vAlign w:val="bottom"/>
          </w:tcPr>
          <w:p>
            <w:pPr>
              <w:spacing w:after="0"/>
              <w:rPr>
                <w:sz w:val="19"/>
                <w:szCs w:val="19"/>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revenue per Boe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300" w:type="dxa"/>
            <w:vAlign w:val="bottom"/>
            <w:shd w:val="clear" w:color="auto" w:fill="CCEEFF"/>
          </w:tcPr>
          <w:p>
            <w:pPr>
              <w:spacing w:after="0"/>
              <w:rPr>
                <w:sz w:val="19"/>
                <w:szCs w:val="19"/>
                <w:color w:val="auto"/>
              </w:rPr>
            </w:pPr>
          </w:p>
        </w:tc>
      </w:tr>
      <w:tr>
        <w:trPr>
          <w:trHeight w:val="216"/>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Oil and gas production costs per Boe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300" w:type="dxa"/>
            <w:vAlign w:val="bottom"/>
            <w:shd w:val="clear" w:color="auto" w:fill="CCEEFF"/>
          </w:tcPr>
          <w:p>
            <w:pPr>
              <w:spacing w:after="0"/>
              <w:rPr>
                <w:sz w:val="19"/>
                <w:szCs w:val="19"/>
                <w:color w:val="auto"/>
              </w:rPr>
            </w:pPr>
          </w:p>
        </w:tc>
      </w:tr>
      <w:tr>
        <w:trPr>
          <w:trHeight w:val="30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Oil and gas production costs per Boe ex. M/S </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3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3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3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22885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2" w:lineRule="exact"/>
        <w:rPr>
          <w:sz w:val="20"/>
          <w:szCs w:val="20"/>
          <w:color w:val="auto"/>
        </w:rPr>
      </w:pPr>
    </w:p>
    <w:p>
      <w:pPr>
        <w:ind w:left="480" w:hanging="310"/>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$56.1 million and $59.4 million for the three months ended September 30, 2026 and 2025, respectively, and $177.2 million and $186.6 million for the nine months ended</w:t>
      </w:r>
    </w:p>
    <w:p>
      <w:pPr>
        <w:spacing w:after="0" w:line="41" w:lineRule="exact"/>
        <w:rPr>
          <w:rFonts w:ascii="Times New Roman" w:cs="Times New Roman" w:eastAsia="Times New Roman" w:hAnsi="Times New Roman"/>
          <w:sz w:val="14"/>
          <w:szCs w:val="14"/>
          <w:color w:val="auto"/>
        </w:rPr>
      </w:pPr>
    </w:p>
    <w:p>
      <w:pPr>
        <w:ind w:left="500" w:right="180"/>
        <w:spacing w:after="0" w:line="31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September 30, 2026 and 2025, respectively of oil and gas production costs related to the LNG production at the GTA Phase 1 project in Mauritania and Senegal. GTA Phase 1 project LNG sales volumes for the three months ended September 30, 2026 and 2025 were 1.208 MMBoe and 0.989 MMBoe, respectively, and for the nine months ended September 30, 2026 and 2025 were 4.138 MMBoe and 1.563 MMBoe, respectively. First LNG was achieved in February 2025 and the first LNG cargo was successfully completed in April 2025.</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Kosmos was underlifted by approximately 1.1 million barrels of oil equivalent (mmboe) as of September 30, 2026.</w:t>
      </w:r>
    </w:p>
    <w:p>
      <w:pPr>
        <w:sectPr>
          <w:pgSz w:w="11900" w:h="16838" w:orient="portrait"/>
          <w:cols w:equalWidth="0" w:num="1">
            <w:col w:w="11240"/>
          </w:cols>
          <w:pgMar w:left="320" w:top="608" w:right="33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Kosmos Energy Ltd.</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Hedging Summary</w:t>
      </w:r>
    </w:p>
    <w:p>
      <w:pPr>
        <w:jc w:val="center"/>
        <w:ind w:right="-39"/>
        <w:spacing w:after="0" w:line="203" w:lineRule="auto"/>
        <w:rPr>
          <w:sz w:val="20"/>
          <w:szCs w:val="20"/>
          <w:color w:val="auto"/>
        </w:rPr>
      </w:pPr>
      <w:r>
        <w:rPr>
          <w:rFonts w:ascii="Times New Roman" w:cs="Times New Roman" w:eastAsia="Times New Roman" w:hAnsi="Times New Roman"/>
          <w:sz w:val="22"/>
          <w:szCs w:val="22"/>
          <w:b w:val="1"/>
          <w:bCs w:val="1"/>
          <w:color w:val="auto"/>
        </w:rPr>
        <w:t>As of September 30, 2026</w:t>
      </w:r>
      <w:r>
        <w:rPr>
          <w:rFonts w:ascii="Times New Roman" w:cs="Times New Roman" w:eastAsia="Times New Roman" w:hAnsi="Times New Roman"/>
          <w:sz w:val="28"/>
          <w:szCs w:val="28"/>
          <w:b w:val="1"/>
          <w:bCs w:val="1"/>
          <w:color w:val="auto"/>
          <w:vertAlign w:val="superscript"/>
        </w:rPr>
        <w:t>(1)</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Weighted Average Price per Bbl</w:t>
            </w:r>
          </w:p>
        </w:tc>
      </w:tr>
      <w:tr>
        <w:trPr>
          <w:trHeight w:val="520"/>
        </w:trPr>
        <w:tc>
          <w:tcPr>
            <w:tcW w:w="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Index</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22"/>
                <w:szCs w:val="22"/>
                <w:b w:val="1"/>
                <w:bCs w:val="1"/>
                <w:color w:val="auto"/>
              </w:rPr>
              <w:t>MBbl</w:t>
            </w: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22"/>
                <w:szCs w:val="22"/>
                <w:b w:val="1"/>
                <w:bCs w:val="1"/>
                <w:color w:val="auto"/>
              </w:rPr>
              <w:t>Floor(2)</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9"/>
              </w:rPr>
              <w:t>Sold Put</w:t>
            </w: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Ceiling</w:t>
            </w:r>
          </w:p>
        </w:tc>
      </w:tr>
      <w:tr>
        <w:trPr>
          <w:trHeight w:val="251"/>
        </w:trPr>
        <w:tc>
          <w:tcPr>
            <w:tcW w:w="340" w:type="dxa"/>
            <w:vAlign w:val="bottom"/>
          </w:tcPr>
          <w:p>
            <w:pPr>
              <w:spacing w:after="0"/>
              <w:rPr>
                <w:sz w:val="21"/>
                <w:szCs w:val="21"/>
                <w:color w:val="auto"/>
              </w:rPr>
            </w:pPr>
          </w:p>
        </w:tc>
        <w:tc>
          <w:tcPr>
            <w:tcW w:w="3280" w:type="dxa"/>
            <w:vAlign w:val="bottom"/>
            <w:tcBorders>
              <w:top w:val="single" w:sz="8" w:color="CCEEFF"/>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22"/>
                <w:szCs w:val="22"/>
                <w:b w:val="1"/>
                <w:bCs w:val="1"/>
                <w:color w:val="auto"/>
              </w:rPr>
              <w:t>2026:</w:t>
            </w:r>
          </w:p>
        </w:tc>
        <w:tc>
          <w:tcPr>
            <w:tcW w:w="260" w:type="dxa"/>
            <w:vAlign w:val="bottom"/>
            <w:tcBorders>
              <w:top w:val="single" w:sz="8" w:color="CCEEFF"/>
            </w:tcBorders>
            <w:shd w:val="clear" w:color="auto" w:fill="CCEEFF"/>
          </w:tcPr>
          <w:p>
            <w:pPr>
              <w:spacing w:after="0"/>
              <w:rPr>
                <w:sz w:val="21"/>
                <w:szCs w:val="21"/>
                <w:color w:val="auto"/>
              </w:rPr>
            </w:pPr>
          </w:p>
        </w:tc>
        <w:tc>
          <w:tcPr>
            <w:tcW w:w="1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r>
      <w:tr>
        <w:trPr>
          <w:trHeight w:val="270"/>
        </w:trPr>
        <w:tc>
          <w:tcPr>
            <w:tcW w:w="340" w:type="dxa"/>
            <w:vAlign w:val="bottom"/>
          </w:tcPr>
          <w:p>
            <w:pPr>
              <w:spacing w:after="0"/>
              <w:rPr>
                <w:sz w:val="23"/>
                <w:szCs w:val="23"/>
                <w:color w:val="auto"/>
              </w:rPr>
            </w:pPr>
          </w:p>
        </w:tc>
        <w:tc>
          <w:tcPr>
            <w:tcW w:w="35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Three-way collars FY26</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color w:val="auto"/>
                <w:w w:val="99"/>
              </w:rPr>
              <w:t>Dated Brent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60.00</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75.51</w:t>
            </w:r>
          </w:p>
        </w:tc>
      </w:tr>
      <w:tr>
        <w:trPr>
          <w:trHeight w:val="270"/>
        </w:trPr>
        <w:tc>
          <w:tcPr>
            <w:tcW w:w="340" w:type="dxa"/>
            <w:vAlign w:val="bottom"/>
          </w:tcPr>
          <w:p>
            <w:pPr>
              <w:spacing w:after="0"/>
              <w:rPr>
                <w:sz w:val="23"/>
                <w:szCs w:val="23"/>
                <w:color w:val="auto"/>
              </w:rPr>
            </w:pPr>
          </w:p>
        </w:tc>
        <w:tc>
          <w:tcPr>
            <w:tcW w:w="3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22"/>
                <w:szCs w:val="22"/>
                <w:color w:val="auto"/>
              </w:rPr>
              <w:t>Swaps FY26</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2"/>
                <w:szCs w:val="22"/>
                <w:color w:val="auto"/>
                <w:w w:val="99"/>
              </w:rPr>
              <w:t>Dated Brent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750</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70.62</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340" w:type="dxa"/>
            <w:vAlign w:val="bottom"/>
          </w:tcPr>
          <w:p>
            <w:pPr>
              <w:spacing w:after="0"/>
              <w:rPr>
                <w:sz w:val="23"/>
                <w:szCs w:val="23"/>
                <w:color w:val="auto"/>
              </w:rPr>
            </w:pPr>
          </w:p>
        </w:tc>
        <w:tc>
          <w:tcPr>
            <w:tcW w:w="35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Swaps FY26</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color w:val="auto"/>
              </w:rPr>
              <w:t>WTI</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375</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64.83</w:t>
            </w:r>
          </w:p>
        </w:tc>
        <w:tc>
          <w:tcPr>
            <w:tcW w:w="10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340" w:type="dxa"/>
            <w:vAlign w:val="bottom"/>
          </w:tcPr>
          <w:p>
            <w:pPr>
              <w:spacing w:after="0"/>
              <w:rPr>
                <w:sz w:val="23"/>
                <w:szCs w:val="23"/>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2027:</w:t>
            </w:r>
          </w:p>
        </w:tc>
        <w:tc>
          <w:tcPr>
            <w:tcW w:w="26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35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Three-way collars 1H27</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color w:val="auto"/>
                <w:w w:val="99"/>
              </w:rPr>
              <w:t>Dated Brent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2,000</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70.00</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55.00</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85.00</w:t>
            </w:r>
          </w:p>
        </w:tc>
      </w:tr>
      <w:tr>
        <w:trPr>
          <w:trHeight w:val="270"/>
        </w:trPr>
        <w:tc>
          <w:tcPr>
            <w:tcW w:w="340" w:type="dxa"/>
            <w:vAlign w:val="bottom"/>
          </w:tcPr>
          <w:p>
            <w:pPr>
              <w:spacing w:after="0"/>
              <w:rPr>
                <w:sz w:val="23"/>
                <w:szCs w:val="23"/>
                <w:color w:val="auto"/>
              </w:rPr>
            </w:pPr>
          </w:p>
        </w:tc>
        <w:tc>
          <w:tcPr>
            <w:tcW w:w="3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22"/>
                <w:szCs w:val="22"/>
                <w:color w:val="auto"/>
              </w:rPr>
              <w:t>Three-way collars FY27</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2"/>
                <w:szCs w:val="22"/>
                <w:color w:val="auto"/>
                <w:w w:val="99"/>
              </w:rPr>
              <w:t>Dated Brent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2,000</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60.00</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47.50</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75.00</w:t>
            </w:r>
          </w:p>
        </w:tc>
      </w:tr>
      <w:tr>
        <w:trPr>
          <w:trHeight w:val="270"/>
        </w:trPr>
        <w:tc>
          <w:tcPr>
            <w:tcW w:w="340" w:type="dxa"/>
            <w:vAlign w:val="bottom"/>
          </w:tcPr>
          <w:p>
            <w:pPr>
              <w:spacing w:after="0"/>
              <w:rPr>
                <w:sz w:val="23"/>
                <w:szCs w:val="23"/>
                <w:color w:val="auto"/>
              </w:rPr>
            </w:pPr>
          </w:p>
        </w:tc>
        <w:tc>
          <w:tcPr>
            <w:tcW w:w="35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Two-way collars FY27</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color w:val="auto"/>
                <w:w w:val="99"/>
              </w:rPr>
              <w:t>Dated Brent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3,000</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68.33</w:t>
            </w:r>
          </w:p>
        </w:tc>
        <w:tc>
          <w:tcPr>
            <w:tcW w:w="10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93.33</w:t>
            </w:r>
          </w:p>
        </w:tc>
      </w:tr>
      <w:tr>
        <w:trPr>
          <w:trHeight w:val="270"/>
        </w:trPr>
        <w:tc>
          <w:tcPr>
            <w:tcW w:w="340" w:type="dxa"/>
            <w:vAlign w:val="bottom"/>
          </w:tcPr>
          <w:p>
            <w:pPr>
              <w:spacing w:after="0"/>
              <w:rPr>
                <w:sz w:val="23"/>
                <w:szCs w:val="23"/>
                <w:color w:val="auto"/>
              </w:rPr>
            </w:pPr>
          </w:p>
        </w:tc>
        <w:tc>
          <w:tcPr>
            <w:tcW w:w="3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22"/>
                <w:szCs w:val="22"/>
                <w:color w:val="auto"/>
              </w:rPr>
              <w:t>Three-way collars FY27</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2"/>
                <w:szCs w:val="22"/>
                <w:color w:val="auto"/>
              </w:rPr>
              <w:t>WTI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1,000</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70.00</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55.00</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90.00</w:t>
            </w:r>
          </w:p>
        </w:tc>
      </w:tr>
      <w:tr>
        <w:trPr>
          <w:trHeight w:val="155"/>
        </w:trPr>
        <w:tc>
          <w:tcPr>
            <w:tcW w:w="34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bl>
    <w:p>
      <w:pPr>
        <w:spacing w:after="0" w:line="63" w:lineRule="exact"/>
        <w:rPr>
          <w:sz w:val="20"/>
          <w:szCs w:val="20"/>
          <w:color w:val="auto"/>
        </w:rPr>
      </w:pPr>
    </w:p>
    <w:p>
      <w:pPr>
        <w:ind w:left="340" w:hanging="332"/>
        <w:spacing w:after="0" w:line="253"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the Company’s filed 10-Q for additional disclosure on hedging material. Includes hedging position as of September 30, 2026 and hedges put in place through filing date.</w:t>
      </w: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 represents floor price for collars and strike price for purchased puts.</w:t>
      </w:r>
    </w:p>
    <w:p>
      <w:pPr>
        <w:spacing w:after="0" w:line="274" w:lineRule="exact"/>
        <w:rPr>
          <w:sz w:val="20"/>
          <w:szCs w:val="20"/>
          <w:color w:val="auto"/>
        </w:rPr>
      </w:pPr>
    </w:p>
    <w:p>
      <w:pPr>
        <w:ind w:right="140"/>
        <w:spacing w:after="0" w:line="329" w:lineRule="auto"/>
        <w:rPr>
          <w:sz w:val="20"/>
          <w:szCs w:val="20"/>
          <w:color w:val="auto"/>
        </w:rPr>
      </w:pPr>
      <w:r>
        <w:rPr>
          <w:rFonts w:ascii="Times New Roman" w:cs="Times New Roman" w:eastAsia="Times New Roman" w:hAnsi="Times New Roman"/>
          <w:sz w:val="18"/>
          <w:szCs w:val="18"/>
          <w:color w:val="auto"/>
        </w:rPr>
        <w:t>Note: Excludes 0.3 MMBbls of Dated Brent sold calls with a strike price of $100.00 per Bbl and 0.5 MMBbls of Dated Brent sold puts with a strike price of $55.00 per Bbl in 2026. Excludes 0.4 MMBbls of WTI sold puts with a strike price of $50.00 per Bbl in 2026.</w:t>
      </w:r>
    </w:p>
    <w:p>
      <w:pPr>
        <w:sectPr>
          <w:pgSz w:w="11900" w:h="16838" w:orient="portrait"/>
          <w:cols w:equalWidth="0" w:num="1">
            <w:col w:w="11200"/>
          </w:cols>
          <w:pgMar w:left="320" w:top="864" w:right="37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Fourth Quarter 2026 Guidance</w:t>
      </w:r>
    </w:p>
    <w:p>
      <w:pPr>
        <w:spacing w:after="0" w:line="134" w:lineRule="exact"/>
        <w:rPr>
          <w:sz w:val="20"/>
          <w:szCs w:val="20"/>
          <w:color w:val="auto"/>
        </w:rPr>
      </w:pPr>
    </w:p>
    <w:tbl>
      <w:tblPr>
        <w:tblLayout w:type="fixed"/>
        <w:tblInd w:w="288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4Q 2026</w:t>
            </w:r>
          </w:p>
        </w:tc>
      </w:tr>
      <w:tr>
        <w:trPr>
          <w:trHeight w:val="88"/>
        </w:trPr>
        <w:tc>
          <w:tcPr>
            <w:tcW w:w="2740" w:type="dxa"/>
            <w:vAlign w:val="bottom"/>
          </w:tcPr>
          <w:p>
            <w:pPr>
              <w:spacing w:after="0"/>
              <w:rPr>
                <w:sz w:val="7"/>
                <w:szCs w:val="7"/>
                <w:color w:val="auto"/>
              </w:rPr>
            </w:pPr>
          </w:p>
        </w:tc>
        <w:tc>
          <w:tcPr>
            <w:tcW w:w="2760" w:type="dxa"/>
            <w:vAlign w:val="bottom"/>
          </w:tcPr>
          <w:p>
            <w:pPr>
              <w:spacing w:after="0"/>
              <w:rPr>
                <w:sz w:val="7"/>
                <w:szCs w:val="7"/>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Production(1,2,3)</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60,000 - 64,000 boe per day</w:t>
            </w:r>
          </w:p>
        </w:tc>
      </w:tr>
      <w:tr>
        <w:trPr>
          <w:trHeight w:val="257"/>
        </w:trPr>
        <w:tc>
          <w:tcPr>
            <w:tcW w:w="274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Opex</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$18.00 - $20.00 per boe</w:t>
            </w:r>
          </w:p>
        </w:tc>
      </w:tr>
      <w:tr>
        <w:trPr>
          <w:trHeight w:val="257"/>
        </w:trPr>
        <w:tc>
          <w:tcPr>
            <w:tcW w:w="274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DD&amp;A</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$17.50 - $19.50 per boe</w:t>
            </w:r>
          </w:p>
        </w:tc>
      </w:tr>
      <w:tr>
        <w:trPr>
          <w:trHeight w:val="257"/>
        </w:trPr>
        <w:tc>
          <w:tcPr>
            <w:tcW w:w="274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G&amp;A(~61% cash)</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$10-$15 million</w:t>
            </w:r>
          </w:p>
        </w:tc>
      </w:tr>
      <w:tr>
        <w:trPr>
          <w:trHeight w:val="257"/>
        </w:trPr>
        <w:tc>
          <w:tcPr>
            <w:tcW w:w="274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Exploration Expense(4)</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million</w:t>
            </w:r>
          </w:p>
        </w:tc>
      </w:tr>
      <w:tr>
        <w:trPr>
          <w:trHeight w:val="257"/>
        </w:trPr>
        <w:tc>
          <w:tcPr>
            <w:tcW w:w="274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$50 - $55 million</w:t>
            </w:r>
          </w:p>
        </w:tc>
      </w:tr>
      <w:tr>
        <w:trPr>
          <w:trHeight w:val="256"/>
        </w:trPr>
        <w:tc>
          <w:tcPr>
            <w:tcW w:w="274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$11.00 - $15.00 per boe</w:t>
            </w:r>
          </w:p>
        </w:tc>
      </w:tr>
      <w:tr>
        <w:trPr>
          <w:trHeight w:val="256"/>
        </w:trPr>
        <w:tc>
          <w:tcPr>
            <w:tcW w:w="274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$50 - $75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22885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Note: Ghana / Mauritania &amp; Senegal revenue calculated by number of cargos. Guidance excludes Equatorial Guinea from June 17, 2026 following the sale of the assets.</w:t>
      </w:r>
    </w:p>
    <w:p>
      <w:pPr>
        <w:spacing w:after="0" w:line="187"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313231"/>
        </w:rPr>
      </w:pPr>
      <w:r>
        <w:rPr>
          <w:rFonts w:ascii="Times New Roman" w:cs="Times New Roman" w:eastAsia="Times New Roman" w:hAnsi="Times New Roman"/>
          <w:sz w:val="18"/>
          <w:szCs w:val="18"/>
          <w:color w:val="313231"/>
        </w:rPr>
        <w:t>4Q 2026 net cargo forecast – Ghana: 3 cargos. Average cargo sizes 950,000 barrels of oil.</w:t>
      </w:r>
    </w:p>
    <w:p>
      <w:pPr>
        <w:spacing w:after="0" w:line="15" w:lineRule="exact"/>
        <w:rPr>
          <w:rFonts w:ascii="Times New Roman" w:cs="Times New Roman" w:eastAsia="Times New Roman" w:hAnsi="Times New Roman"/>
          <w:sz w:val="18"/>
          <w:szCs w:val="18"/>
          <w:color w:val="313231"/>
        </w:rPr>
      </w:pPr>
    </w:p>
    <w:p>
      <w:pPr>
        <w:ind w:left="980" w:hanging="324"/>
        <w:spacing w:after="0" w:line="212" w:lineRule="auto"/>
        <w:tabs>
          <w:tab w:leader="none" w:pos="974" w:val="left"/>
        </w:tabs>
        <w:numPr>
          <w:ilvl w:val="0"/>
          <w:numId w:val="11"/>
        </w:numPr>
        <w:rPr>
          <w:rFonts w:ascii="Times New Roman" w:cs="Times New Roman" w:eastAsia="Times New Roman" w:hAnsi="Times New Roman"/>
          <w:sz w:val="18"/>
          <w:szCs w:val="18"/>
          <w:color w:val="313231"/>
        </w:rPr>
      </w:pPr>
      <w:r>
        <w:rPr>
          <w:rFonts w:ascii="Times New Roman" w:cs="Times New Roman" w:eastAsia="Times New Roman" w:hAnsi="Times New Roman"/>
          <w:sz w:val="18"/>
          <w:szCs w:val="18"/>
          <w:color w:val="313231"/>
        </w:rPr>
        <w:t>4Q 2026 gross LNG cargo forecast - Mauritania &amp; Senegal: 8-9 cargos. Average cargo size ~170,000 m</w:t>
      </w:r>
      <w:r>
        <w:rPr>
          <w:rFonts w:ascii="Times New Roman" w:cs="Times New Roman" w:eastAsia="Times New Roman" w:hAnsi="Times New Roman"/>
          <w:sz w:val="23"/>
          <w:szCs w:val="23"/>
          <w:color w:val="313231"/>
          <w:vertAlign w:val="superscript"/>
        </w:rPr>
        <w:t>3</w:t>
      </w:r>
      <w:r>
        <w:rPr>
          <w:rFonts w:ascii="Times New Roman" w:cs="Times New Roman" w:eastAsia="Times New Roman" w:hAnsi="Times New Roman"/>
          <w:sz w:val="18"/>
          <w:szCs w:val="18"/>
          <w:color w:val="313231"/>
        </w:rPr>
        <w:t xml:space="preserve"> with Kosmos NRI of ~24%. Kosmos expects 0.4 net condensate cargos in 4Q 2026</w:t>
      </w:r>
    </w:p>
    <w:p>
      <w:pPr>
        <w:ind w:left="980" w:hanging="324"/>
        <w:spacing w:after="0" w:line="236" w:lineRule="auto"/>
        <w:tabs>
          <w:tab w:leader="none" w:pos="980" w:val="left"/>
        </w:tabs>
        <w:numPr>
          <w:ilvl w:val="0"/>
          <w:numId w:val="11"/>
        </w:numPr>
        <w:rPr>
          <w:rFonts w:ascii="Times New Roman" w:cs="Times New Roman" w:eastAsia="Times New Roman" w:hAnsi="Times New Roman"/>
          <w:sz w:val="18"/>
          <w:szCs w:val="18"/>
          <w:color w:val="313231"/>
        </w:rPr>
      </w:pPr>
      <w:r>
        <w:rPr>
          <w:rFonts w:ascii="Times New Roman" w:cs="Times New Roman" w:eastAsia="Times New Roman" w:hAnsi="Times New Roman"/>
          <w:sz w:val="18"/>
          <w:szCs w:val="18"/>
          <w:color w:val="313231"/>
        </w:rPr>
        <w:t>Gulf of America Production: 4Q 2026 forecast 10,000 - 11,500 boe per day. Oil/Gas/NGL split for 2026: ~83%/~10%/~7%.</w:t>
      </w:r>
    </w:p>
    <w:p>
      <w:pPr>
        <w:ind w:left="980" w:hanging="324"/>
        <w:spacing w:after="0"/>
        <w:tabs>
          <w:tab w:leader="none" w:pos="980" w:val="left"/>
        </w:tabs>
        <w:numPr>
          <w:ilvl w:val="0"/>
          <w:numId w:val="11"/>
        </w:numPr>
        <w:rPr>
          <w:rFonts w:ascii="Times New Roman" w:cs="Times New Roman" w:eastAsia="Times New Roman" w:hAnsi="Times New Roman"/>
          <w:sz w:val="18"/>
          <w:szCs w:val="18"/>
          <w:color w:val="313231"/>
        </w:rPr>
      </w:pPr>
      <w:r>
        <w:rPr>
          <w:rFonts w:ascii="Times New Roman" w:cs="Times New Roman" w:eastAsia="Times New Roman" w:hAnsi="Times New Roman"/>
          <w:sz w:val="18"/>
          <w:szCs w:val="18"/>
          <w:color w:val="313231"/>
        </w:rPr>
        <w:t>Excludes leasehold impairments and dry hole costs.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Source: Kosmos Energy Ltd.</w:t>
      </w: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Investor Relations</w:t>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Jamie Buckland</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+44 (0) 203 954 2831</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jbuckland@kosmosenergy.com</w:t>
      </w: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Media Relations</w:t>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Thomas Golembeski</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+1-214-445-9674</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tgolembeski@kosmosenergy.com</w:t>
      </w:r>
    </w:p>
    <w:sectPr>
      <w:pgSz w:w="11900" w:h="16838" w:orient="portrait"/>
      <w:cols w:equalWidth="0" w:num="1">
        <w:col w:w="11200"/>
      </w:cols>
      <w:pgMar w:left="320" w:top="6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Roman"/>
      <w:start w:val="9"/>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2026-11-02T05:45:46Z</dcterms:created>
  <dcterms:modified xsi:type="dcterms:W3CDTF">2026-11-02T05:45:46Z</dcterms:modified>
</cp:coreProperties>
</file>