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068.xml.htm"/>
      <w:bookmarkStart w:id="1" w:name="kswkform4_17833710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Nealesh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8176 PARK LANE,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Kosmos Energy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51"/>
        <w:gridCol w:w="440"/>
        <w:gridCol w:w="703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118,329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1,981,390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1,935,410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 units were granted under the Issuer's Long Term Incentive Plan (the "Plan") and are scheduled to vest 100% on July 1, 2026, subject to the terms of the Plan and the applicable award agreement issued thereunder.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to satisfy the tax withholding requirement arising from the vesting of restricted share units granted to the reporting person under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above reflects the weighted average sales price. Sales of shares took place at actual prices ranging from $2.00 to $2.115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Josh R. Marion,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6050" TargetMode="External"/><Relationship Id="rId5" Type="http://schemas.openxmlformats.org/officeDocument/2006/relationships/hyperlink" Target="http://www.sec.gov/cgi-bin/browse-edgar?action=getcompany&amp;CIK=0001509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3567</Characters>
  <CharactersWithSpaces>4165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