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29, 2026</w:t>
      </w:r>
    </w:p>
    <w:p>
      <w:pPr>
        <w:spacing w:after="0" w:line="31" w:lineRule="exact"/>
        <w:rPr>
          <w:sz w:val="24"/>
          <w:szCs w:val="24"/>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Registration No. 333-__________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tbl>
      <w:tblPr>
        <w:tblLayout w:type="fixed"/>
        <w:tblInd w:w="620" w:type="dxa"/>
        <w:tblCellMar>
          <w:top w:w="0" w:type="dxa"/>
          <w:left w:w="0" w:type="dxa"/>
          <w:bottom w:w="0" w:type="dxa"/>
          <w:right w:w="0" w:type="dxa"/>
        </w:tblCellMar>
      </w:tblPr>
      <w:tr>
        <w:trPr>
          <w:trHeight w:val="297"/>
        </w:trPr>
        <w:tc>
          <w:tcPr>
            <w:tcW w:w="2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720" w:type="dxa"/>
            <w:vAlign w:val="bottom"/>
            <w:gridSpan w:val="2"/>
          </w:tcPr>
          <w:p>
            <w:pPr>
              <w:jc w:val="center"/>
              <w:ind w:right="3370"/>
              <w:spacing w:after="0"/>
              <w:rPr>
                <w:sz w:val="20"/>
                <w:szCs w:val="20"/>
                <w:color w:val="auto"/>
              </w:rPr>
            </w:pPr>
            <w:r>
              <w:rPr>
                <w:rFonts w:ascii="Times New Roman" w:cs="Times New Roman" w:eastAsia="Times New Roman" w:hAnsi="Times New Roman"/>
                <w:sz w:val="25"/>
                <w:szCs w:val="25"/>
                <w:b w:val="1"/>
                <w:bCs w:val="1"/>
                <w:color w:val="auto"/>
              </w:rPr>
              <w:t>FORM S-8</w:t>
            </w:r>
          </w:p>
        </w:tc>
      </w:tr>
      <w:tr>
        <w:trPr>
          <w:trHeight w:val="297"/>
        </w:trPr>
        <w:tc>
          <w:tcPr>
            <w:tcW w:w="2460" w:type="dxa"/>
            <w:vAlign w:val="bottom"/>
          </w:tcPr>
          <w:p>
            <w:pPr>
              <w:spacing w:after="0"/>
              <w:rPr>
                <w:sz w:val="24"/>
                <w:szCs w:val="24"/>
                <w:color w:val="auto"/>
              </w:rPr>
            </w:pPr>
          </w:p>
        </w:tc>
        <w:tc>
          <w:tcPr>
            <w:tcW w:w="7140" w:type="dxa"/>
            <w:vAlign w:val="bottom"/>
            <w:gridSpan w:val="3"/>
          </w:tcPr>
          <w:p>
            <w:pPr>
              <w:jc w:val="center"/>
              <w:ind w:right="1950"/>
              <w:spacing w:after="0"/>
              <w:rPr>
                <w:sz w:val="20"/>
                <w:szCs w:val="20"/>
                <w:color w:val="auto"/>
              </w:rPr>
            </w:pPr>
            <w:r>
              <w:rPr>
                <w:rFonts w:ascii="Times New Roman" w:cs="Times New Roman" w:eastAsia="Times New Roman" w:hAnsi="Times New Roman"/>
                <w:sz w:val="25"/>
                <w:szCs w:val="25"/>
                <w:b w:val="1"/>
                <w:bCs w:val="1"/>
                <w:color w:val="auto"/>
                <w:w w:val="99"/>
              </w:rPr>
              <w:t>REGISTRATION STATEMENT UNDER</w:t>
            </w:r>
          </w:p>
        </w:tc>
      </w:tr>
      <w:tr>
        <w:trPr>
          <w:trHeight w:val="334"/>
        </w:trPr>
        <w:tc>
          <w:tcPr>
            <w:tcW w:w="2460" w:type="dxa"/>
            <w:vAlign w:val="bottom"/>
          </w:tcPr>
          <w:p>
            <w:pPr>
              <w:spacing w:after="0"/>
              <w:rPr>
                <w:sz w:val="24"/>
                <w:szCs w:val="24"/>
                <w:color w:val="auto"/>
              </w:rPr>
            </w:pPr>
          </w:p>
        </w:tc>
        <w:tc>
          <w:tcPr>
            <w:tcW w:w="7140" w:type="dxa"/>
            <w:vAlign w:val="bottom"/>
            <w:gridSpan w:val="3"/>
          </w:tcPr>
          <w:p>
            <w:pPr>
              <w:jc w:val="center"/>
              <w:ind w:right="1950"/>
              <w:spacing w:after="0"/>
              <w:rPr>
                <w:sz w:val="20"/>
                <w:szCs w:val="20"/>
                <w:color w:val="auto"/>
              </w:rPr>
            </w:pPr>
            <w:r>
              <w:rPr>
                <w:rFonts w:ascii="Times New Roman" w:cs="Times New Roman" w:eastAsia="Times New Roman" w:hAnsi="Times New Roman"/>
                <w:sz w:val="25"/>
                <w:szCs w:val="25"/>
                <w:b w:val="1"/>
                <w:bCs w:val="1"/>
                <w:color w:val="auto"/>
              </w:rPr>
              <w:t>THE SECURITIES ACT OF 1933</w:t>
            </w:r>
          </w:p>
        </w:tc>
      </w:tr>
      <w:tr>
        <w:trPr>
          <w:trHeight w:val="262"/>
        </w:trPr>
        <w:tc>
          <w:tcPr>
            <w:tcW w:w="24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3480" w:type="dxa"/>
            <w:vAlign w:val="bottom"/>
          </w:tcPr>
          <w:p>
            <w:pPr>
              <w:spacing w:after="0"/>
              <w:rPr>
                <w:sz w:val="22"/>
                <w:szCs w:val="22"/>
                <w:color w:val="auto"/>
              </w:rPr>
            </w:pPr>
          </w:p>
        </w:tc>
      </w:tr>
      <w:tr>
        <w:trPr>
          <w:trHeight w:val="623"/>
        </w:trPr>
        <w:tc>
          <w:tcPr>
            <w:tcW w:w="2460" w:type="dxa"/>
            <w:vAlign w:val="bottom"/>
          </w:tcPr>
          <w:p>
            <w:pPr>
              <w:spacing w:after="0"/>
              <w:rPr>
                <w:sz w:val="24"/>
                <w:szCs w:val="24"/>
                <w:color w:val="auto"/>
              </w:rPr>
            </w:pPr>
          </w:p>
        </w:tc>
        <w:tc>
          <w:tcPr>
            <w:tcW w:w="7140" w:type="dxa"/>
            <w:vAlign w:val="bottom"/>
            <w:gridSpan w:val="3"/>
          </w:tcPr>
          <w:p>
            <w:pPr>
              <w:jc w:val="center"/>
              <w:ind w:right="1950"/>
              <w:spacing w:after="0"/>
              <w:rPr>
                <w:sz w:val="20"/>
                <w:szCs w:val="20"/>
                <w:color w:val="auto"/>
              </w:rPr>
            </w:pPr>
            <w:r>
              <w:rPr>
                <w:rFonts w:ascii="Times New Roman" w:cs="Times New Roman" w:eastAsia="Times New Roman" w:hAnsi="Times New Roman"/>
                <w:sz w:val="32"/>
                <w:szCs w:val="32"/>
                <w:b w:val="1"/>
                <w:bCs w:val="1"/>
                <w:color w:val="auto"/>
              </w:rPr>
              <w:t>Kosmos Energy Ltd.</w:t>
            </w:r>
          </w:p>
        </w:tc>
      </w:tr>
      <w:tr>
        <w:trPr>
          <w:trHeight w:val="234"/>
        </w:trPr>
        <w:tc>
          <w:tcPr>
            <w:tcW w:w="2460" w:type="dxa"/>
            <w:vAlign w:val="bottom"/>
          </w:tcPr>
          <w:p>
            <w:pPr>
              <w:spacing w:after="0"/>
              <w:rPr>
                <w:sz w:val="20"/>
                <w:szCs w:val="20"/>
                <w:color w:val="auto"/>
              </w:rPr>
            </w:pPr>
          </w:p>
        </w:tc>
        <w:tc>
          <w:tcPr>
            <w:tcW w:w="7140" w:type="dxa"/>
            <w:vAlign w:val="bottom"/>
            <w:gridSpan w:val="3"/>
          </w:tcPr>
          <w:p>
            <w:pPr>
              <w:jc w:val="center"/>
              <w:ind w:right="19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14"/>
        </w:trPr>
        <w:tc>
          <w:tcPr>
            <w:tcW w:w="24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140" w:type="dxa"/>
            <w:vAlign w:val="bottom"/>
            <w:gridSpan w:val="3"/>
          </w:tcPr>
          <w:p>
            <w:pPr>
              <w:jc w:val="center"/>
              <w:ind w:left="5707"/>
              <w:spacing w:after="0"/>
              <w:rPr>
                <w:sz w:val="20"/>
                <w:szCs w:val="20"/>
                <w:color w:val="auto"/>
              </w:rPr>
            </w:pPr>
            <w:r>
              <w:rPr>
                <w:rFonts w:ascii="Times New Roman" w:cs="Times New Roman" w:eastAsia="Times New Roman" w:hAnsi="Times New Roman"/>
                <w:sz w:val="18"/>
                <w:szCs w:val="18"/>
                <w:b w:val="1"/>
                <w:bCs w:val="1"/>
                <w:color w:val="auto"/>
              </w:rPr>
              <w:t>98-0686001</w:t>
            </w:r>
          </w:p>
        </w:tc>
      </w:tr>
      <w:tr>
        <w:trPr>
          <w:trHeight w:val="216"/>
        </w:trPr>
        <w:tc>
          <w:tcPr>
            <w:tcW w:w="24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jc w:val="center"/>
              <w:ind w:left="20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8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2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720" w:type="dxa"/>
            <w:vAlign w:val="bottom"/>
            <w:gridSpan w:val="2"/>
          </w:tcPr>
          <w:p>
            <w:pPr>
              <w:jc w:val="center"/>
              <w:ind w:right="3370"/>
              <w:spacing w:after="0"/>
              <w:rPr>
                <w:sz w:val="20"/>
                <w:szCs w:val="20"/>
                <w:color w:val="auto"/>
              </w:rPr>
            </w:pPr>
            <w:r>
              <w:rPr>
                <w:rFonts w:ascii="Times New Roman" w:cs="Times New Roman" w:eastAsia="Times New Roman" w:hAnsi="Times New Roman"/>
                <w:sz w:val="18"/>
                <w:szCs w:val="18"/>
                <w:b w:val="1"/>
                <w:bCs w:val="1"/>
                <w:color w:val="auto"/>
              </w:rPr>
              <w:t>8176 Park Lane, Suite 500</w:t>
            </w:r>
          </w:p>
        </w:tc>
      </w:tr>
      <w:tr>
        <w:trPr>
          <w:trHeight w:val="220"/>
        </w:trPr>
        <w:tc>
          <w:tcPr>
            <w:tcW w:w="2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720" w:type="dxa"/>
            <w:vAlign w:val="bottom"/>
            <w:gridSpan w:val="2"/>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rPr>
              <w:t>Dallas, TX 75231</w:t>
            </w:r>
          </w:p>
        </w:tc>
      </w:tr>
      <w:tr>
        <w:trPr>
          <w:trHeight w:val="234"/>
        </w:trPr>
        <w:tc>
          <w:tcPr>
            <w:tcW w:w="2460" w:type="dxa"/>
            <w:vAlign w:val="bottom"/>
          </w:tcPr>
          <w:p>
            <w:pPr>
              <w:spacing w:after="0"/>
              <w:rPr>
                <w:sz w:val="20"/>
                <w:szCs w:val="20"/>
                <w:color w:val="auto"/>
              </w:rPr>
            </w:pPr>
          </w:p>
        </w:tc>
        <w:tc>
          <w:tcPr>
            <w:tcW w:w="7140" w:type="dxa"/>
            <w:vAlign w:val="bottom"/>
            <w:gridSpan w:val="3"/>
          </w:tcPr>
          <w:p>
            <w:pPr>
              <w:jc w:val="center"/>
              <w:ind w:right="197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r>
      <w:tr>
        <w:trPr>
          <w:trHeight w:val="270"/>
        </w:trPr>
        <w:tc>
          <w:tcPr>
            <w:tcW w:w="24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240" w:type="dxa"/>
            <w:vAlign w:val="bottom"/>
            <w:tcBorders>
              <w:bottom w:val="single" w:sz="8" w:color="auto"/>
            </w:tcBorders>
          </w:tcPr>
          <w:p>
            <w:pPr>
              <w:spacing w:after="0"/>
              <w:rPr>
                <w:sz w:val="23"/>
                <w:szCs w:val="23"/>
                <w:color w:val="auto"/>
              </w:rPr>
            </w:pPr>
          </w:p>
        </w:tc>
        <w:tc>
          <w:tcPr>
            <w:tcW w:w="3480" w:type="dxa"/>
            <w:vAlign w:val="bottom"/>
          </w:tcPr>
          <w:p>
            <w:pPr>
              <w:spacing w:after="0"/>
              <w:rPr>
                <w:sz w:val="23"/>
                <w:szCs w:val="23"/>
                <w:color w:val="auto"/>
              </w:rPr>
            </w:pPr>
          </w:p>
        </w:tc>
      </w:tr>
      <w:tr>
        <w:trPr>
          <w:trHeight w:val="502"/>
        </w:trPr>
        <w:tc>
          <w:tcPr>
            <w:tcW w:w="2460" w:type="dxa"/>
            <w:vAlign w:val="bottom"/>
          </w:tcPr>
          <w:p>
            <w:pPr>
              <w:spacing w:after="0"/>
              <w:rPr>
                <w:sz w:val="24"/>
                <w:szCs w:val="24"/>
                <w:color w:val="auto"/>
              </w:rPr>
            </w:pPr>
          </w:p>
        </w:tc>
        <w:tc>
          <w:tcPr>
            <w:tcW w:w="7140" w:type="dxa"/>
            <w:vAlign w:val="bottom"/>
            <w:gridSpan w:val="3"/>
          </w:tcPr>
          <w:p>
            <w:pPr>
              <w:jc w:val="center"/>
              <w:ind w:right="1970"/>
              <w:spacing w:after="0"/>
              <w:rPr>
                <w:sz w:val="20"/>
                <w:szCs w:val="20"/>
                <w:color w:val="auto"/>
              </w:rPr>
            </w:pPr>
            <w:r>
              <w:rPr>
                <w:rFonts w:ascii="Times New Roman" w:cs="Times New Roman" w:eastAsia="Times New Roman" w:hAnsi="Times New Roman"/>
                <w:sz w:val="22"/>
                <w:szCs w:val="22"/>
                <w:b w:val="1"/>
                <w:bCs w:val="1"/>
                <w:color w:val="auto"/>
                <w:w w:val="97"/>
              </w:rPr>
              <w:t>Kosmos Energy Ltd. Long Term Incentive Plan</w:t>
            </w:r>
          </w:p>
        </w:tc>
      </w:tr>
      <w:tr>
        <w:trPr>
          <w:trHeight w:val="234"/>
        </w:trPr>
        <w:tc>
          <w:tcPr>
            <w:tcW w:w="2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720" w:type="dxa"/>
            <w:vAlign w:val="bottom"/>
            <w:gridSpan w:val="2"/>
          </w:tcPr>
          <w:p>
            <w:pPr>
              <w:jc w:val="center"/>
              <w:ind w:right="3390"/>
              <w:spacing w:after="0"/>
              <w:rPr>
                <w:sz w:val="20"/>
                <w:szCs w:val="20"/>
                <w:color w:val="auto"/>
              </w:rPr>
            </w:pPr>
            <w:r>
              <w:rPr>
                <w:rFonts w:ascii="Times New Roman" w:cs="Times New Roman" w:eastAsia="Times New Roman" w:hAnsi="Times New Roman"/>
                <w:sz w:val="18"/>
                <w:szCs w:val="18"/>
                <w:color w:val="auto"/>
              </w:rPr>
              <w:t>(Full title of the plan)</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Josh R. Marion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SVP, General Counsel and Corporate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8176 Park Lane, Suite 500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TX 75231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 445-9600 (t)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177165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With a copy to:</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Travis Triano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Davis Polk &amp; Wardwell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450 Lexington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450-4000 (t)</w:t>
      </w:r>
    </w:p>
    <w:p>
      <w:pPr>
        <w:spacing w:after="0" w:line="203" w:lineRule="exact"/>
        <w:rPr>
          <w:sz w:val="24"/>
          <w:szCs w:val="24"/>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68" w:right="339" w:bottom="1440" w:gutter="0" w:footer="0" w:header="0"/>
        </w:sectPr>
      </w:pPr>
    </w:p>
    <w:p>
      <w:pPr>
        <w:spacing w:after="0" w:line="161" w:lineRule="exact"/>
        <w:rPr>
          <w:sz w:val="24"/>
          <w:szCs w:val="24"/>
          <w:color w:val="auto"/>
        </w:rPr>
      </w:pPr>
    </w:p>
    <w:p>
      <w:pPr>
        <w:ind w:left="40"/>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Accelerated filer </w:t>
      </w:r>
      <w:r>
        <w:rPr>
          <w:rFonts w:ascii="Wingdings" w:cs="Wingdings" w:eastAsia="Wingdings" w:hAnsi="Wingdings"/>
          <w:sz w:val="17"/>
          <w:szCs w:val="17"/>
          <w:b w:val="1"/>
          <w:bCs w:val="1"/>
          <w:color w:val="auto"/>
        </w:rPr>
        <w:t>o</w:t>
      </w:r>
    </w:p>
    <w:p>
      <w:pPr>
        <w:spacing w:after="0" w:line="75" w:lineRule="exact"/>
        <w:rPr>
          <w:sz w:val="24"/>
          <w:szCs w:val="24"/>
          <w:color w:val="auto"/>
        </w:rPr>
      </w:pPr>
    </w:p>
    <w:p>
      <w:pPr>
        <w:sectPr>
          <w:pgSz w:w="11900" w:h="16838" w:orient="portrait"/>
          <w:cols w:equalWidth="0" w:num="2">
            <w:col w:w="7180" w:space="720"/>
            <w:col w:w="3340"/>
          </w:cols>
          <w:pgMar w:left="320" w:top="46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b w:val="1"/>
          <w:bCs w:val="1"/>
          <w:color w:val="auto"/>
        </w:rPr>
        <w:t xml:space="preserve">Non-accelerated filer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 xml:space="preserve">Smaller reporting company </w:t>
      </w:r>
      <w:r>
        <w:rPr>
          <w:rFonts w:ascii="Wingdings" w:cs="Wingdings" w:eastAsia="Wingdings" w:hAnsi="Wingdings"/>
          <w:sz w:val="17"/>
          <w:szCs w:val="17"/>
          <w:b w:val="1"/>
          <w:bCs w:val="1"/>
          <w:color w:val="auto"/>
        </w:rPr>
        <w:t>o</w:t>
      </w:r>
    </w:p>
    <w:p>
      <w:pPr>
        <w:spacing w:after="0" w:line="75" w:lineRule="exact"/>
        <w:rPr>
          <w:sz w:val="24"/>
          <w:szCs w:val="24"/>
          <w:color w:val="auto"/>
        </w:rPr>
      </w:pPr>
    </w:p>
    <w:p>
      <w:pPr>
        <w:sectPr>
          <w:pgSz w:w="11900" w:h="16838" w:orient="portrait"/>
          <w:cols w:equalWidth="0" w:num="3">
            <w:col w:w="1860" w:space="180"/>
            <w:col w:w="5140" w:space="720"/>
            <w:col w:w="3340"/>
          </w:cols>
          <w:pgMar w:left="320" w:top="468" w:right="339" w:bottom="1440" w:gutter="0" w:footer="0" w:header="0"/>
          <w:type w:val="continuous"/>
        </w:sectPr>
      </w:pPr>
    </w:p>
    <w:p>
      <w:pPr>
        <w:ind w:left="7900"/>
        <w:spacing w:after="0"/>
        <w:rPr>
          <w:sz w:val="20"/>
          <w:szCs w:val="20"/>
          <w:color w:val="auto"/>
        </w:rPr>
      </w:pPr>
      <w:r>
        <w:rPr>
          <w:rFonts w:ascii="Times New Roman" w:cs="Times New Roman" w:eastAsia="Times New Roman" w:hAnsi="Times New Roman"/>
          <w:sz w:val="17"/>
          <w:szCs w:val="17"/>
          <w:b w:val="1"/>
          <w:bCs w:val="1"/>
          <w:color w:val="auto"/>
        </w:rPr>
        <w:t xml:space="preserve">Emerging Growth Company </w:t>
      </w:r>
      <w:r>
        <w:rPr>
          <w:rFonts w:ascii="Wingdings" w:cs="Wingdings" w:eastAsia="Wingdings" w:hAnsi="Wingdings"/>
          <w:sz w:val="17"/>
          <w:szCs w:val="17"/>
          <w:b w:val="1"/>
          <w:bCs w:val="1"/>
          <w:color w:val="auto"/>
        </w:rPr>
        <w:t>o</w:t>
      </w:r>
    </w:p>
    <w:p>
      <w:pPr>
        <w:sectPr>
          <w:pgSz w:w="11900" w:h="16838" w:orient="portrait"/>
          <w:cols w:equalWidth="0" w:num="1">
            <w:col w:w="11240"/>
          </w:cols>
          <w:pgMar w:left="320" w:top="468" w:right="339" w:bottom="1440" w:gutter="0" w:footer="0" w:header="0"/>
          <w:type w:val="continuous"/>
        </w:sectPr>
      </w:pPr>
    </w:p>
    <w:p>
      <w:pPr>
        <w:spacing w:after="0" w:line="268"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611505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This Registration Statement has been prepared and filed pursuant to and in accordance with the requirements of General Instruction E to Form S-8 for the purpose of registering an additional 16,000,000 shares of Common Stock that are issuable at any time or from time to time under the Kosmos Energy Ltd. Long Term Incentive Plan, amended and restated as of March 4, 2026 (the “Plan”). Pursuant to General Instruction E, the contents of the Registration Statement on Form S-8 filed for the Plan with the Securities and Exchange Commission (the “Commission”) on May 16, 2011 (Registration No. 333-174234), the Registration Statement on Form S-8 filed for the Plan with the Commission on October 2, 2015 (Registration No. 333-207259), the Registration Statement on Form S-8 filed for the Plan with the Commission on November 15, 2018 (Registration No. 333-228397), the Registration Statement on Form S-8 filed for the Plan with the Commission on June 9, 2021 (Registration No. 333-256933), and the Registration Statement on Form S-8 filed for the Plan with the Commission on June 9, 2023 (Registration No. 333-272562) including the documents incorporated by reference therein, are incorporated by reference into this Registration Statement, except as supplemented by the information set forth below.</w:t>
      </w:r>
    </w:p>
    <w:p>
      <w:pPr>
        <w:spacing w:after="0" w:line="1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Form S-8 is omitted from this filing in accordance with the provisions of Rule 428 under the Securities Act and the introductory note to Part I of the Form S-8 instructions. The documents containing the information specified in Part I will be delivered to the participants in the Plan as required by Rule 428(b)(1).</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documents are incorporated herein by reference:</w:t>
      </w:r>
    </w:p>
    <w:p>
      <w:pPr>
        <w:spacing w:after="0" w:line="225" w:lineRule="exact"/>
        <w:rPr>
          <w:sz w:val="20"/>
          <w:szCs w:val="20"/>
          <w:color w:val="auto"/>
        </w:rPr>
      </w:pPr>
    </w:p>
    <w:p>
      <w:pPr>
        <w:ind w:right="160" w:firstLine="332"/>
        <w:spacing w:after="0" w:line="282" w:lineRule="auto"/>
        <w:tabs>
          <w:tab w:leader="none" w:pos="838" w:val="left"/>
        </w:tabs>
        <w:numPr>
          <w:ilvl w:val="0"/>
          <w:numId w:val="1"/>
        </w:numPr>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u w:val="single" w:color="auto"/>
            <w:color w:val="0000EE"/>
          </w:rPr>
          <w:t>The Company’s Annual Report on Form 10-K</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fiscal year ended December 31, 2025 (the “Annual Report”), filed with the Commission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on March 2, 2026 (File No. 001-35167);</w:t>
      </w:r>
    </w:p>
    <w:p>
      <w:pPr>
        <w:spacing w:after="0" w:line="161" w:lineRule="exact"/>
        <w:rPr>
          <w:rFonts w:ascii="Times New Roman" w:cs="Times New Roman" w:eastAsia="Times New Roman" w:hAnsi="Times New Roman"/>
          <w:sz w:val="18"/>
          <w:szCs w:val="18"/>
          <w:color w:val="0000EE"/>
        </w:rPr>
      </w:pPr>
    </w:p>
    <w:p>
      <w:pPr>
        <w:ind w:right="240" w:firstLine="332"/>
        <w:spacing w:after="0" w:line="282" w:lineRule="auto"/>
        <w:tabs>
          <w:tab w:leader="none" w:pos="84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sections of the Company’s Definitive Proxy Statement on </w:t>
      </w:r>
      <w:hyperlink r:id="rId14">
        <w:r>
          <w:rPr>
            <w:rFonts w:ascii="Times New Roman" w:cs="Times New Roman" w:eastAsia="Times New Roman" w:hAnsi="Times New Roman"/>
            <w:sz w:val="18"/>
            <w:szCs w:val="18"/>
            <w:u w:val="single" w:color="auto"/>
            <w:color w:val="0000EE"/>
          </w:rPr>
          <w:t>Form DEF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2026 Annual Meeting of Stockholders incorporated by reference in the Annual Report;</w:t>
      </w:r>
    </w:p>
    <w:p>
      <w:pPr>
        <w:spacing w:after="0" w:line="161" w:lineRule="exact"/>
        <w:rPr>
          <w:rFonts w:ascii="Times New Roman" w:cs="Times New Roman" w:eastAsia="Times New Roman" w:hAnsi="Times New Roman"/>
          <w:sz w:val="18"/>
          <w:szCs w:val="18"/>
          <w:color w:val="auto"/>
        </w:rPr>
      </w:pPr>
    </w:p>
    <w:p>
      <w:pPr>
        <w:ind w:right="60" w:firstLine="332"/>
        <w:spacing w:after="0" w:line="282" w:lineRule="auto"/>
        <w:tabs>
          <w:tab w:leader="none" w:pos="87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filed pursuant to Section 13(a) or 15(d) of the Securities Exchange Act of 1934, as amended (the “Exchange Act”), since December 31, 2025; and</w:t>
      </w:r>
    </w:p>
    <w:p>
      <w:pPr>
        <w:spacing w:after="0" w:line="161" w:lineRule="exact"/>
        <w:rPr>
          <w:rFonts w:ascii="Times New Roman" w:cs="Times New Roman" w:eastAsia="Times New Roman" w:hAnsi="Times New Roman"/>
          <w:sz w:val="18"/>
          <w:szCs w:val="18"/>
          <w:color w:val="auto"/>
        </w:rPr>
      </w:pPr>
    </w:p>
    <w:p>
      <w:pPr>
        <w:ind w:right="700" w:firstLine="332"/>
        <w:spacing w:after="0" w:line="282" w:lineRule="auto"/>
        <w:tabs>
          <w:tab w:leader="none" w:pos="849" w:val="left"/>
        </w:tabs>
        <w:numPr>
          <w:ilvl w:val="0"/>
          <w:numId w:val="1"/>
        </w:numPr>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u w:val="single" w:color="auto"/>
            <w:color w:val="0000EE"/>
          </w:rPr>
          <w:t>The description of the Company’s capital stock</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as Exhibit 4.2 to the Company's Annual Report on Form 10-K for the year ended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December 31, 2019 (File No. 001-35167), including any amendments or supplements thereto.</w:t>
      </w:r>
    </w:p>
    <w:p>
      <w:pPr>
        <w:spacing w:after="0" w:line="162" w:lineRule="exact"/>
        <w:rPr>
          <w:rFonts w:ascii="Times New Roman" w:cs="Times New Roman" w:eastAsia="Times New Roman" w:hAnsi="Times New Roman"/>
          <w:sz w:val="18"/>
          <w:szCs w:val="18"/>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or 15(d) of the Exchange Act, after the date of this Registration Statement and prior to the filing of a post-effective amendment that indicates that all securities offered have been sold or which deregisters all securities then remaining unsold, are incorporated by reference in this Registration Statement and are a part hereof from the date of filing of such documents; except as to any portion of any future annual or quarterly report to shareholders or document or current report furnished under current Items 2.02 or 7.01 of Form 8-K that is not deemed filed under such provisions.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is deemed to be incorporated by reference herein modifies or supersedes such statement. Any statement so modified or superseded shall not be deemed, except as so modified or superseded, to constitute a part of this Registration Statement.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Section 145 of the Delaware General Corporation Law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Company. The DGCL provides that Section 145 is not exclusive of other rights to which those seeking indemnification may be entitled under any bylaw, agreement, vote of stockholders or disinterested directors or otherwise. Our Certificate of Incorporation provides for indemnification by the Company of its directors and officers to the fullest extent permitted by Delaware law.</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Our Certificate of Incorporation provides for such limitation of liability.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carry insurance policies insuring our directors and officers against certain liabilities that they may incur in their capacity as directors and officers.</w:t>
      </w:r>
    </w:p>
    <w:p>
      <w:pPr>
        <w:spacing w:after="0" w:line="225"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The above discussion of our certificate of incorporation and the DGCL is not intended to be exhaustive and is qualified in its entirety by such certificate of incorporation and statutes.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5715</wp:posOffset>
            </wp:positionV>
            <wp:extent cx="6858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88"/>
              </w:rPr>
            </w:pPr>
            <w:hyperlink r:id="rId18">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w:t>
              </w:r>
            </w:hyperlink>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Certificate of Incorporation of the Company (filed as Exhibit 3.1 to the Company’s Form 8-K12g-3 filed on December 28, 2018 (File No.</w:t>
              </w:r>
            </w:hyperlink>
          </w:p>
        </w:tc>
        <w:tc>
          <w:tcPr>
            <w:tcW w:w="6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980" w:type="dxa"/>
            <w:vAlign w:val="bottom"/>
            <w:gridSpan w:val="15"/>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000-56014), and incorporated herein by reference)</w:t>
              </w:r>
              <w:r>
                <w:rPr>
                  <w:rFonts w:ascii="Times New Roman" w:cs="Times New Roman" w:eastAsia="Times New Roman" w:hAnsi="Times New Roman"/>
                  <w:sz w:val="18"/>
                  <w:szCs w:val="18"/>
                  <w:color w:val="000000"/>
                </w:rPr>
                <w:t>.</w:t>
              </w:r>
            </w:hyperlink>
          </w:p>
        </w:tc>
      </w:tr>
      <w:tr>
        <w:trPr>
          <w:trHeight w:val="20"/>
        </w:trPr>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250"/>
        </w:trPr>
        <w:tc>
          <w:tcPr>
            <w:tcW w:w="260" w:type="dxa"/>
            <w:vAlign w:val="bottom"/>
            <w:gridSpan w:val="3"/>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980" w:type="dxa"/>
            <w:vAlign w:val="bottom"/>
            <w:gridSpan w:val="15"/>
          </w:tcPr>
          <w:p>
            <w:pPr>
              <w:spacing w:after="0"/>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Bylaws of the Company (filed as Exhibit 3.1 to the Company’s Form 8-K filed on March 15, 2022 (File No. 001-35167), and incorporated</w:t>
              </w:r>
            </w:hyperlink>
          </w:p>
        </w:tc>
      </w:tr>
      <w:tr>
        <w:trPr>
          <w:trHeight w:val="196"/>
        </w:trPr>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9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herein by reference)</w:t>
              </w:r>
              <w:r>
                <w:rPr>
                  <w:rFonts w:ascii="Times New Roman" w:cs="Times New Roman" w:eastAsia="Times New Roman" w:hAnsi="Times New Roman"/>
                  <w:sz w:val="18"/>
                  <w:szCs w:val="18"/>
                  <w:color w:val="000000"/>
                </w:rPr>
                <w:t>.</w:t>
              </w:r>
            </w:hyperlink>
          </w:p>
        </w:tc>
      </w:tr>
      <w:tr>
        <w:trPr>
          <w:trHeight w:val="20"/>
        </w:trPr>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250"/>
        </w:trPr>
        <w:tc>
          <w:tcPr>
            <w:tcW w:w="220" w:type="dxa"/>
            <w:vAlign w:val="bottom"/>
            <w:gridSpan w:val="2"/>
          </w:tcPr>
          <w:p>
            <w:pPr>
              <w:spacing w:after="0"/>
              <w:rPr>
                <w:rFonts w:ascii="Times New Roman" w:cs="Times New Roman" w:eastAsia="Times New Roman" w:hAnsi="Times New Roman"/>
                <w:sz w:val="18"/>
                <w:szCs w:val="18"/>
                <w:color w:val="0000EE"/>
                <w:w w:val="88"/>
              </w:rPr>
            </w:pPr>
            <w:hyperlink r:id="rId22">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3</w:t>
              </w:r>
            </w:hyperlink>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980" w:type="dxa"/>
            <w:vAlign w:val="bottom"/>
            <w:gridSpan w:val="15"/>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Form of Common Stock Certificate (filed as Exhibit 4.1 to the Company’s Form 8-K12g-3 filed on December 28, 2018 (File No. 000-</w:t>
              </w:r>
            </w:hyperlink>
          </w:p>
        </w:tc>
      </w:tr>
      <w:tr>
        <w:trPr>
          <w:trHeight w:val="196"/>
        </w:trPr>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56014)</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 xml:space="preserve"> and incorporated herein by reference)</w:t>
              </w:r>
              <w:r>
                <w:rPr>
                  <w:rFonts w:ascii="Times New Roman" w:cs="Times New Roman" w:eastAsia="Times New Roman" w:hAnsi="Times New Roman"/>
                  <w:sz w:val="18"/>
                  <w:szCs w:val="18"/>
                  <w:color w:val="000000"/>
                </w:rPr>
                <w:t>.</w:t>
              </w:r>
            </w:hyperlink>
          </w:p>
        </w:tc>
        <w:tc>
          <w:tcPr>
            <w:tcW w:w="320" w:type="dxa"/>
            <w:vAlign w:val="bottom"/>
            <w:gridSpan w:val="2"/>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r>
      <w:tr>
        <w:trPr>
          <w:trHeight w:val="250"/>
        </w:trPr>
        <w:tc>
          <w:tcPr>
            <w:tcW w:w="2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88"/>
              </w:rPr>
            </w:pPr>
            <w:hyperlink r:id="rId24">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4</w:t>
              </w:r>
            </w:hyperlink>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5">
              <w:r>
                <w:rPr>
                  <w:rFonts w:ascii="Times New Roman" w:cs="Times New Roman" w:eastAsia="Times New Roman" w:hAnsi="Times New Roman"/>
                  <w:sz w:val="18"/>
                  <w:szCs w:val="18"/>
                  <w:color w:val="0000EE"/>
                  <w:w w:val="99"/>
                </w:rPr>
                <w:t>Description of the Company's Capital Stock (filed as Exhibit 4.2 to the Company's Annual Report on Form 10-K for the year ended</w:t>
              </w:r>
            </w:hyperlink>
          </w:p>
        </w:tc>
        <w:tc>
          <w:tcPr>
            <w:tcW w:w="500" w:type="dxa"/>
            <w:vAlign w:val="bottom"/>
            <w:gridSpan w:val="3"/>
          </w:tcPr>
          <w:p>
            <w:pPr>
              <w:spacing w:after="0"/>
              <w:rPr>
                <w:sz w:val="21"/>
                <w:szCs w:val="21"/>
                <w:color w:val="auto"/>
              </w:rPr>
            </w:pPr>
          </w:p>
        </w:tc>
      </w:tr>
      <w:tr>
        <w:trPr>
          <w:trHeight w:val="196"/>
        </w:trPr>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980" w:type="dxa"/>
            <w:vAlign w:val="bottom"/>
            <w:gridSpan w:val="15"/>
          </w:tcPr>
          <w:p>
            <w:pPr>
              <w:spacing w:after="0" w:line="19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December 31, 2019 (File No. 001-35167) and incorporated herein by reference)</w:t>
              </w:r>
              <w:r>
                <w:rPr>
                  <w:rFonts w:ascii="Times New Roman" w:cs="Times New Roman" w:eastAsia="Times New Roman" w:hAnsi="Times New Roman"/>
                  <w:sz w:val="18"/>
                  <w:szCs w:val="18"/>
                  <w:color w:val="000000"/>
                </w:rPr>
                <w:t>.</w:t>
              </w:r>
            </w:hyperlink>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0000EE"/>
                <w:w w:val="88"/>
              </w:rPr>
              <w:t>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76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Opinion of Davis Polk &amp; Wardwell LLP.</w:t>
            </w:r>
          </w:p>
        </w:tc>
        <w:tc>
          <w:tcPr>
            <w:tcW w:w="4220" w:type="dxa"/>
            <w:vAlign w:val="bottom"/>
            <w:gridSpan w:val="5"/>
          </w:tcPr>
          <w:p>
            <w:pPr>
              <w:spacing w:after="0"/>
              <w:rPr>
                <w:sz w:val="21"/>
                <w:szCs w:val="2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r>
      <w:tr>
        <w:trPr>
          <w:trHeight w:val="250"/>
        </w:trPr>
        <w:tc>
          <w:tcPr>
            <w:tcW w:w="3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78"/>
              </w:rPr>
              <w:t>23.</w:t>
            </w:r>
            <w:r>
              <w:rPr>
                <w:rFonts w:ascii="Times New Roman" w:cs="Times New Roman" w:eastAsia="Times New Roman" w:hAnsi="Times New Roman"/>
                <w:sz w:val="18"/>
                <w:szCs w:val="18"/>
                <w:u w:val="single" w:color="auto"/>
                <w:color w:val="0000EE"/>
                <w:w w:val="78"/>
              </w:rPr>
              <w:t>1*</w:t>
            </w:r>
          </w:p>
        </w:tc>
        <w:tc>
          <w:tcPr>
            <w:tcW w:w="760" w:type="dxa"/>
            <w:vAlign w:val="bottom"/>
          </w:tcPr>
          <w:p>
            <w:pPr>
              <w:spacing w:after="0"/>
              <w:rPr>
                <w:sz w:val="21"/>
                <w:szCs w:val="21"/>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Consent of Ernst &amp; Young LLP.</w:t>
            </w:r>
          </w:p>
        </w:tc>
      </w:tr>
      <w:tr>
        <w:trPr>
          <w:trHeight w:val="20"/>
        </w:trPr>
        <w:tc>
          <w:tcPr>
            <w:tcW w:w="2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r>
      <w:tr>
        <w:trPr>
          <w:trHeight w:val="250"/>
        </w:trPr>
        <w:tc>
          <w:tcPr>
            <w:tcW w:w="3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78"/>
              </w:rPr>
              <w:t>23.</w:t>
            </w:r>
            <w:r>
              <w:rPr>
                <w:rFonts w:ascii="Times New Roman" w:cs="Times New Roman" w:eastAsia="Times New Roman" w:hAnsi="Times New Roman"/>
                <w:sz w:val="18"/>
                <w:szCs w:val="18"/>
                <w:u w:val="single" w:color="auto"/>
                <w:color w:val="0000EE"/>
                <w:w w:val="78"/>
              </w:rPr>
              <w:t>2*</w:t>
            </w:r>
          </w:p>
        </w:tc>
        <w:tc>
          <w:tcPr>
            <w:tcW w:w="760" w:type="dxa"/>
            <w:vAlign w:val="bottom"/>
          </w:tcPr>
          <w:p>
            <w:pPr>
              <w:spacing w:after="0"/>
              <w:rPr>
                <w:sz w:val="21"/>
                <w:szCs w:val="21"/>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Consent of Ryder Scott Company, L.P.</w:t>
            </w:r>
          </w:p>
        </w:tc>
      </w:tr>
      <w:tr>
        <w:trPr>
          <w:trHeight w:val="20"/>
        </w:trPr>
        <w:tc>
          <w:tcPr>
            <w:tcW w:w="2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r>
      <w:tr>
        <w:trPr>
          <w:trHeight w:val="250"/>
        </w:trPr>
        <w:tc>
          <w:tcPr>
            <w:tcW w:w="3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78"/>
              </w:rPr>
              <w:t>23.</w:t>
            </w:r>
            <w:r>
              <w:rPr>
                <w:rFonts w:ascii="Times New Roman" w:cs="Times New Roman" w:eastAsia="Times New Roman" w:hAnsi="Times New Roman"/>
                <w:sz w:val="18"/>
                <w:szCs w:val="18"/>
                <w:u w:val="single" w:color="auto"/>
                <w:color w:val="0000EE"/>
                <w:w w:val="78"/>
              </w:rPr>
              <w:t>3*</w:t>
            </w:r>
          </w:p>
        </w:tc>
        <w:tc>
          <w:tcPr>
            <w:tcW w:w="760" w:type="dxa"/>
            <w:vAlign w:val="bottom"/>
          </w:tcPr>
          <w:p>
            <w:pPr>
              <w:spacing w:after="0"/>
              <w:rPr>
                <w:sz w:val="21"/>
                <w:szCs w:val="21"/>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Consent of Davis Polk &amp; Wardwell LLP (included in Exhibit 5).</w:t>
            </w:r>
          </w:p>
        </w:tc>
      </w:tr>
      <w:tr>
        <w:trPr>
          <w:trHeight w:val="250"/>
        </w:trPr>
        <w:tc>
          <w:tcPr>
            <w:tcW w:w="2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88"/>
              </w:rPr>
              <w:t>24*</w:t>
            </w:r>
          </w:p>
        </w:tc>
        <w:tc>
          <w:tcPr>
            <w:tcW w:w="100" w:type="dxa"/>
            <w:vAlign w:val="bottom"/>
            <w:tcBorders>
              <w:top w:val="single" w:sz="8" w:color="0000EE"/>
            </w:tcBorders>
          </w:tcPr>
          <w:p>
            <w:pPr>
              <w:spacing w:after="0"/>
              <w:rPr>
                <w:sz w:val="21"/>
                <w:szCs w:val="21"/>
                <w:color w:val="auto"/>
              </w:rPr>
            </w:pPr>
          </w:p>
        </w:tc>
        <w:tc>
          <w:tcPr>
            <w:tcW w:w="760" w:type="dxa"/>
            <w:vAlign w:val="bottom"/>
          </w:tcPr>
          <w:p>
            <w:pPr>
              <w:spacing w:after="0"/>
              <w:rPr>
                <w:sz w:val="21"/>
                <w:szCs w:val="21"/>
                <w:color w:val="auto"/>
              </w:rPr>
            </w:pPr>
          </w:p>
        </w:tc>
        <w:tc>
          <w:tcPr>
            <w:tcW w:w="430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Power of Attorney (included in the signature pages hereof).</w:t>
            </w:r>
          </w:p>
        </w:tc>
        <w:tc>
          <w:tcPr>
            <w:tcW w:w="340" w:type="dxa"/>
            <w:vAlign w:val="bottom"/>
            <w:tcBorders>
              <w:top w:val="single" w:sz="8" w:color="0000EE"/>
            </w:tcBorders>
          </w:tcPr>
          <w:p>
            <w:pPr>
              <w:spacing w:after="0"/>
              <w:rPr>
                <w:sz w:val="21"/>
                <w:szCs w:val="21"/>
                <w:color w:val="auto"/>
              </w:rPr>
            </w:pPr>
          </w:p>
        </w:tc>
        <w:tc>
          <w:tcPr>
            <w:tcW w:w="5340" w:type="dxa"/>
            <w:vAlign w:val="bottom"/>
            <w:gridSpan w:val="6"/>
          </w:tcPr>
          <w:p>
            <w:pPr>
              <w:spacing w:after="0"/>
              <w:rPr>
                <w:sz w:val="21"/>
                <w:szCs w:val="21"/>
                <w:color w:val="auto"/>
              </w:rPr>
            </w:pPr>
          </w:p>
        </w:tc>
      </w:tr>
      <w:tr>
        <w:trPr>
          <w:trHeight w:val="250"/>
        </w:trPr>
        <w:tc>
          <w:tcPr>
            <w:tcW w:w="2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88"/>
              </w:rPr>
              <w:t>99*</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Kosmos Energy Ltd. Long Term Incentive Plan (amended and restated as of March 4, 2026)</w:t>
            </w:r>
          </w:p>
        </w:tc>
        <w:tc>
          <w:tcPr>
            <w:tcW w:w="3340" w:type="dxa"/>
            <w:vAlign w:val="bottom"/>
            <w:gridSpan w:val="4"/>
          </w:tcPr>
          <w:p>
            <w:pPr>
              <w:spacing w:after="0"/>
              <w:rPr>
                <w:sz w:val="21"/>
                <w:szCs w:val="21"/>
                <w:color w:val="auto"/>
              </w:rPr>
            </w:pPr>
          </w:p>
        </w:tc>
      </w:tr>
      <w:tr>
        <w:trPr>
          <w:trHeight w:val="250"/>
        </w:trPr>
        <w:tc>
          <w:tcPr>
            <w:tcW w:w="3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88"/>
              </w:rPr>
              <w:t>107*</w:t>
            </w:r>
          </w:p>
        </w:tc>
        <w:tc>
          <w:tcPr>
            <w:tcW w:w="760" w:type="dxa"/>
            <w:vAlign w:val="bottom"/>
          </w:tcPr>
          <w:p>
            <w:pPr>
              <w:spacing w:after="0"/>
              <w:rPr>
                <w:sz w:val="21"/>
                <w:szCs w:val="21"/>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Filing Fee Table</w:t>
            </w:r>
          </w:p>
        </w:tc>
      </w:tr>
      <w:tr>
        <w:trPr>
          <w:trHeight w:val="20"/>
        </w:trPr>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3" w:lineRule="exact"/>
        <w:rPr>
          <w:sz w:val="20"/>
          <w:szCs w:val="20"/>
          <w:color w:val="auto"/>
        </w:rPr>
      </w:pPr>
    </w:p>
    <w:p>
      <w:pPr>
        <w:ind w:left="40" w:right="10520" w:hanging="5"/>
        <w:spacing w:after="0" w:line="312" w:lineRule="auto"/>
        <w:tabs>
          <w:tab w:leader="none" w:pos="17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324"/>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Dallas, Texas, on the 2</w:t>
      </w:r>
      <w:r>
        <w:rPr>
          <w:rFonts w:ascii="Times New Roman" w:cs="Times New Roman" w:eastAsia="Times New Roman" w:hAnsi="Times New Roman"/>
          <w:sz w:val="18"/>
          <w:szCs w:val="18"/>
          <w:color w:val="1C1C1C"/>
        </w:rPr>
        <w:t>9</w:t>
      </w:r>
      <w:r>
        <w:rPr>
          <w:rFonts w:ascii="Times New Roman" w:cs="Times New Roman" w:eastAsia="Times New Roman" w:hAnsi="Times New Roman"/>
          <w:sz w:val="29"/>
          <w:szCs w:val="29"/>
          <w:color w:val="1C1C1C"/>
          <w:vertAlign w:val="superscript"/>
        </w:rPr>
        <w:t>th</w:t>
      </w:r>
      <w:r>
        <w:rPr>
          <w:rFonts w:ascii="Times New Roman" w:cs="Times New Roman" w:eastAsia="Times New Roman" w:hAnsi="Times New Roman"/>
          <w:sz w:val="18"/>
          <w:szCs w:val="18"/>
          <w:color w:val="auto"/>
        </w:rPr>
        <w:t xml:space="preserve"> day of May, 2026.</w:t>
      </w:r>
    </w:p>
    <w:p>
      <w:pPr>
        <w:spacing w:after="0" w:line="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KOSMOS ENERGY LTD.</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Josh R. Marion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Josh R. Marion</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SVP, General Counsel and Corporate Secretary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individual whose signature appears below hereby constitutes and appoints each of Andrew G. Inglis, Neal D. Shah and Josh R. Marion acting singly, his or her true and lawful agent, proxy and attorney-in-fact,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take any and all actions which may be necessary or appropriate in connection therewith, granting unto such agents, proxies and attorneys-in-fact, and each of them, full power and authority to do and perform each and every act and thing necessary or appropriate to be done, as fully for all intents and purposes as he or she might or could do in person, hereby approving, ratifying and confirming all that such agents, proxies and attorneys-in-fact or any of their substitutes may lawfully do or cause to be done by virtue thereof.</w:t>
      </w:r>
    </w:p>
    <w:p>
      <w:pPr>
        <w:spacing w:after="0" w:line="194"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80" w:type="dxa"/>
            <w:vAlign w:val="bottom"/>
          </w:tcPr>
          <w:p>
            <w:pPr>
              <w:spacing w:after="0"/>
              <w:rPr>
                <w:sz w:val="20"/>
                <w:szCs w:val="20"/>
                <w:color w:val="auto"/>
              </w:rPr>
            </w:pP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100" w:type="dxa"/>
            <w:vAlign w:val="bottom"/>
          </w:tcPr>
          <w:p>
            <w:pPr>
              <w:spacing w:after="0"/>
              <w:rPr>
                <w:sz w:val="20"/>
                <w:szCs w:val="20"/>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4"/>
        </w:trPr>
        <w:tc>
          <w:tcPr>
            <w:tcW w:w="40" w:type="dxa"/>
            <w:vAlign w:val="bottom"/>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G. Inglis</w:t>
            </w:r>
          </w:p>
        </w:tc>
        <w:tc>
          <w:tcPr>
            <w:tcW w:w="80" w:type="dxa"/>
            <w:vAlign w:val="bottom"/>
          </w:tcPr>
          <w:p>
            <w:pPr>
              <w:spacing w:after="0"/>
              <w:rPr>
                <w:sz w:val="24"/>
                <w:szCs w:val="24"/>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c>
          <w:tcPr>
            <w:tcW w:w="10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1C1C1C"/>
                <w:w w:val="99"/>
              </w:rPr>
              <w:t>May 29, 2026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Andrew G. Inglis</w:t>
            </w:r>
          </w:p>
        </w:tc>
        <w:tc>
          <w:tcPr>
            <w:tcW w:w="80" w:type="dxa"/>
            <w:vAlign w:val="bottom"/>
          </w:tcPr>
          <w:p>
            <w:pPr>
              <w:spacing w:after="0"/>
              <w:rPr>
                <w:sz w:val="18"/>
                <w:szCs w:val="18"/>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4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3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Neal D. Shah</w:t>
            </w:r>
          </w:p>
        </w:tc>
        <w:tc>
          <w:tcPr>
            <w:tcW w:w="80" w:type="dxa"/>
            <w:vAlign w:val="bottom"/>
          </w:tcPr>
          <w:p>
            <w:pPr>
              <w:spacing w:after="0"/>
              <w:rPr>
                <w:sz w:val="24"/>
                <w:szCs w:val="24"/>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and Chief Financial Officer</w:t>
            </w:r>
          </w:p>
        </w:tc>
        <w:tc>
          <w:tcPr>
            <w:tcW w:w="10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1C1C1C"/>
                <w:w w:val="99"/>
              </w:rPr>
              <w:t>May 29, 2026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Neal D. Shah</w:t>
            </w:r>
          </w:p>
        </w:tc>
        <w:tc>
          <w:tcPr>
            <w:tcW w:w="80" w:type="dxa"/>
            <w:vAlign w:val="bottom"/>
          </w:tcPr>
          <w:p>
            <w:pPr>
              <w:spacing w:after="0"/>
              <w:rPr>
                <w:sz w:val="18"/>
                <w:szCs w:val="18"/>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financial officer)</w:t>
            </w:r>
          </w:p>
        </w:tc>
        <w:tc>
          <w:tcPr>
            <w:tcW w:w="1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4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3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Ronald W. Glass</w:t>
            </w:r>
          </w:p>
        </w:tc>
        <w:tc>
          <w:tcPr>
            <w:tcW w:w="80" w:type="dxa"/>
            <w:vAlign w:val="bottom"/>
          </w:tcPr>
          <w:p>
            <w:pPr>
              <w:spacing w:after="0"/>
              <w:rPr>
                <w:sz w:val="24"/>
                <w:szCs w:val="24"/>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and Chief Accounting Officer</w:t>
            </w:r>
          </w:p>
        </w:tc>
        <w:tc>
          <w:tcPr>
            <w:tcW w:w="10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1C1C1C"/>
                <w:w w:val="99"/>
              </w:rPr>
              <w:t>May 29, 2026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Ronald W. Glass</w:t>
            </w:r>
          </w:p>
        </w:tc>
        <w:tc>
          <w:tcPr>
            <w:tcW w:w="80" w:type="dxa"/>
            <w:vAlign w:val="bottom"/>
          </w:tcPr>
          <w:p>
            <w:pPr>
              <w:spacing w:after="0"/>
              <w:rPr>
                <w:sz w:val="18"/>
                <w:szCs w:val="18"/>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4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3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Roy A. Franklin</w:t>
            </w:r>
          </w:p>
        </w:tc>
        <w:tc>
          <w:tcPr>
            <w:tcW w:w="80" w:type="dxa"/>
            <w:vAlign w:val="bottom"/>
          </w:tcPr>
          <w:p>
            <w:pPr>
              <w:spacing w:after="0"/>
              <w:rPr>
                <w:sz w:val="24"/>
                <w:szCs w:val="24"/>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1C1C1C"/>
                <w:w w:val="99"/>
              </w:rPr>
              <w:t>May 29, 2026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Roy A. Franklin</w:t>
            </w:r>
          </w:p>
        </w:tc>
        <w:tc>
          <w:tcPr>
            <w:tcW w:w="8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Deanna L. Goodwin</w:t>
            </w:r>
          </w:p>
        </w:tc>
        <w:tc>
          <w:tcPr>
            <w:tcW w:w="80" w:type="dxa"/>
            <w:vAlign w:val="bottom"/>
          </w:tcPr>
          <w:p>
            <w:pPr>
              <w:spacing w:after="0"/>
              <w:rPr>
                <w:sz w:val="24"/>
                <w:szCs w:val="24"/>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1C1C1C"/>
                <w:w w:val="99"/>
              </w:rPr>
              <w:t>May 29, 2026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Deanna L. Goodwin</w:t>
            </w:r>
          </w:p>
        </w:tc>
        <w:tc>
          <w:tcPr>
            <w:tcW w:w="8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Sir John Grant</w:t>
            </w:r>
          </w:p>
        </w:tc>
        <w:tc>
          <w:tcPr>
            <w:tcW w:w="80" w:type="dxa"/>
            <w:vAlign w:val="bottom"/>
          </w:tcPr>
          <w:p>
            <w:pPr>
              <w:spacing w:after="0"/>
              <w:rPr>
                <w:sz w:val="24"/>
                <w:szCs w:val="24"/>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1C1C1C"/>
                <w:w w:val="99"/>
              </w:rPr>
              <w:t>May 29, 2026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Sir John Grant</w:t>
            </w:r>
          </w:p>
        </w:tc>
        <w:tc>
          <w:tcPr>
            <w:tcW w:w="8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Maria Moræus Hanssen</w:t>
            </w:r>
          </w:p>
        </w:tc>
        <w:tc>
          <w:tcPr>
            <w:tcW w:w="80" w:type="dxa"/>
            <w:vAlign w:val="bottom"/>
          </w:tcPr>
          <w:p>
            <w:pPr>
              <w:spacing w:after="0"/>
              <w:rPr>
                <w:sz w:val="24"/>
                <w:szCs w:val="24"/>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1C1C1C"/>
                <w:w w:val="99"/>
              </w:rPr>
              <w:t>May 29, 2026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Maria Moræus Hanssen</w:t>
            </w:r>
          </w:p>
        </w:tc>
        <w:tc>
          <w:tcPr>
            <w:tcW w:w="8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Adebayo O. Ogunlesi</w:t>
            </w:r>
          </w:p>
        </w:tc>
        <w:tc>
          <w:tcPr>
            <w:tcW w:w="80" w:type="dxa"/>
            <w:vAlign w:val="bottom"/>
          </w:tcPr>
          <w:p>
            <w:pPr>
              <w:spacing w:after="0"/>
              <w:rPr>
                <w:sz w:val="24"/>
                <w:szCs w:val="24"/>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1C1C1C"/>
                <w:w w:val="99"/>
              </w:rPr>
              <w:t>May 29, 2026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Adebayo O. Ogunlesi</w:t>
            </w:r>
          </w:p>
        </w:tc>
        <w:tc>
          <w:tcPr>
            <w:tcW w:w="8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M. Sterin</w:t>
            </w:r>
          </w:p>
        </w:tc>
        <w:tc>
          <w:tcPr>
            <w:tcW w:w="80" w:type="dxa"/>
            <w:vAlign w:val="bottom"/>
          </w:tcPr>
          <w:p>
            <w:pPr>
              <w:spacing w:after="0"/>
              <w:rPr>
                <w:sz w:val="24"/>
                <w:szCs w:val="24"/>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1C1C1C"/>
                <w:w w:val="99"/>
              </w:rPr>
              <w:t>May 29, 2026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Steven M. Sterin</w:t>
            </w:r>
          </w:p>
        </w:tc>
        <w:tc>
          <w:tcPr>
            <w:tcW w:w="8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 Mike Stice</w:t>
            </w:r>
          </w:p>
        </w:tc>
        <w:tc>
          <w:tcPr>
            <w:tcW w:w="80" w:type="dxa"/>
            <w:vAlign w:val="bottom"/>
          </w:tcPr>
          <w:p>
            <w:pPr>
              <w:spacing w:after="0"/>
              <w:rPr>
                <w:sz w:val="24"/>
                <w:szCs w:val="24"/>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1C1C1C"/>
                <w:w w:val="99"/>
              </w:rPr>
              <w:t>May 29, 2026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 Mike Stice</w:t>
            </w:r>
          </w:p>
        </w:tc>
        <w:tc>
          <w:tcPr>
            <w:tcW w:w="8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1"/>
        </w:trPr>
        <w:tc>
          <w:tcPr>
            <w:tcW w:w="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285"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114425" cy="197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114425" cy="197485"/>
                    </a:xfrm>
                    <a:prstGeom prst="rect">
                      <a:avLst/>
                    </a:prstGeom>
                    <a:noFill/>
                  </pic:spPr>
                </pic:pic>
              </a:graphicData>
            </a:graphic>
          </wp:anchor>
        </w:drawing>
        <w:t>Davis Polk &amp; Wardwell LLP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450 Lexington Avenue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10017</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davispolk.com</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5 and 23.3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DAVIS POLK &amp; WARDWELL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May 29,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Kosmos Energy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8176 Park Lane, Suite 500</w:t>
      </w:r>
    </w:p>
    <w:p>
      <w:pPr>
        <w:spacing w:after="0"/>
        <w:rPr>
          <w:sz w:val="20"/>
          <w:szCs w:val="20"/>
          <w:color w:val="auto"/>
        </w:rPr>
      </w:pPr>
      <w:r>
        <w:rPr>
          <w:rFonts w:ascii="Arial" w:cs="Arial" w:eastAsia="Arial" w:hAnsi="Arial"/>
          <w:sz w:val="18"/>
          <w:szCs w:val="18"/>
          <w:color w:val="auto"/>
        </w:rPr>
        <w:t>Dallas, Texas 75231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have acted as special counsel to Kosmos Energy Ltd.,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are delivering this opinion in connection with the Company’s Registration Statement on Form S-8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with the Securities and Exchange Commission pursuant to the Securities Act of 1933, as amended, for the registration of 16,000,000 shares (the “</w:t>
      </w:r>
      <w:r>
        <w:rPr>
          <w:rFonts w:ascii="Arial" w:cs="Arial" w:eastAsia="Arial" w:hAnsi="Arial"/>
          <w:sz w:val="18"/>
          <w:szCs w:val="18"/>
          <w:b w:val="1"/>
          <w:bCs w:val="1"/>
          <w:color w:val="auto"/>
        </w:rPr>
        <w:t>Shares</w:t>
      </w:r>
      <w:r>
        <w:rPr>
          <w:rFonts w:ascii="Arial" w:cs="Arial" w:eastAsia="Arial" w:hAnsi="Arial"/>
          <w:sz w:val="18"/>
          <w:szCs w:val="18"/>
          <w:color w:val="auto"/>
        </w:rPr>
        <w:t>”) of the Company’s common stock, par value $0.01 per share, issuable pursuant to the Kosmos Energy Ltd. Long Term Incentive Plan (as amended and restated as of March 4, 2026)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154"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4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spacing w:after="0" w:line="16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On the basis of the foregoing, we are of the opinion that the Shares have been duly authorized and, when and to the extent issued pursuant to the Plan upon receipt by the Company of the consideration for the Shares specified therein, will be validly issued, fully paid and non-assessable.</w:t>
      </w:r>
    </w:p>
    <w:p>
      <w:pPr>
        <w:spacing w:after="0" w:line="155"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We are members of the Bar of the State of New York and the foregoing opinion is limited to the laws of the State of New York and the General Corporation Law of the State of Delaware.</w:t>
      </w:r>
    </w:p>
    <w:p>
      <w:pPr>
        <w:spacing w:after="0" w:line="14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this consent, we do not admit that we are in the category of persons whose consent is required under Section 7 of the Securities Act.</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23.1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9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Kosmos Energy Ltd. Long Term Incentive Plan of our reports dated March 2, 2026, with respect to the consolidated financial statements and schedules of Kosmos Energy Ltd., and the effectiveness of internal control over financial reporting of Kosmos Energy Ltd. included in its Annual Report (Form 10-K) for the year ended December 31, 2025, filed with the Securities and Exchange Commission.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May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2305685" cy="702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305685" cy="7029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TBPELS REGISTERED ENGINEERING FIRM F-1580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1100 LOUISIANA SUITE 4600 HOUSTON, TEXAS 77002-5294 TELEPHONE (713) 651-9191</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May 29, 2026</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Mr. Tim Nicholson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Kosmos Energy, LLC</w:t>
      </w:r>
    </w:p>
    <w:p>
      <w:pPr>
        <w:spacing w:after="0" w:line="234" w:lineRule="auto"/>
        <w:rPr>
          <w:sz w:val="20"/>
          <w:szCs w:val="20"/>
          <w:color w:val="auto"/>
        </w:rPr>
      </w:pPr>
      <w:r>
        <w:rPr>
          <w:rFonts w:ascii="Arial" w:cs="Arial" w:eastAsia="Arial" w:hAnsi="Arial"/>
          <w:sz w:val="18"/>
          <w:szCs w:val="18"/>
          <w:color w:val="auto"/>
        </w:rPr>
        <w:t>8176 Park Lane, Suite 500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75231</w:t>
      </w:r>
    </w:p>
    <w:p>
      <w:pPr>
        <w:spacing w:after="0" w:line="180" w:lineRule="exact"/>
        <w:rPr>
          <w:sz w:val="20"/>
          <w:szCs w:val="20"/>
          <w:color w:val="auto"/>
        </w:rPr>
      </w:pPr>
    </w:p>
    <w:p>
      <w:pPr>
        <w:jc w:val="both"/>
        <w:ind w:firstLine="223"/>
        <w:spacing w:after="0" w:line="247" w:lineRule="auto"/>
        <w:rPr>
          <w:sz w:val="20"/>
          <w:szCs w:val="20"/>
          <w:color w:val="auto"/>
        </w:rPr>
      </w:pPr>
      <w:r>
        <w:rPr>
          <w:rFonts w:ascii="Arial" w:cs="Arial" w:eastAsia="Arial" w:hAnsi="Arial"/>
          <w:sz w:val="18"/>
          <w:szCs w:val="18"/>
          <w:color w:val="auto"/>
        </w:rPr>
        <w:t>We hereby consent to the reference of our firm and to the use of our reports of the Greater Jubilee, TEN, Ceiba, Okume, Greater Tortue, and Gulf of America Project Areas effective December 31, 2025 and dated February 6, 2026, in the Kosmos Energy Ltd. Annual Report on Form 10-K for the year ended December 31, 2025, filed with the U.S. Securities Exchange Commission on March 2, 2026, incorporated by reference in this Form S-8 Registration Statement of Kosmos Energy Ltd.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Ryder Scott Company, L.P.</w:t>
      </w:r>
    </w:p>
    <w:p>
      <w:pPr>
        <w:spacing w:after="0" w:line="200" w:lineRule="exact"/>
        <w:rPr>
          <w:sz w:val="20"/>
          <w:szCs w:val="20"/>
          <w:color w:val="auto"/>
        </w:rPr>
      </w:pPr>
    </w:p>
    <w:p>
      <w:pPr>
        <w:spacing w:after="0" w:line="20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RYDER SCOTT COMPANY, L.P.</w:t>
      </w:r>
    </w:p>
    <w:p>
      <w:pPr>
        <w:spacing w:after="0" w:line="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TBPE Firm Registration No. F-1580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5020"/>
        <w:spacing w:after="0" w:line="298" w:lineRule="auto"/>
        <w:rPr>
          <w:sz w:val="20"/>
          <w:szCs w:val="20"/>
          <w:color w:val="auto"/>
        </w:rPr>
      </w:pPr>
      <w:r>
        <w:rPr>
          <w:rFonts w:ascii="Times New Roman" w:cs="Times New Roman" w:eastAsia="Times New Roman" w:hAnsi="Times New Roman"/>
          <w:sz w:val="16"/>
          <w:szCs w:val="16"/>
          <w:color w:val="auto"/>
        </w:rPr>
        <w:t>SUITE 2800, 350 7TH AVENUE, S.W., CALGARY, ALBERTA T2P 3N9 TEL (403) 262-2799 633 17TH STREET, SUITE 1700 DENVER, COLORADO 80202 TEL (303) 339-8110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593090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99</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tcPr>
          <w:p>
            <w:pPr>
              <w:spacing w:after="0"/>
              <w:rPr>
                <w:sz w:val="20"/>
                <w:szCs w:val="20"/>
                <w:color w:val="auto"/>
              </w:rPr>
            </w:pPr>
          </w:p>
        </w:tc>
        <w:tc>
          <w:tcPr>
            <w:tcW w:w="742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KOSMOS ENERGY LTD.</w:t>
            </w:r>
          </w:p>
        </w:tc>
        <w:tc>
          <w:tcPr>
            <w:tcW w:w="1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580" w:type="dxa"/>
            <w:vAlign w:val="bottom"/>
          </w:tcPr>
          <w:p>
            <w:pPr>
              <w:spacing w:after="0"/>
              <w:rPr>
                <w:sz w:val="24"/>
                <w:szCs w:val="24"/>
                <w:color w:val="auto"/>
              </w:rPr>
            </w:pPr>
          </w:p>
        </w:tc>
        <w:tc>
          <w:tcPr>
            <w:tcW w:w="742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LONG TERM INCENTIVE PLAN</w:t>
            </w: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1580" w:type="dxa"/>
            <w:vAlign w:val="bottom"/>
          </w:tcPr>
          <w:p>
            <w:pPr>
              <w:spacing w:after="0"/>
              <w:rPr>
                <w:sz w:val="20"/>
                <w:szCs w:val="20"/>
                <w:color w:val="auto"/>
              </w:rPr>
            </w:pPr>
          </w:p>
        </w:tc>
        <w:tc>
          <w:tcPr>
            <w:tcW w:w="74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(amended and restated as of March 4, 2026)</w:t>
            </w:r>
          </w:p>
        </w:tc>
        <w:tc>
          <w:tcPr>
            <w:tcW w:w="1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7"/>
        </w:trPr>
        <w:tc>
          <w:tcPr>
            <w:tcW w:w="158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74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446"/>
        </w:trPr>
        <w:tc>
          <w:tcPr>
            <w:tcW w:w="1580" w:type="dxa"/>
            <w:vAlign w:val="bottom"/>
          </w:tcPr>
          <w:p>
            <w:pPr>
              <w:spacing w:after="0"/>
              <w:rPr>
                <w:sz w:val="24"/>
                <w:szCs w:val="24"/>
                <w:color w:val="auto"/>
              </w:rPr>
            </w:pPr>
          </w:p>
        </w:tc>
        <w:tc>
          <w:tcPr>
            <w:tcW w:w="742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15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Page</w:t>
            </w:r>
          </w:p>
        </w:tc>
        <w:tc>
          <w:tcPr>
            <w:tcW w:w="80" w:type="dxa"/>
            <w:vAlign w:val="bottom"/>
          </w:tcPr>
          <w:p>
            <w:pPr>
              <w:spacing w:after="0"/>
              <w:rPr>
                <w:sz w:val="24"/>
                <w:szCs w:val="24"/>
                <w:color w:val="auto"/>
              </w:rPr>
            </w:pPr>
          </w:p>
        </w:tc>
      </w:tr>
      <w:tr>
        <w:trPr>
          <w:trHeight w:val="507"/>
        </w:trPr>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1.</w:t>
            </w:r>
          </w:p>
        </w:tc>
        <w:tc>
          <w:tcPr>
            <w:tcW w:w="7420" w:type="dxa"/>
            <w:vAlign w:val="bottom"/>
          </w:tcPr>
          <w:p>
            <w:pPr>
              <w:ind w:left="720"/>
              <w:spacing w:after="0"/>
              <w:rPr>
                <w:sz w:val="20"/>
                <w:szCs w:val="20"/>
                <w:color w:val="auto"/>
              </w:rPr>
            </w:pPr>
            <w:r>
              <w:rPr>
                <w:rFonts w:ascii="Times New Roman" w:cs="Times New Roman" w:eastAsia="Times New Roman" w:hAnsi="Times New Roman"/>
                <w:sz w:val="18"/>
                <w:szCs w:val="18"/>
                <w:i w:val="1"/>
                <w:iCs w:val="1"/>
                <w:color w:val="auto"/>
              </w:rPr>
              <w:t>Purpose</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r>
      <w:tr>
        <w:trPr>
          <w:trHeight w:val="324"/>
        </w:trPr>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2.</w:t>
            </w:r>
          </w:p>
        </w:tc>
        <w:tc>
          <w:tcPr>
            <w:tcW w:w="7420" w:type="dxa"/>
            <w:vAlign w:val="bottom"/>
          </w:tcPr>
          <w:p>
            <w:pPr>
              <w:ind w:left="720"/>
              <w:spacing w:after="0"/>
              <w:rPr>
                <w:sz w:val="20"/>
                <w:szCs w:val="20"/>
                <w:color w:val="auto"/>
              </w:rPr>
            </w:pPr>
            <w:r>
              <w:rPr>
                <w:rFonts w:ascii="Times New Roman" w:cs="Times New Roman" w:eastAsia="Times New Roman" w:hAnsi="Times New Roman"/>
                <w:sz w:val="18"/>
                <w:szCs w:val="18"/>
                <w:i w:val="1"/>
                <w:iCs w:val="1"/>
                <w:color w:val="auto"/>
              </w:rPr>
              <w:t>Definitions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r>
      <w:tr>
        <w:trPr>
          <w:trHeight w:val="324"/>
        </w:trPr>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3.</w:t>
            </w:r>
          </w:p>
        </w:tc>
        <w:tc>
          <w:tcPr>
            <w:tcW w:w="7420" w:type="dxa"/>
            <w:vAlign w:val="bottom"/>
          </w:tcPr>
          <w:p>
            <w:pPr>
              <w:ind w:left="720"/>
              <w:spacing w:after="0"/>
              <w:rPr>
                <w:sz w:val="20"/>
                <w:szCs w:val="20"/>
                <w:color w:val="auto"/>
              </w:rPr>
            </w:pPr>
            <w:r>
              <w:rPr>
                <w:rFonts w:ascii="Times New Roman" w:cs="Times New Roman" w:eastAsia="Times New Roman" w:hAnsi="Times New Roman"/>
                <w:sz w:val="18"/>
                <w:szCs w:val="18"/>
                <w:i w:val="1"/>
                <w:iCs w:val="1"/>
                <w:color w:val="auto"/>
              </w:rPr>
              <w:t>Eligibility</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4"/>
                <w:szCs w:val="24"/>
                <w:color w:val="auto"/>
              </w:rPr>
            </w:pPr>
          </w:p>
        </w:tc>
      </w:tr>
      <w:tr>
        <w:trPr>
          <w:trHeight w:val="324"/>
        </w:trPr>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4.</w:t>
            </w:r>
          </w:p>
        </w:tc>
        <w:tc>
          <w:tcPr>
            <w:tcW w:w="7420" w:type="dxa"/>
            <w:vAlign w:val="bottom"/>
          </w:tcPr>
          <w:p>
            <w:pPr>
              <w:ind w:left="720"/>
              <w:spacing w:after="0"/>
              <w:rPr>
                <w:sz w:val="20"/>
                <w:szCs w:val="20"/>
                <w:color w:val="auto"/>
              </w:rPr>
            </w:pPr>
            <w:r>
              <w:rPr>
                <w:rFonts w:ascii="Times New Roman" w:cs="Times New Roman" w:eastAsia="Times New Roman" w:hAnsi="Times New Roman"/>
                <w:sz w:val="18"/>
                <w:szCs w:val="18"/>
                <w:i w:val="1"/>
                <w:iCs w:val="1"/>
                <w:color w:val="auto"/>
              </w:rPr>
              <w:t>Administration</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4"/>
                <w:szCs w:val="24"/>
                <w:color w:val="auto"/>
              </w:rPr>
            </w:pPr>
          </w:p>
        </w:tc>
      </w:tr>
      <w:tr>
        <w:trPr>
          <w:trHeight w:val="324"/>
        </w:trPr>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5.</w:t>
            </w:r>
          </w:p>
        </w:tc>
        <w:tc>
          <w:tcPr>
            <w:tcW w:w="7420" w:type="dxa"/>
            <w:vAlign w:val="bottom"/>
          </w:tcPr>
          <w:p>
            <w:pPr>
              <w:ind w:left="720"/>
              <w:spacing w:after="0"/>
              <w:rPr>
                <w:sz w:val="20"/>
                <w:szCs w:val="20"/>
                <w:color w:val="auto"/>
              </w:rPr>
            </w:pPr>
            <w:r>
              <w:rPr>
                <w:rFonts w:ascii="Times New Roman" w:cs="Times New Roman" w:eastAsia="Times New Roman" w:hAnsi="Times New Roman"/>
                <w:sz w:val="18"/>
                <w:szCs w:val="18"/>
                <w:i w:val="1"/>
                <w:iCs w:val="1"/>
                <w:color w:val="auto"/>
              </w:rPr>
              <w:t>Shares Available for Awards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4"/>
                <w:szCs w:val="24"/>
                <w:color w:val="auto"/>
              </w:rPr>
            </w:pPr>
          </w:p>
        </w:tc>
      </w:tr>
      <w:tr>
        <w:trPr>
          <w:trHeight w:val="324"/>
        </w:trPr>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6.</w:t>
            </w:r>
          </w:p>
        </w:tc>
        <w:tc>
          <w:tcPr>
            <w:tcW w:w="7420" w:type="dxa"/>
            <w:vAlign w:val="bottom"/>
          </w:tcPr>
          <w:p>
            <w:pPr>
              <w:ind w:left="720"/>
              <w:spacing w:after="0"/>
              <w:rPr>
                <w:sz w:val="20"/>
                <w:szCs w:val="20"/>
                <w:color w:val="auto"/>
              </w:rPr>
            </w:pPr>
            <w:r>
              <w:rPr>
                <w:rFonts w:ascii="Times New Roman" w:cs="Times New Roman" w:eastAsia="Times New Roman" w:hAnsi="Times New Roman"/>
                <w:sz w:val="18"/>
                <w:szCs w:val="18"/>
                <w:i w:val="1"/>
                <w:iCs w:val="1"/>
                <w:color w:val="auto"/>
              </w:rPr>
              <w:t>Options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4"/>
                <w:szCs w:val="24"/>
                <w:color w:val="auto"/>
              </w:rPr>
            </w:pPr>
          </w:p>
        </w:tc>
      </w:tr>
      <w:tr>
        <w:trPr>
          <w:trHeight w:val="324"/>
        </w:trPr>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7.</w:t>
            </w:r>
          </w:p>
        </w:tc>
        <w:tc>
          <w:tcPr>
            <w:tcW w:w="7420" w:type="dxa"/>
            <w:vAlign w:val="bottom"/>
          </w:tcPr>
          <w:p>
            <w:pPr>
              <w:ind w:left="720"/>
              <w:spacing w:after="0"/>
              <w:rPr>
                <w:sz w:val="20"/>
                <w:szCs w:val="20"/>
                <w:color w:val="auto"/>
              </w:rPr>
            </w:pPr>
            <w:r>
              <w:rPr>
                <w:rFonts w:ascii="Times New Roman" w:cs="Times New Roman" w:eastAsia="Times New Roman" w:hAnsi="Times New Roman"/>
                <w:sz w:val="18"/>
                <w:szCs w:val="18"/>
                <w:i w:val="1"/>
                <w:iCs w:val="1"/>
                <w:color w:val="auto"/>
              </w:rPr>
              <w:t>Stock Appreciation Rights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4"/>
                <w:szCs w:val="24"/>
                <w:color w:val="auto"/>
              </w:rPr>
            </w:pPr>
          </w:p>
        </w:tc>
      </w:tr>
      <w:tr>
        <w:trPr>
          <w:trHeight w:val="324"/>
        </w:trPr>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8.</w:t>
            </w:r>
          </w:p>
        </w:tc>
        <w:tc>
          <w:tcPr>
            <w:tcW w:w="7420" w:type="dxa"/>
            <w:vAlign w:val="bottom"/>
          </w:tcPr>
          <w:p>
            <w:pPr>
              <w:ind w:left="720"/>
              <w:spacing w:after="0"/>
              <w:rPr>
                <w:sz w:val="20"/>
                <w:szCs w:val="20"/>
                <w:color w:val="auto"/>
              </w:rPr>
            </w:pPr>
            <w:r>
              <w:rPr>
                <w:rFonts w:ascii="Times New Roman" w:cs="Times New Roman" w:eastAsia="Times New Roman" w:hAnsi="Times New Roman"/>
                <w:sz w:val="18"/>
                <w:szCs w:val="18"/>
                <w:i w:val="1"/>
                <w:iCs w:val="1"/>
                <w:color w:val="auto"/>
              </w:rPr>
              <w:t>Restricted Stock and RSUs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4"/>
                <w:szCs w:val="24"/>
                <w:color w:val="auto"/>
              </w:rPr>
            </w:pPr>
          </w:p>
        </w:tc>
      </w:tr>
      <w:tr>
        <w:trPr>
          <w:trHeight w:val="324"/>
        </w:trPr>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9.</w:t>
            </w:r>
          </w:p>
        </w:tc>
        <w:tc>
          <w:tcPr>
            <w:tcW w:w="7420" w:type="dxa"/>
            <w:vAlign w:val="bottom"/>
          </w:tcPr>
          <w:p>
            <w:pPr>
              <w:ind w:left="720"/>
              <w:spacing w:after="0"/>
              <w:rPr>
                <w:sz w:val="20"/>
                <w:szCs w:val="20"/>
                <w:color w:val="auto"/>
              </w:rPr>
            </w:pPr>
            <w:r>
              <w:rPr>
                <w:rFonts w:ascii="Times New Roman" w:cs="Times New Roman" w:eastAsia="Times New Roman" w:hAnsi="Times New Roman"/>
                <w:sz w:val="18"/>
                <w:szCs w:val="18"/>
                <w:i w:val="1"/>
                <w:iCs w:val="1"/>
                <w:color w:val="auto"/>
              </w:rPr>
              <w:t>Performance Awards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r>
      <w:tr>
        <w:trPr>
          <w:trHeight w:val="324"/>
        </w:trPr>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10.</w:t>
            </w:r>
          </w:p>
        </w:tc>
        <w:tc>
          <w:tcPr>
            <w:tcW w:w="7420" w:type="dxa"/>
            <w:vAlign w:val="bottom"/>
          </w:tcPr>
          <w:p>
            <w:pPr>
              <w:ind w:left="720"/>
              <w:spacing w:after="0"/>
              <w:rPr>
                <w:sz w:val="20"/>
                <w:szCs w:val="20"/>
                <w:color w:val="auto"/>
              </w:rPr>
            </w:pPr>
            <w:r>
              <w:rPr>
                <w:rFonts w:ascii="Times New Roman" w:cs="Times New Roman" w:eastAsia="Times New Roman" w:hAnsi="Times New Roman"/>
                <w:sz w:val="18"/>
                <w:szCs w:val="18"/>
                <w:i w:val="1"/>
                <w:iCs w:val="1"/>
                <w:color w:val="auto"/>
              </w:rPr>
              <w:t>Other Stock-Based Awards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4"/>
                <w:szCs w:val="24"/>
                <w:color w:val="auto"/>
              </w:rPr>
            </w:pPr>
          </w:p>
        </w:tc>
      </w:tr>
      <w:tr>
        <w:trPr>
          <w:trHeight w:val="324"/>
        </w:trPr>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11.</w:t>
            </w:r>
          </w:p>
        </w:tc>
        <w:tc>
          <w:tcPr>
            <w:tcW w:w="7420" w:type="dxa"/>
            <w:vAlign w:val="bottom"/>
          </w:tcPr>
          <w:p>
            <w:pPr>
              <w:ind w:left="720"/>
              <w:spacing w:after="0"/>
              <w:rPr>
                <w:sz w:val="20"/>
                <w:szCs w:val="20"/>
                <w:color w:val="auto"/>
              </w:rPr>
            </w:pPr>
            <w:r>
              <w:rPr>
                <w:rFonts w:ascii="Times New Roman" w:cs="Times New Roman" w:eastAsia="Times New Roman" w:hAnsi="Times New Roman"/>
                <w:sz w:val="18"/>
                <w:szCs w:val="18"/>
                <w:i w:val="1"/>
                <w:iCs w:val="1"/>
                <w:color w:val="auto"/>
              </w:rPr>
              <w:t>Effect of Termination of Service or a Change in Control on Awards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4"/>
                <w:szCs w:val="24"/>
                <w:color w:val="auto"/>
              </w:rPr>
            </w:pPr>
          </w:p>
        </w:tc>
      </w:tr>
      <w:tr>
        <w:trPr>
          <w:trHeight w:val="324"/>
        </w:trPr>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12.</w:t>
            </w:r>
          </w:p>
        </w:tc>
        <w:tc>
          <w:tcPr>
            <w:tcW w:w="7420" w:type="dxa"/>
            <w:vAlign w:val="bottom"/>
          </w:tcPr>
          <w:p>
            <w:pPr>
              <w:ind w:left="720"/>
              <w:spacing w:after="0"/>
              <w:rPr>
                <w:sz w:val="20"/>
                <w:szCs w:val="20"/>
                <w:color w:val="auto"/>
              </w:rPr>
            </w:pPr>
            <w:r>
              <w:rPr>
                <w:rFonts w:ascii="Times New Roman" w:cs="Times New Roman" w:eastAsia="Times New Roman" w:hAnsi="Times New Roman"/>
                <w:sz w:val="18"/>
                <w:szCs w:val="18"/>
                <w:i w:val="1"/>
                <w:iCs w:val="1"/>
                <w:color w:val="auto"/>
              </w:rPr>
              <w:t>Minimum Vesting Requirements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4"/>
                <w:szCs w:val="24"/>
                <w:color w:val="auto"/>
              </w:rPr>
            </w:pPr>
          </w:p>
        </w:tc>
      </w:tr>
      <w:tr>
        <w:trPr>
          <w:trHeight w:val="324"/>
        </w:trPr>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13.</w:t>
            </w:r>
          </w:p>
        </w:tc>
        <w:tc>
          <w:tcPr>
            <w:tcW w:w="7420" w:type="dxa"/>
            <w:vAlign w:val="bottom"/>
          </w:tcPr>
          <w:p>
            <w:pPr>
              <w:ind w:left="720"/>
              <w:spacing w:after="0"/>
              <w:rPr>
                <w:sz w:val="20"/>
                <w:szCs w:val="20"/>
                <w:color w:val="auto"/>
              </w:rPr>
            </w:pPr>
            <w:r>
              <w:rPr>
                <w:rFonts w:ascii="Times New Roman" w:cs="Times New Roman" w:eastAsia="Times New Roman" w:hAnsi="Times New Roman"/>
                <w:sz w:val="18"/>
                <w:szCs w:val="18"/>
                <w:i w:val="1"/>
                <w:iCs w:val="1"/>
                <w:color w:val="auto"/>
              </w:rPr>
              <w:t>General Provisions Applicable to Awards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4"/>
                <w:szCs w:val="24"/>
                <w:color w:val="auto"/>
              </w:rPr>
            </w:pPr>
          </w:p>
        </w:tc>
      </w:tr>
      <w:tr>
        <w:trPr>
          <w:trHeight w:val="324"/>
        </w:trPr>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14.</w:t>
            </w:r>
          </w:p>
        </w:tc>
        <w:tc>
          <w:tcPr>
            <w:tcW w:w="7420" w:type="dxa"/>
            <w:vAlign w:val="bottom"/>
          </w:tcPr>
          <w:p>
            <w:pPr>
              <w:ind w:left="720"/>
              <w:spacing w:after="0"/>
              <w:rPr>
                <w:sz w:val="20"/>
                <w:szCs w:val="20"/>
                <w:color w:val="auto"/>
              </w:rPr>
            </w:pPr>
            <w:r>
              <w:rPr>
                <w:rFonts w:ascii="Times New Roman" w:cs="Times New Roman" w:eastAsia="Times New Roman" w:hAnsi="Times New Roman"/>
                <w:sz w:val="18"/>
                <w:szCs w:val="18"/>
                <w:i w:val="1"/>
                <w:iCs w:val="1"/>
                <w:color w:val="auto"/>
              </w:rPr>
              <w:t>Amendments and Termination</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4"/>
                <w:szCs w:val="24"/>
                <w:color w:val="auto"/>
              </w:rPr>
            </w:pPr>
          </w:p>
        </w:tc>
      </w:tr>
      <w:tr>
        <w:trPr>
          <w:trHeight w:val="324"/>
        </w:trPr>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15.</w:t>
            </w:r>
          </w:p>
        </w:tc>
        <w:tc>
          <w:tcPr>
            <w:tcW w:w="7420" w:type="dxa"/>
            <w:vAlign w:val="bottom"/>
          </w:tcPr>
          <w:p>
            <w:pPr>
              <w:ind w:left="720"/>
              <w:spacing w:after="0"/>
              <w:rPr>
                <w:sz w:val="20"/>
                <w:szCs w:val="20"/>
                <w:color w:val="auto"/>
              </w:rPr>
            </w:pPr>
            <w:r>
              <w:rPr>
                <w:rFonts w:ascii="Times New Roman" w:cs="Times New Roman" w:eastAsia="Times New Roman" w:hAnsi="Times New Roman"/>
                <w:sz w:val="18"/>
                <w:szCs w:val="18"/>
                <w:i w:val="1"/>
                <w:iCs w:val="1"/>
                <w:color w:val="auto"/>
              </w:rPr>
              <w:t>Miscellaneous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4"/>
                <w:szCs w:val="24"/>
                <w:color w:val="auto"/>
              </w:rPr>
            </w:pPr>
          </w:p>
        </w:tc>
      </w:tr>
      <w:tr>
        <w:trPr>
          <w:trHeight w:val="324"/>
        </w:trPr>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16.</w:t>
            </w:r>
          </w:p>
        </w:tc>
        <w:tc>
          <w:tcPr>
            <w:tcW w:w="7420" w:type="dxa"/>
            <w:vAlign w:val="bottom"/>
          </w:tcPr>
          <w:p>
            <w:pPr>
              <w:ind w:left="720"/>
              <w:spacing w:after="0"/>
              <w:rPr>
                <w:sz w:val="20"/>
                <w:szCs w:val="20"/>
                <w:color w:val="auto"/>
              </w:rPr>
            </w:pPr>
            <w:r>
              <w:rPr>
                <w:rFonts w:ascii="Times New Roman" w:cs="Times New Roman" w:eastAsia="Times New Roman" w:hAnsi="Times New Roman"/>
                <w:sz w:val="18"/>
                <w:szCs w:val="18"/>
                <w:i w:val="1"/>
                <w:iCs w:val="1"/>
                <w:color w:val="auto"/>
              </w:rPr>
              <w:t>Effective Date of the Plan</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4"/>
                <w:szCs w:val="24"/>
                <w:color w:val="auto"/>
              </w:rPr>
            </w:pPr>
          </w:p>
        </w:tc>
      </w:tr>
      <w:tr>
        <w:trPr>
          <w:trHeight w:val="324"/>
        </w:trPr>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17.</w:t>
            </w:r>
          </w:p>
        </w:tc>
        <w:tc>
          <w:tcPr>
            <w:tcW w:w="7420" w:type="dxa"/>
            <w:vAlign w:val="bottom"/>
          </w:tcPr>
          <w:p>
            <w:pPr>
              <w:ind w:left="720"/>
              <w:spacing w:after="0"/>
              <w:rPr>
                <w:sz w:val="20"/>
                <w:szCs w:val="20"/>
                <w:color w:val="auto"/>
              </w:rPr>
            </w:pPr>
            <w:r>
              <w:rPr>
                <w:rFonts w:ascii="Times New Roman" w:cs="Times New Roman" w:eastAsia="Times New Roman" w:hAnsi="Times New Roman"/>
                <w:sz w:val="18"/>
                <w:szCs w:val="18"/>
                <w:i w:val="1"/>
                <w:iCs w:val="1"/>
                <w:color w:val="auto"/>
              </w:rPr>
              <w:t>Term of the Plan</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4"/>
                <w:szCs w:val="24"/>
                <w:color w:val="auto"/>
              </w:rPr>
            </w:pPr>
          </w:p>
        </w:tc>
      </w:tr>
      <w:tr>
        <w:trPr>
          <w:trHeight w:val="324"/>
        </w:trPr>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18.</w:t>
            </w:r>
          </w:p>
        </w:tc>
        <w:tc>
          <w:tcPr>
            <w:tcW w:w="7420" w:type="dxa"/>
            <w:vAlign w:val="bottom"/>
          </w:tcPr>
          <w:p>
            <w:pPr>
              <w:ind w:left="720"/>
              <w:spacing w:after="0"/>
              <w:rPr>
                <w:sz w:val="20"/>
                <w:szCs w:val="20"/>
                <w:color w:val="auto"/>
              </w:rPr>
            </w:pPr>
            <w:r>
              <w:rPr>
                <w:rFonts w:ascii="Times New Roman" w:cs="Times New Roman" w:eastAsia="Times New Roman" w:hAnsi="Times New Roman"/>
                <w:sz w:val="18"/>
                <w:szCs w:val="18"/>
                <w:i w:val="1"/>
                <w:iCs w:val="1"/>
                <w:color w:val="auto"/>
              </w:rPr>
              <w:t>Cancellation or “Clawback” of Awards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4"/>
                <w:szCs w:val="24"/>
                <w:color w:val="auto"/>
              </w:rPr>
            </w:pPr>
          </w:p>
        </w:tc>
      </w:tr>
      <w:tr>
        <w:trPr>
          <w:trHeight w:val="324"/>
        </w:trPr>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19.</w:t>
            </w:r>
          </w:p>
        </w:tc>
        <w:tc>
          <w:tcPr>
            <w:tcW w:w="7420" w:type="dxa"/>
            <w:vAlign w:val="bottom"/>
          </w:tcPr>
          <w:p>
            <w:pPr>
              <w:ind w:left="720"/>
              <w:spacing w:after="0"/>
              <w:rPr>
                <w:sz w:val="20"/>
                <w:szCs w:val="20"/>
                <w:color w:val="auto"/>
              </w:rPr>
            </w:pPr>
            <w:r>
              <w:rPr>
                <w:rFonts w:ascii="Times New Roman" w:cs="Times New Roman" w:eastAsia="Times New Roman" w:hAnsi="Times New Roman"/>
                <w:sz w:val="18"/>
                <w:szCs w:val="18"/>
                <w:i w:val="1"/>
                <w:iCs w:val="1"/>
                <w:color w:val="auto"/>
              </w:rPr>
              <w:t>Section 409A of the Code</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4"/>
                <w:szCs w:val="24"/>
                <w:color w:val="auto"/>
              </w:rPr>
            </w:pPr>
          </w:p>
        </w:tc>
      </w:tr>
      <w:tr>
        <w:trPr>
          <w:trHeight w:val="324"/>
        </w:trPr>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20.</w:t>
            </w:r>
          </w:p>
        </w:tc>
        <w:tc>
          <w:tcPr>
            <w:tcW w:w="7420" w:type="dxa"/>
            <w:vAlign w:val="bottom"/>
          </w:tcPr>
          <w:p>
            <w:pPr>
              <w:ind w:left="720"/>
              <w:spacing w:after="0"/>
              <w:rPr>
                <w:sz w:val="20"/>
                <w:szCs w:val="20"/>
                <w:color w:val="auto"/>
              </w:rPr>
            </w:pPr>
            <w:r>
              <w:rPr>
                <w:rFonts w:ascii="Times New Roman" w:cs="Times New Roman" w:eastAsia="Times New Roman" w:hAnsi="Times New Roman"/>
                <w:sz w:val="18"/>
                <w:szCs w:val="18"/>
                <w:i w:val="1"/>
                <w:iCs w:val="1"/>
                <w:color w:val="auto"/>
              </w:rPr>
              <w:t>Data Protection</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4"/>
                <w:szCs w:val="24"/>
                <w:color w:val="auto"/>
              </w:rPr>
            </w:pPr>
          </w:p>
        </w:tc>
      </w:tr>
      <w:tr>
        <w:trPr>
          <w:trHeight w:val="324"/>
        </w:trPr>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21.</w:t>
            </w:r>
          </w:p>
        </w:tc>
        <w:tc>
          <w:tcPr>
            <w:tcW w:w="7420" w:type="dxa"/>
            <w:vAlign w:val="bottom"/>
          </w:tcPr>
          <w:p>
            <w:pPr>
              <w:ind w:left="720"/>
              <w:spacing w:after="0"/>
              <w:rPr>
                <w:sz w:val="20"/>
                <w:szCs w:val="20"/>
                <w:color w:val="auto"/>
              </w:rPr>
            </w:pPr>
            <w:r>
              <w:rPr>
                <w:rFonts w:ascii="Times New Roman" w:cs="Times New Roman" w:eastAsia="Times New Roman" w:hAnsi="Times New Roman"/>
                <w:sz w:val="18"/>
                <w:szCs w:val="18"/>
                <w:i w:val="1"/>
                <w:iCs w:val="1"/>
                <w:color w:val="auto"/>
              </w:rPr>
              <w:t>Governing Law</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4"/>
                <w:szCs w:val="24"/>
                <w:color w:val="auto"/>
              </w:rPr>
            </w:pPr>
          </w:p>
        </w:tc>
      </w:tr>
      <w:tr>
        <w:trPr>
          <w:trHeight w:val="635"/>
        </w:trPr>
        <w:tc>
          <w:tcPr>
            <w:tcW w:w="158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422910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t>Kosmos Energy Ltd.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Long Term Incentive Plan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(amended and restated as of March 4, 2026)</w:t>
      </w:r>
    </w:p>
    <w:p>
      <w:pPr>
        <w:spacing w:after="0" w:line="203"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 xml:space="preserve"> The purpose of the Kosmos Energy Ltd. Long Term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is to motivate and reward those employees and other individuals who are expected to contribute significantly to the success of Kosmos Energy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its Affiliates to perform at the highest level and to further the best interests of the Company and its shareholders.</w:t>
      </w:r>
    </w:p>
    <w:p>
      <w:pPr>
        <w:spacing w:after="0" w:line="173"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8"/>
          <w:szCs w:val="18"/>
          <w:i w:val="1"/>
          <w:iCs w:val="1"/>
          <w:color w:val="auto"/>
        </w:rPr>
        <w:t xml:space="preserve">Definitions. </w:t>
      </w:r>
      <w:r>
        <w:rPr>
          <w:rFonts w:ascii="Times New Roman" w:cs="Times New Roman" w:eastAsia="Times New Roman" w:hAnsi="Times New Roman"/>
          <w:sz w:val="18"/>
          <w:szCs w:val="18"/>
          <w:color w:val="auto"/>
        </w:rPr>
        <w:t>As used in the Plan, the following terms shall have the meanings set forth below:</w:t>
      </w:r>
    </w:p>
    <w:p>
      <w:pPr>
        <w:spacing w:after="0" w:line="223" w:lineRule="exact"/>
        <w:rPr>
          <w:sz w:val="20"/>
          <w:szCs w:val="20"/>
          <w:color w:val="auto"/>
        </w:rPr>
      </w:pPr>
    </w:p>
    <w:p>
      <w:pPr>
        <w:ind w:right="80" w:firstLine="850"/>
        <w:spacing w:after="0" w:line="286" w:lineRule="auto"/>
        <w:tabs>
          <w:tab w:leader="none" w:pos="158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except as provided in Section 2(h), (i) any entity that, directly or indirectly, is controlled by the Company and (ii) any entity in which the Company has a significant equity interest, in each case as determined by the Committee.</w:t>
      </w:r>
    </w:p>
    <w:p>
      <w:pPr>
        <w:spacing w:after="0" w:line="154" w:lineRule="exact"/>
        <w:rPr>
          <w:rFonts w:ascii="Times New Roman" w:cs="Times New Roman" w:eastAsia="Times New Roman" w:hAnsi="Times New Roman"/>
          <w:sz w:val="18"/>
          <w:szCs w:val="18"/>
          <w:color w:val="auto"/>
        </w:rPr>
      </w:pPr>
    </w:p>
    <w:p>
      <w:pPr>
        <w:ind w:left="1600" w:hanging="750"/>
        <w:spacing w:after="0"/>
        <w:tabs>
          <w:tab w:leader="none" w:pos="1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Award</w:t>
      </w:r>
      <w:r>
        <w:rPr>
          <w:rFonts w:ascii="Times New Roman" w:cs="Times New Roman" w:eastAsia="Times New Roman" w:hAnsi="Times New Roman"/>
          <w:sz w:val="17"/>
          <w:szCs w:val="17"/>
          <w:color w:val="auto"/>
        </w:rPr>
        <w:t>” means any Option, SAR, Restricted Stock, RSU, Performance Award, or Other Stock-Based Award granted under the Plan.</w:t>
      </w:r>
    </w:p>
    <w:p>
      <w:pPr>
        <w:spacing w:after="0" w:line="236" w:lineRule="exact"/>
        <w:rPr>
          <w:rFonts w:ascii="Times New Roman" w:cs="Times New Roman" w:eastAsia="Times New Roman" w:hAnsi="Times New Roman"/>
          <w:sz w:val="17"/>
          <w:szCs w:val="17"/>
          <w:color w:val="auto"/>
        </w:rPr>
      </w:pPr>
    </w:p>
    <w:p>
      <w:pPr>
        <w:ind w:right="80" w:firstLine="850"/>
        <w:spacing w:after="0" w:line="286" w:lineRule="auto"/>
        <w:tabs>
          <w:tab w:leader="none" w:pos="158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Document</w:t>
      </w:r>
      <w:r>
        <w:rPr>
          <w:rFonts w:ascii="Times New Roman" w:cs="Times New Roman" w:eastAsia="Times New Roman" w:hAnsi="Times New Roman"/>
          <w:sz w:val="18"/>
          <w:szCs w:val="18"/>
          <w:color w:val="auto"/>
        </w:rPr>
        <w:t>” means any agreement, contract or other instrument or document evidencing any Award granted under the Plan, which may, but need not, be executed or acknowledged by a Participant.</w:t>
      </w:r>
    </w:p>
    <w:p>
      <w:pPr>
        <w:spacing w:after="0" w:line="154" w:lineRule="exact"/>
        <w:rPr>
          <w:rFonts w:ascii="Times New Roman" w:cs="Times New Roman" w:eastAsia="Times New Roman" w:hAnsi="Times New Roman"/>
          <w:sz w:val="18"/>
          <w:szCs w:val="18"/>
          <w:color w:val="auto"/>
        </w:rPr>
      </w:pPr>
    </w:p>
    <w:p>
      <w:pPr>
        <w:ind w:left="1600" w:hanging="750"/>
        <w:spacing w:after="0"/>
        <w:tabs>
          <w:tab w:leader="none" w:pos="1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has the meaning ascribed to such term in Rule 13d-3 under the Exchange Act.</w:t>
      </w:r>
    </w:p>
    <w:p>
      <w:pPr>
        <w:spacing w:after="0" w:line="225" w:lineRule="exact"/>
        <w:rPr>
          <w:rFonts w:ascii="Times New Roman" w:cs="Times New Roman" w:eastAsia="Times New Roman" w:hAnsi="Times New Roman"/>
          <w:sz w:val="18"/>
          <w:szCs w:val="18"/>
          <w:color w:val="auto"/>
        </w:rPr>
      </w:pPr>
    </w:p>
    <w:p>
      <w:pPr>
        <w:ind w:right="20" w:firstLine="850"/>
        <w:spacing w:after="0" w:line="262" w:lineRule="auto"/>
        <w:tabs>
          <w:tab w:leader="none" w:pos="158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Beneficiary</w:t>
      </w:r>
      <w:r>
        <w:rPr>
          <w:rFonts w:ascii="Times New Roman" w:cs="Times New Roman" w:eastAsia="Times New Roman" w:hAnsi="Times New Roman"/>
          <w:sz w:val="18"/>
          <w:szCs w:val="18"/>
          <w:color w:val="auto"/>
        </w:rPr>
        <w:t>” means a Person entitled to receive payments or other benefits or exercise rights that are available under the Plan in the event of a Participant’s death. If no such Person is or can be named by such Participant, or if no Beneficiary designated by such Participant is eligible to receive payments or other benefits or exercise rights that are available under the Plan at such Participant’s death, such Participant’s Beneficiary shall be such Participant’s estate.</w:t>
      </w:r>
    </w:p>
    <w:p>
      <w:pPr>
        <w:spacing w:after="0" w:line="176" w:lineRule="exact"/>
        <w:rPr>
          <w:rFonts w:ascii="Times New Roman" w:cs="Times New Roman" w:eastAsia="Times New Roman" w:hAnsi="Times New Roman"/>
          <w:sz w:val="18"/>
          <w:szCs w:val="18"/>
          <w:color w:val="auto"/>
        </w:rPr>
      </w:pPr>
    </w:p>
    <w:p>
      <w:pPr>
        <w:ind w:left="1620" w:hanging="770"/>
        <w:spacing w:after="0"/>
        <w:tabs>
          <w:tab w:leader="none" w:pos="1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right="80" w:firstLine="850"/>
        <w:spacing w:after="0" w:line="286" w:lineRule="auto"/>
        <w:tabs>
          <w:tab w:leader="none" w:pos="159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with respect to any Participant, “cause” as defined in such Participant’s Employment Agreement, if any, or if not so defined, and except as otherwise provided in such Participant’s Award Document, such Participant’s:</w:t>
      </w:r>
    </w:p>
    <w:p>
      <w:pPr>
        <w:spacing w:after="0" w:line="158" w:lineRule="exact"/>
        <w:rPr>
          <w:rFonts w:ascii="Times New Roman" w:cs="Times New Roman" w:eastAsia="Times New Roman" w:hAnsi="Times New Roman"/>
          <w:sz w:val="18"/>
          <w:szCs w:val="18"/>
          <w:color w:val="auto"/>
        </w:rPr>
      </w:pPr>
    </w:p>
    <w:p>
      <w:pPr>
        <w:ind w:left="660" w:right="220" w:firstLine="968"/>
        <w:spacing w:after="0" w:line="282" w:lineRule="auto"/>
        <w:tabs>
          <w:tab w:leader="none" w:pos="234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his or her duties to the Company or any Affiliate (other than any such failure resulting from his or her physical or mental incapacity);</w:t>
      </w:r>
    </w:p>
    <w:p>
      <w:pPr>
        <w:spacing w:after="0" w:line="161" w:lineRule="exact"/>
        <w:rPr>
          <w:rFonts w:ascii="Times New Roman" w:cs="Times New Roman" w:eastAsia="Times New Roman" w:hAnsi="Times New Roman"/>
          <w:sz w:val="18"/>
          <w:szCs w:val="18"/>
          <w:color w:val="auto"/>
        </w:rPr>
      </w:pPr>
    </w:p>
    <w:p>
      <w:pPr>
        <w:ind w:left="2380" w:hanging="752"/>
        <w:spacing w:after="0"/>
        <w:tabs>
          <w:tab w:leader="none" w:pos="23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engaged in misconduct, negligence or a breach of fiduciary duty, or breach of any applicable Employment</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9" w:name="page10"/>
    <w:bookmarkEnd w:id="9"/>
    <w:p>
      <w:pPr>
        <w:ind w:left="-190" w:right="1020" w:firstLine="968"/>
        <w:spacing w:after="0" w:line="282" w:lineRule="auto"/>
        <w:tabs>
          <w:tab w:leader="none" w:pos="159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been convicted of, or having entered a plea bargain or settlement admitting guilt or the imposition of unadjudicated probation for, any crime of moral turpitude or felony under any applicable law;</w:t>
      </w:r>
    </w:p>
    <w:p>
      <w:pPr>
        <w:spacing w:after="0" w:line="161" w:lineRule="exact"/>
        <w:rPr>
          <w:rFonts w:ascii="Times New Roman" w:cs="Times New Roman" w:eastAsia="Times New Roman" w:hAnsi="Times New Roman"/>
          <w:sz w:val="18"/>
          <w:szCs w:val="18"/>
          <w:color w:val="auto"/>
        </w:rPr>
      </w:pPr>
    </w:p>
    <w:p>
      <w:pPr>
        <w:ind w:left="-190" w:right="240" w:firstLine="968"/>
        <w:spacing w:after="0" w:line="282" w:lineRule="auto"/>
        <w:tabs>
          <w:tab w:leader="none" w:pos="158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any restrictive covenant to which he or she is subject contained in any applicable Employment Agreement or other agreement with the Company or any Affiliate;</w:t>
      </w:r>
    </w:p>
    <w:p>
      <w:pPr>
        <w:spacing w:after="0" w:line="161" w:lineRule="exact"/>
        <w:rPr>
          <w:rFonts w:ascii="Times New Roman" w:cs="Times New Roman" w:eastAsia="Times New Roman" w:hAnsi="Times New Roman"/>
          <w:sz w:val="18"/>
          <w:szCs w:val="18"/>
          <w:color w:val="auto"/>
        </w:rPr>
      </w:pPr>
    </w:p>
    <w:p>
      <w:pPr>
        <w:ind w:left="-190" w:right="100" w:firstLine="968"/>
        <w:spacing w:after="0" w:line="282" w:lineRule="auto"/>
        <w:tabs>
          <w:tab w:leader="none" w:pos="153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any policy of the Company or any Affiliate, including without limitation any such policy that relates to expense management, human resources or the Foreign Corrupt Practices Act;</w:t>
      </w:r>
    </w:p>
    <w:p>
      <w:pPr>
        <w:spacing w:after="0" w:line="161" w:lineRule="exact"/>
        <w:rPr>
          <w:rFonts w:ascii="Times New Roman" w:cs="Times New Roman" w:eastAsia="Times New Roman" w:hAnsi="Times New Roman"/>
          <w:sz w:val="18"/>
          <w:szCs w:val="18"/>
          <w:color w:val="auto"/>
        </w:rPr>
      </w:pPr>
    </w:p>
    <w:p>
      <w:pPr>
        <w:ind w:left="-190" w:right="260" w:firstLine="968"/>
        <w:spacing w:after="0" w:line="282" w:lineRule="auto"/>
        <w:tabs>
          <w:tab w:leader="none" w:pos="158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use or possession of illegal drugs on the premises of the Company or any Affiliate or while performing his or her duties to the Company or any Affiliate; or</w:t>
      </w:r>
    </w:p>
    <w:p>
      <w:pPr>
        <w:spacing w:after="0" w:line="161" w:lineRule="exact"/>
        <w:rPr>
          <w:rFonts w:ascii="Times New Roman" w:cs="Times New Roman" w:eastAsia="Times New Roman" w:hAnsi="Times New Roman"/>
          <w:sz w:val="18"/>
          <w:szCs w:val="18"/>
          <w:color w:val="auto"/>
        </w:rPr>
      </w:pPr>
    </w:p>
    <w:p>
      <w:pPr>
        <w:ind w:left="1630" w:hanging="852"/>
        <w:spacing w:after="0"/>
        <w:tabs>
          <w:tab w:leader="none" w:pos="163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of an act of fraud, embezzlement or misappropriation, in each case, against the Company or any Affiliate.</w:t>
      </w:r>
    </w:p>
    <w:p>
      <w:pPr>
        <w:spacing w:after="0" w:line="221" w:lineRule="exact"/>
        <w:rPr>
          <w:rFonts w:ascii="Times New Roman" w:cs="Times New Roman" w:eastAsia="Times New Roman" w:hAnsi="Times New Roman"/>
          <w:sz w:val="18"/>
          <w:szCs w:val="18"/>
          <w:color w:val="auto"/>
        </w:rPr>
      </w:pPr>
    </w:p>
    <w:p>
      <w:pPr>
        <w:ind w:left="750" w:hanging="750"/>
        <w:spacing w:after="0"/>
        <w:tabs>
          <w:tab w:leader="none" w:pos="7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the occurrence of any one or more of the following events:</w:t>
      </w:r>
    </w:p>
    <w:p>
      <w:pPr>
        <w:spacing w:after="0" w:line="229" w:lineRule="exact"/>
        <w:rPr>
          <w:rFonts w:ascii="Times New Roman" w:cs="Times New Roman" w:eastAsia="Times New Roman" w:hAnsi="Times New Roman"/>
          <w:sz w:val="18"/>
          <w:szCs w:val="18"/>
          <w:color w:val="auto"/>
        </w:rPr>
      </w:pPr>
    </w:p>
    <w:p>
      <w:pPr>
        <w:ind w:left="-190" w:right="40" w:firstLine="968"/>
        <w:spacing w:after="0" w:line="255" w:lineRule="auto"/>
        <w:tabs>
          <w:tab w:leader="none" w:pos="149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(other than the Company, any trustee or other fiduciary holding securities under any employee benefit plan of the Company, or any company owned, directly or indirectly, by the shareholders of the Company immediately prior to the occurrence with respect to which the evaluation is being made in substantially the same proportions as their ownership of the common shares of the Company) becomes the Beneficial Owner (except that a Person shall be deemed to be the Beneficial Owner of all shares that any such Person has the right to acquire pursuant to any agreement or arrangement or upon exercise of conversion rights, warrants or options or otherwise, without regard to the 60-day period referred to in Rule 13d-3 under the Exchange Act), directly or indirectly, of securities of the Company representing 50% or more of the combined voting power of the Company’s then outstanding securities;</w:t>
      </w:r>
    </w:p>
    <w:p>
      <w:pPr>
        <w:spacing w:after="0" w:line="188" w:lineRule="exact"/>
        <w:rPr>
          <w:rFonts w:ascii="Times New Roman" w:cs="Times New Roman" w:eastAsia="Times New Roman" w:hAnsi="Times New Roman"/>
          <w:sz w:val="18"/>
          <w:szCs w:val="18"/>
          <w:color w:val="auto"/>
        </w:rPr>
      </w:pPr>
    </w:p>
    <w:p>
      <w:pPr>
        <w:ind w:left="-190" w:firstLine="968"/>
        <w:spacing w:after="0" w:line="261" w:lineRule="auto"/>
        <w:tabs>
          <w:tab w:leader="none" w:pos="154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12 consecutive months, individuals who at the beginning of such period constitute the Board, and any new director whose election by the Board or nomination for election by the Company’s shareholders was approved by a vote of at least a majority of the directors then still in office who either were directors at the beginning of such 12-month period or whose election or nomination for election was previously so approved, cease for any reason to constitute at least a majority of the Board;</w:t>
      </w:r>
    </w:p>
    <w:p>
      <w:pPr>
        <w:spacing w:after="0" w:line="179" w:lineRule="exact"/>
        <w:rPr>
          <w:rFonts w:ascii="Times New Roman" w:cs="Times New Roman" w:eastAsia="Times New Roman" w:hAnsi="Times New Roman"/>
          <w:sz w:val="18"/>
          <w:szCs w:val="18"/>
          <w:color w:val="auto"/>
        </w:rPr>
      </w:pPr>
    </w:p>
    <w:p>
      <w:pPr>
        <w:ind w:left="-190" w:right="20" w:firstLine="968"/>
        <w:spacing w:after="0" w:line="261" w:lineRule="auto"/>
        <w:tabs>
          <w:tab w:leader="none" w:pos="159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amalgamation or consolidation of the Company with any other entity, other than a merger, amalgamation or consolidation that would result in the voting securities of the Company outstanding immediately prior thereto continuing to represent (either by remaining outstanding or by being converted into voting securities of the surviving or resulting entity) more than 50% of the combined</w:t>
      </w:r>
    </w:p>
    <w:p>
      <w:pPr>
        <w:spacing w:after="0" w:line="288" w:lineRule="exact"/>
        <w:rPr>
          <w:sz w:val="20"/>
          <w:szCs w:val="20"/>
          <w:color w:val="auto"/>
        </w:rPr>
      </w:pPr>
    </w:p>
    <w:p>
      <w:pPr>
        <w:ind w:left="471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370"/>
          </w:cols>
          <w:pgMar w:left="1170" w:top="580" w:right="35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voting power of the surviving or resulting entity outstanding immediately after such merger, amalgamation or consolidation; or</w:t>
      </w:r>
    </w:p>
    <w:p>
      <w:pPr>
        <w:spacing w:after="0" w:line="225" w:lineRule="exact"/>
        <w:rPr>
          <w:sz w:val="20"/>
          <w:szCs w:val="20"/>
          <w:color w:val="auto"/>
        </w:rPr>
      </w:pPr>
    </w:p>
    <w:p>
      <w:pPr>
        <w:ind w:left="660" w:right="20" w:firstLine="968"/>
        <w:spacing w:after="0" w:line="255" w:lineRule="auto"/>
        <w:tabs>
          <w:tab w:leader="none" w:pos="243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transaction (or series of transactions within a 12-month period) that constitutes the sale or disposition of all or substantially all of the consolidated assets of the Company having a gross fair market value of 50% or more of the total gross fair market value of all of the consolidated assets of the Company (other than such a sale or disposition immediately after which such assets will be owned directly or indirectly by the shareholders of the Company in substantially the same proportions as their ownership of the common shares of the Company immediately prior to such sale or disposition), and the subsequent distribution of the proceeds from such transaction (or series of transactions) to the Company’s shareholders having a fair market value that is greater than 50% of the fair market value of the Company and its subsidiaries immediately prior to such transaction (or series of transactions).</w:t>
      </w:r>
    </w:p>
    <w:p>
      <w:pPr>
        <w:spacing w:after="0" w:line="184" w:lineRule="exact"/>
        <w:rPr>
          <w:rFonts w:ascii="Times New Roman" w:cs="Times New Roman" w:eastAsia="Times New Roman" w:hAnsi="Times New Roman"/>
          <w:sz w:val="18"/>
          <w:szCs w:val="18"/>
          <w:color w:val="auto"/>
        </w:rPr>
      </w:pPr>
    </w:p>
    <w:p>
      <w:pPr>
        <w:ind w:right="840" w:firstLine="850"/>
        <w:spacing w:after="0" w:line="286" w:lineRule="auto"/>
        <w:tabs>
          <w:tab w:leader="none" w:pos="159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 from time to time, and the rules, regulations and guidance thereunder. Any reference to a provision in the Code shall include any successor provision thereto.</w:t>
      </w:r>
    </w:p>
    <w:p>
      <w:pPr>
        <w:spacing w:after="0" w:line="154" w:lineRule="exact"/>
        <w:rPr>
          <w:rFonts w:ascii="Times New Roman" w:cs="Times New Roman" w:eastAsia="Times New Roman" w:hAnsi="Times New Roman"/>
          <w:sz w:val="18"/>
          <w:szCs w:val="18"/>
          <w:color w:val="auto"/>
        </w:rPr>
      </w:pPr>
    </w:p>
    <w:p>
      <w:pPr>
        <w:ind w:right="100" w:firstLine="850"/>
        <w:spacing w:after="0" w:line="286" w:lineRule="auto"/>
        <w:tabs>
          <w:tab w:leader="none" w:pos="159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Compensation Committee of the Board or such other committee as may be designated by the Board. If the Board does not designate the Committee, references herein to the “Committee” shall refer to the Board.</w:t>
      </w:r>
    </w:p>
    <w:p>
      <w:pPr>
        <w:spacing w:after="0" w:line="154" w:lineRule="exact"/>
        <w:rPr>
          <w:rFonts w:ascii="Times New Roman" w:cs="Times New Roman" w:eastAsia="Times New Roman" w:hAnsi="Times New Roman"/>
          <w:sz w:val="18"/>
          <w:szCs w:val="18"/>
          <w:color w:val="auto"/>
        </w:rPr>
      </w:pPr>
    </w:p>
    <w:p>
      <w:pPr>
        <w:ind w:right="40" w:firstLine="850"/>
        <w:spacing w:after="0" w:line="262" w:lineRule="auto"/>
        <w:tabs>
          <w:tab w:leader="none" w:pos="15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Employee</w:t>
      </w:r>
      <w:r>
        <w:rPr>
          <w:rFonts w:ascii="Times New Roman" w:cs="Times New Roman" w:eastAsia="Times New Roman" w:hAnsi="Times New Roman"/>
          <w:sz w:val="18"/>
          <w:szCs w:val="18"/>
          <w:color w:val="auto"/>
        </w:rPr>
        <w:t>” means an individual who is, for a given fiscal year of the Company, (i) a “covered employee” within the meaning of Section 162(m) of the Code or (ii) designated by the Committee by not later than 90 days following the start of such year (or such other time as may be required or permitted by Section 162(m) of the Code) as an individual whose compensation for such fiscal year may be subject to the limit on deductible compensation imposed by Section 162(m) of the Code.</w:t>
      </w:r>
    </w:p>
    <w:p>
      <w:pPr>
        <w:spacing w:after="0" w:line="176" w:lineRule="exact"/>
        <w:rPr>
          <w:rFonts w:ascii="Times New Roman" w:cs="Times New Roman" w:eastAsia="Times New Roman" w:hAnsi="Times New Roman"/>
          <w:sz w:val="18"/>
          <w:szCs w:val="18"/>
          <w:color w:val="auto"/>
        </w:rPr>
      </w:pPr>
    </w:p>
    <w:p>
      <w:pPr>
        <w:ind w:firstLine="850"/>
        <w:spacing w:after="0" w:line="272" w:lineRule="auto"/>
        <w:tabs>
          <w:tab w:leader="none" w:pos="159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Disability</w:t>
      </w:r>
      <w:r>
        <w:rPr>
          <w:rFonts w:ascii="Times New Roman" w:cs="Times New Roman" w:eastAsia="Times New Roman" w:hAnsi="Times New Roman"/>
          <w:sz w:val="17"/>
          <w:szCs w:val="17"/>
          <w:color w:val="auto"/>
        </w:rPr>
        <w:t xml:space="preserve">” means, with respect to any Participant, “disability” as defined in such Participant’s Employment Agreement, if any, or if not so defined, except as otherwise provided in such Participant’s Award Document, at any time that the Company or any Affiliate sponsors a long-term disability plan that covers such Participant, “disability” as defined in such plan for the purpose of determining such Participant’s eligibility for benefits;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if such plan contains multiple definitions of disability, then “Disability” shall refer to that definition of disability which, if Participant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qualified for such benefits, would provide coverage for the longest period. The determination of whether Participant has a Disability shall be made by the person or persons required to make final disability determinations under such plan. At any time that the Company and the Affiliates do not sponsor a long-term disability plan that covers such Participant, Disability shall mean Participant’s physical or mental incapacity that renders him or her unable for a period of 90 consecutive days or an aggregate of 120 days in any consecutive 12-month period to perform his or her duties to the Company or any Affiliate.</w:t>
      </w:r>
    </w:p>
    <w:p>
      <w:pPr>
        <w:spacing w:after="0" w:line="171" w:lineRule="exact"/>
        <w:rPr>
          <w:rFonts w:ascii="Times New Roman" w:cs="Times New Roman" w:eastAsia="Times New Roman" w:hAnsi="Times New Roman"/>
          <w:sz w:val="17"/>
          <w:szCs w:val="17"/>
          <w:color w:val="auto"/>
        </w:rPr>
      </w:pPr>
    </w:p>
    <w:p>
      <w:pPr>
        <w:ind w:firstLine="850"/>
        <w:spacing w:after="0" w:line="286" w:lineRule="auto"/>
        <w:tabs>
          <w:tab w:leader="none" w:pos="168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 means any employment, severance, consulting or similar agreement between the Company or any of its Affiliates and a Participant.</w:t>
      </w: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1" w:name="page12"/>
    <w:bookmarkEnd w:id="11"/>
    <w:p>
      <w:pPr>
        <w:ind w:right="100" w:firstLine="850"/>
        <w:spacing w:after="0" w:line="286" w:lineRule="auto"/>
        <w:tabs>
          <w:tab w:leader="none" w:pos="15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from time to time, and the rules, regulations and guidance thereunder. Any reference to a provision in the Exchange Act shall include any successor provision thereto.</w:t>
      </w:r>
    </w:p>
    <w:p>
      <w:pPr>
        <w:spacing w:after="0" w:line="154" w:lineRule="exact"/>
        <w:rPr>
          <w:rFonts w:ascii="Times New Roman" w:cs="Times New Roman" w:eastAsia="Times New Roman" w:hAnsi="Times New Roman"/>
          <w:sz w:val="18"/>
          <w:szCs w:val="18"/>
          <w:color w:val="auto"/>
        </w:rPr>
      </w:pPr>
    </w:p>
    <w:p>
      <w:pPr>
        <w:ind w:firstLine="850"/>
        <w:spacing w:after="0" w:line="262" w:lineRule="auto"/>
        <w:tabs>
          <w:tab w:leader="none" w:pos="15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with respect to Shares, the closing price of a Share on the date in question (or, if there is no reported sale on such date, on the last preceding date on which any reported sale occurred) on the principal stock market or exchange on which the Shares are quoted or traded, or if Shares are not so quoted or traded, fair market value as determined by the Committee, and with respect to any property other than Shares, the fair market value of such property determined by such methods or procedures as shall be established from time to time by the Committee.</w:t>
      </w:r>
    </w:p>
    <w:p>
      <w:pPr>
        <w:spacing w:after="0" w:line="176" w:lineRule="exact"/>
        <w:rPr>
          <w:rFonts w:ascii="Times New Roman" w:cs="Times New Roman" w:eastAsia="Times New Roman" w:hAnsi="Times New Roman"/>
          <w:sz w:val="18"/>
          <w:szCs w:val="18"/>
          <w:color w:val="auto"/>
        </w:rPr>
      </w:pPr>
    </w:p>
    <w:p>
      <w:pPr>
        <w:jc w:val="both"/>
        <w:ind w:right="220" w:firstLine="850"/>
        <w:spacing w:after="0" w:line="268" w:lineRule="auto"/>
        <w:tabs>
          <w:tab w:leader="none" w:pos="15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means, with respect to any Participant, “good reason” as defined in such Participant’s Employment Agreement, if any, or if not so defined, except as otherwise provided in such Participant’s Award Document, the occurrence of any of the following events, in each case without such Participant’s consent:</w:t>
      </w:r>
    </w:p>
    <w:p>
      <w:pPr>
        <w:spacing w:after="0" w:line="174" w:lineRule="exact"/>
        <w:rPr>
          <w:rFonts w:ascii="Times New Roman" w:cs="Times New Roman" w:eastAsia="Times New Roman" w:hAnsi="Times New Roman"/>
          <w:sz w:val="18"/>
          <w:szCs w:val="18"/>
          <w:color w:val="auto"/>
        </w:rPr>
      </w:pPr>
    </w:p>
    <w:p>
      <w:pPr>
        <w:ind w:left="660" w:right="640" w:firstLine="968"/>
        <w:spacing w:after="0" w:line="282" w:lineRule="auto"/>
        <w:tabs>
          <w:tab w:leader="none" w:pos="234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such Participant’s base salary or target bonus, other than any such reduction that applies generally to similarly situated employees of the Company and the Affiliates;</w:t>
      </w:r>
    </w:p>
    <w:p>
      <w:pPr>
        <w:spacing w:after="0" w:line="161" w:lineRule="exact"/>
        <w:rPr>
          <w:rFonts w:ascii="Times New Roman" w:cs="Times New Roman" w:eastAsia="Times New Roman" w:hAnsi="Times New Roman"/>
          <w:sz w:val="18"/>
          <w:szCs w:val="18"/>
          <w:color w:val="auto"/>
        </w:rPr>
      </w:pPr>
    </w:p>
    <w:p>
      <w:pPr>
        <w:ind w:left="2380" w:hanging="752"/>
        <w:spacing w:after="0"/>
        <w:tabs>
          <w:tab w:leader="none" w:pos="23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relocation of the geographic location of such Participant’s principal place of employment by more than 50 miles; or</w:t>
      </w:r>
    </w:p>
    <w:p>
      <w:pPr>
        <w:spacing w:after="0" w:line="225" w:lineRule="exact"/>
        <w:rPr>
          <w:rFonts w:ascii="Times New Roman" w:cs="Times New Roman" w:eastAsia="Times New Roman" w:hAnsi="Times New Roman"/>
          <w:sz w:val="18"/>
          <w:szCs w:val="18"/>
          <w:color w:val="auto"/>
        </w:rPr>
      </w:pPr>
    </w:p>
    <w:p>
      <w:pPr>
        <w:ind w:left="2440" w:hanging="812"/>
        <w:spacing w:after="0"/>
        <w:tabs>
          <w:tab w:leader="none" w:pos="24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such Participant’s duties or responsibilities that occurs within two years following a Change in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w:t>
      </w:r>
    </w:p>
    <w:p>
      <w:pPr>
        <w:spacing w:after="0" w:line="20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each case, (A) such Participant shall provide the Company with written notice specifying the circumstances alleged to constitute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 within 90 days following the first occurrence of such circumstances, (B) the Company shall have 30 days following receipt of such notice to cure such circumstances, and (C) if the Company has not cured such circumstances within such 30-day period, then the date of such Participant’s Termination of Service must occur not later than 60 days after the end of such 30-day period.</w:t>
      </w:r>
    </w:p>
    <w:p>
      <w:pPr>
        <w:spacing w:after="0" w:line="178" w:lineRule="exact"/>
        <w:rPr>
          <w:sz w:val="20"/>
          <w:szCs w:val="20"/>
          <w:color w:val="auto"/>
        </w:rPr>
      </w:pPr>
    </w:p>
    <w:p>
      <w:pPr>
        <w:ind w:right="60" w:firstLine="850"/>
        <w:spacing w:after="0" w:line="286" w:lineRule="auto"/>
        <w:tabs>
          <w:tab w:leader="none" w:pos="15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Stock Option</w:t>
      </w:r>
      <w:r>
        <w:rPr>
          <w:rFonts w:ascii="Times New Roman" w:cs="Times New Roman" w:eastAsia="Times New Roman" w:hAnsi="Times New Roman"/>
          <w:sz w:val="18"/>
          <w:szCs w:val="18"/>
          <w:color w:val="auto"/>
        </w:rPr>
        <w:t>” means an option representing the right to purchase Shares from the Company, granted pursuant to Section 6, that meets the requirements of Section 422 of the Code.</w:t>
      </w:r>
    </w:p>
    <w:p>
      <w:pPr>
        <w:spacing w:after="0" w:line="154" w:lineRule="exact"/>
        <w:rPr>
          <w:rFonts w:ascii="Times New Roman" w:cs="Times New Roman" w:eastAsia="Times New Roman" w:hAnsi="Times New Roman"/>
          <w:sz w:val="18"/>
          <w:szCs w:val="18"/>
          <w:color w:val="auto"/>
        </w:rPr>
      </w:pPr>
    </w:p>
    <w:p>
      <w:pPr>
        <w:jc w:val="both"/>
        <w:ind w:right="220" w:firstLine="850"/>
        <w:spacing w:after="0" w:line="268" w:lineRule="auto"/>
        <w:tabs>
          <w:tab w:leader="none" w:pos="160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Intrinsic Value</w:t>
      </w:r>
      <w:r>
        <w:rPr>
          <w:rFonts w:ascii="Times New Roman" w:cs="Times New Roman" w:eastAsia="Times New Roman" w:hAnsi="Times New Roman"/>
          <w:sz w:val="18"/>
          <w:szCs w:val="18"/>
          <w:color w:val="auto"/>
        </w:rPr>
        <w:t xml:space="preserve">” means, with respect to an Option or SAR Award, the product of (i) the excess, if any, of (A) the price or implied price per Share in a Change in Control or other event over (B) the exercise or hurdle price of such Award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(ii) the number of Shares covered by such Award.</w:t>
      </w:r>
    </w:p>
    <w:p>
      <w:pPr>
        <w:spacing w:after="0" w:line="170" w:lineRule="exact"/>
        <w:rPr>
          <w:rFonts w:ascii="Times New Roman" w:cs="Times New Roman" w:eastAsia="Times New Roman" w:hAnsi="Times New Roman"/>
          <w:sz w:val="18"/>
          <w:szCs w:val="18"/>
          <w:color w:val="auto"/>
        </w:rPr>
      </w:pPr>
    </w:p>
    <w:p>
      <w:pPr>
        <w:ind w:right="260" w:firstLine="850"/>
        <w:spacing w:after="0" w:line="286" w:lineRule="auto"/>
        <w:tabs>
          <w:tab w:leader="none" w:pos="15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Non-Qualified Stock Option</w:t>
      </w:r>
      <w:r>
        <w:rPr>
          <w:rFonts w:ascii="Times New Roman" w:cs="Times New Roman" w:eastAsia="Times New Roman" w:hAnsi="Times New Roman"/>
          <w:sz w:val="18"/>
          <w:szCs w:val="18"/>
          <w:color w:val="auto"/>
        </w:rPr>
        <w:t>” means an option representing the right to purchase Shares from the Company, granted pursuant to Section 6, that is not an Incentive Stock Option.</w:t>
      </w:r>
    </w:p>
    <w:p>
      <w:pPr>
        <w:spacing w:after="0" w:line="154" w:lineRule="exact"/>
        <w:rPr>
          <w:rFonts w:ascii="Times New Roman" w:cs="Times New Roman" w:eastAsia="Times New Roman" w:hAnsi="Times New Roman"/>
          <w:sz w:val="18"/>
          <w:szCs w:val="18"/>
          <w:color w:val="auto"/>
        </w:rPr>
      </w:pPr>
    </w:p>
    <w:p>
      <w:pPr>
        <w:ind w:left="1600" w:hanging="750"/>
        <w:spacing w:after="0"/>
        <w:tabs>
          <w:tab w:leader="none" w:pos="1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an Incentive Stock Option or a Non-Qualified Stock Option.</w:t>
      </w: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ind w:left="1600" w:hanging="750"/>
        <w:spacing w:after="0"/>
        <w:tabs>
          <w:tab w:leader="none" w:pos="1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Stock-Based Award</w:t>
      </w:r>
      <w:r>
        <w:rPr>
          <w:rFonts w:ascii="Times New Roman" w:cs="Times New Roman" w:eastAsia="Times New Roman" w:hAnsi="Times New Roman"/>
          <w:sz w:val="18"/>
          <w:szCs w:val="18"/>
          <w:color w:val="auto"/>
        </w:rPr>
        <w:t>” means an Award granted pursuant to Section 10.</w:t>
      </w:r>
    </w:p>
    <w:p>
      <w:pPr>
        <w:spacing w:after="0" w:line="225" w:lineRule="exact"/>
        <w:rPr>
          <w:rFonts w:ascii="Times New Roman" w:cs="Times New Roman" w:eastAsia="Times New Roman" w:hAnsi="Times New Roman"/>
          <w:sz w:val="18"/>
          <w:szCs w:val="18"/>
          <w:color w:val="auto"/>
        </w:rPr>
      </w:pPr>
    </w:p>
    <w:p>
      <w:pPr>
        <w:ind w:left="1600" w:hanging="750"/>
        <w:spacing w:after="0"/>
        <w:tabs>
          <w:tab w:leader="none" w:pos="1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the recipient of an Award granted under the Plan.</w:t>
      </w:r>
    </w:p>
    <w:p>
      <w:pPr>
        <w:spacing w:after="0" w:line="225" w:lineRule="exact"/>
        <w:rPr>
          <w:rFonts w:ascii="Times New Roman" w:cs="Times New Roman" w:eastAsia="Times New Roman" w:hAnsi="Times New Roman"/>
          <w:sz w:val="18"/>
          <w:szCs w:val="18"/>
          <w:color w:val="auto"/>
        </w:rPr>
      </w:pPr>
    </w:p>
    <w:p>
      <w:pPr>
        <w:ind w:left="1680" w:hanging="830"/>
        <w:spacing w:after="0"/>
        <w:tabs>
          <w:tab w:leader="none" w:pos="1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Award</w:t>
      </w:r>
      <w:r>
        <w:rPr>
          <w:rFonts w:ascii="Times New Roman" w:cs="Times New Roman" w:eastAsia="Times New Roman" w:hAnsi="Times New Roman"/>
          <w:sz w:val="18"/>
          <w:szCs w:val="18"/>
          <w:color w:val="auto"/>
        </w:rPr>
        <w:t>” means an Award granted pursuant to Section 9.</w:t>
      </w:r>
    </w:p>
    <w:p>
      <w:pPr>
        <w:spacing w:after="0" w:line="225" w:lineRule="exact"/>
        <w:rPr>
          <w:rFonts w:ascii="Times New Roman" w:cs="Times New Roman" w:eastAsia="Times New Roman" w:hAnsi="Times New Roman"/>
          <w:sz w:val="18"/>
          <w:szCs w:val="18"/>
          <w:color w:val="auto"/>
        </w:rPr>
      </w:pPr>
    </w:p>
    <w:p>
      <w:pPr>
        <w:ind w:right="80" w:firstLine="850"/>
        <w:spacing w:after="0" w:line="286" w:lineRule="auto"/>
        <w:tabs>
          <w:tab w:leader="none" w:pos="15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means the period established by the Committee at the time any Performance Award is granted or at any time thereafter during which any performance goals specified by the Committee with respect to such Award are measured.</w:t>
      </w:r>
    </w:p>
    <w:p>
      <w:pPr>
        <w:spacing w:after="0" w:line="154" w:lineRule="exact"/>
        <w:rPr>
          <w:rFonts w:ascii="Times New Roman" w:cs="Times New Roman" w:eastAsia="Times New Roman" w:hAnsi="Times New Roman"/>
          <w:sz w:val="18"/>
          <w:szCs w:val="18"/>
          <w:color w:val="auto"/>
        </w:rPr>
      </w:pPr>
    </w:p>
    <w:p>
      <w:pPr>
        <w:ind w:right="20" w:firstLine="850"/>
        <w:spacing w:after="0" w:line="286" w:lineRule="auto"/>
        <w:tabs>
          <w:tab w:leader="none" w:pos="15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has the meaning ascribed to such term in Section 3(a)(9) of the Exchange Act and used in Sections 13(d) and 14(d) thereof, including “group” as defined in Section 13(d) thereof.</w:t>
      </w:r>
    </w:p>
    <w:p>
      <w:pPr>
        <w:spacing w:after="0" w:line="154" w:lineRule="exact"/>
        <w:rPr>
          <w:rFonts w:ascii="Times New Roman" w:cs="Times New Roman" w:eastAsia="Times New Roman" w:hAnsi="Times New Roman"/>
          <w:sz w:val="18"/>
          <w:szCs w:val="18"/>
          <w:color w:val="auto"/>
        </w:rPr>
      </w:pPr>
    </w:p>
    <w:p>
      <w:pPr>
        <w:ind w:right="40" w:firstLine="850"/>
        <w:spacing w:after="0" w:line="286" w:lineRule="auto"/>
        <w:tabs>
          <w:tab w:leader="none" w:pos="158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Award</w:t>
      </w:r>
      <w:r>
        <w:rPr>
          <w:rFonts w:ascii="Times New Roman" w:cs="Times New Roman" w:eastAsia="Times New Roman" w:hAnsi="Times New Roman"/>
          <w:sz w:val="18"/>
          <w:szCs w:val="18"/>
          <w:color w:val="auto"/>
        </w:rPr>
        <w:t>” means an Award granted in assumption of, or in substitution for, an outstanding award previously granted by a company or other business acquired by the Company or with which the Company combines.</w:t>
      </w:r>
    </w:p>
    <w:p>
      <w:pPr>
        <w:spacing w:after="0" w:line="155" w:lineRule="exact"/>
        <w:rPr>
          <w:sz w:val="20"/>
          <w:szCs w:val="20"/>
          <w:color w:val="auto"/>
        </w:rPr>
      </w:pPr>
    </w:p>
    <w:p>
      <w:pPr>
        <w:ind w:left="1720" w:hanging="870"/>
        <w:spacing w:after="0"/>
        <w:tabs>
          <w:tab w:leader="none" w:pos="1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means any Share granted pursuant to Section 8.</w:t>
      </w:r>
    </w:p>
    <w:p>
      <w:pPr>
        <w:spacing w:after="0" w:line="225" w:lineRule="exact"/>
        <w:rPr>
          <w:rFonts w:ascii="Times New Roman" w:cs="Times New Roman" w:eastAsia="Times New Roman" w:hAnsi="Times New Roman"/>
          <w:sz w:val="18"/>
          <w:szCs w:val="18"/>
          <w:color w:val="auto"/>
        </w:rPr>
      </w:pPr>
    </w:p>
    <w:p>
      <w:pPr>
        <w:ind w:right="180" w:firstLine="850"/>
        <w:spacing w:after="0" w:line="268" w:lineRule="auto"/>
        <w:tabs>
          <w:tab w:leader="none" w:pos="168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 means a contractual right granted pursuant to Section 8 that is denominated in Shares. Each RSU represents a right to receive the value of one Share (or a percentage of such value) in cash, Shares or a combination thereof. Awards of RSUs may include the right to receive dividend equivalents.</w:t>
      </w:r>
    </w:p>
    <w:p>
      <w:pPr>
        <w:spacing w:after="0" w:line="170" w:lineRule="exact"/>
        <w:rPr>
          <w:rFonts w:ascii="Times New Roman" w:cs="Times New Roman" w:eastAsia="Times New Roman" w:hAnsi="Times New Roman"/>
          <w:sz w:val="18"/>
          <w:szCs w:val="18"/>
          <w:color w:val="auto"/>
        </w:rPr>
      </w:pPr>
    </w:p>
    <w:p>
      <w:pPr>
        <w:jc w:val="both"/>
        <w:ind w:right="220" w:firstLine="850"/>
        <w:spacing w:after="0" w:line="268" w:lineRule="auto"/>
        <w:tabs>
          <w:tab w:leader="none" w:pos="170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w:t>
      </w:r>
      <w:r>
        <w:rPr>
          <w:rFonts w:ascii="Times New Roman" w:cs="Times New Roman" w:eastAsia="Times New Roman" w:hAnsi="Times New Roman"/>
          <w:sz w:val="18"/>
          <w:szCs w:val="18"/>
          <w:color w:val="auto"/>
        </w:rPr>
        <w:t>” means any right granted pursuant to Section 7 to receive upon exercise by a Participant or settlement, in cash, Shares or a combination thereof, the excess of (i) the Fair Market Value of one Share on the date of exercise or settlement over (ii) the exercise or hurdle price of the right on the date of grant, or if granted in connection with an Option, on the date of grant of the Option.</w:t>
      </w:r>
    </w:p>
    <w:p>
      <w:pPr>
        <w:spacing w:after="0" w:line="170" w:lineRule="exact"/>
        <w:rPr>
          <w:rFonts w:ascii="Times New Roman" w:cs="Times New Roman" w:eastAsia="Times New Roman" w:hAnsi="Times New Roman"/>
          <w:sz w:val="18"/>
          <w:szCs w:val="18"/>
          <w:color w:val="auto"/>
        </w:rPr>
      </w:pPr>
    </w:p>
    <w:p>
      <w:pPr>
        <w:ind w:left="1680" w:hanging="830"/>
        <w:spacing w:after="0"/>
        <w:tabs>
          <w:tab w:leader="none" w:pos="1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162(m) Compensation</w:t>
      </w:r>
      <w:r>
        <w:rPr>
          <w:rFonts w:ascii="Times New Roman" w:cs="Times New Roman" w:eastAsia="Times New Roman" w:hAnsi="Times New Roman"/>
          <w:sz w:val="18"/>
          <w:szCs w:val="18"/>
          <w:color w:val="auto"/>
        </w:rPr>
        <w:t>” means “qualified performance-based compensation” under Section 162(m) of the Code.</w:t>
      </w:r>
    </w:p>
    <w:p>
      <w:pPr>
        <w:spacing w:after="0" w:line="225" w:lineRule="exact"/>
        <w:rPr>
          <w:rFonts w:ascii="Times New Roman" w:cs="Times New Roman" w:eastAsia="Times New Roman" w:hAnsi="Times New Roman"/>
          <w:sz w:val="18"/>
          <w:szCs w:val="18"/>
          <w:color w:val="auto"/>
        </w:rPr>
      </w:pPr>
    </w:p>
    <w:p>
      <w:pPr>
        <w:ind w:left="1720" w:hanging="870"/>
        <w:spacing w:after="0"/>
        <w:tabs>
          <w:tab w:leader="none" w:pos="1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shares of the Company’s common shares.</w:t>
      </w:r>
    </w:p>
    <w:p>
      <w:pPr>
        <w:spacing w:after="0" w:line="225" w:lineRule="exact"/>
        <w:rPr>
          <w:rFonts w:ascii="Times New Roman" w:cs="Times New Roman" w:eastAsia="Times New Roman" w:hAnsi="Times New Roman"/>
          <w:sz w:val="18"/>
          <w:szCs w:val="18"/>
          <w:color w:val="auto"/>
        </w:rPr>
      </w:pPr>
    </w:p>
    <w:p>
      <w:pPr>
        <w:ind w:left="1680" w:hanging="830"/>
        <w:spacing w:after="0"/>
        <w:tabs>
          <w:tab w:leader="none" w:pos="1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of Service</w:t>
      </w:r>
      <w:r>
        <w:rPr>
          <w:rFonts w:ascii="Times New Roman" w:cs="Times New Roman" w:eastAsia="Times New Roman" w:hAnsi="Times New Roman"/>
          <w:sz w:val="18"/>
          <w:szCs w:val="18"/>
          <w:color w:val="auto"/>
        </w:rPr>
        <w:t>” means, with respect to any Participant:</w:t>
      </w:r>
    </w:p>
    <w:p>
      <w:pPr>
        <w:spacing w:after="0" w:line="229" w:lineRule="exact"/>
        <w:rPr>
          <w:rFonts w:ascii="Times New Roman" w:cs="Times New Roman" w:eastAsia="Times New Roman" w:hAnsi="Times New Roman"/>
          <w:sz w:val="18"/>
          <w:szCs w:val="18"/>
          <w:color w:val="auto"/>
        </w:rPr>
      </w:pPr>
    </w:p>
    <w:p>
      <w:pPr>
        <w:ind w:left="2340" w:hanging="712"/>
        <w:spacing w:after="0"/>
        <w:tabs>
          <w:tab w:leader="none" w:pos="23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cessation of all services performed by such Participant for the Company and the Affiliates, including by reason of death</w:t>
      </w:r>
    </w:p>
    <w:p>
      <w:pPr>
        <w:spacing w:after="0" w:line="38"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 Disability; or</w:t>
      </w:r>
    </w:p>
    <w:p>
      <w:pPr>
        <w:spacing w:after="0" w:line="206" w:lineRule="exact"/>
        <w:rPr>
          <w:rFonts w:ascii="Times New Roman" w:cs="Times New Roman" w:eastAsia="Times New Roman" w:hAnsi="Times New Roman"/>
          <w:sz w:val="17"/>
          <w:szCs w:val="17"/>
          <w:color w:val="auto"/>
        </w:rPr>
      </w:pPr>
    </w:p>
    <w:p>
      <w:pPr>
        <w:jc w:val="both"/>
        <w:ind w:left="660" w:firstLine="968"/>
        <w:spacing w:after="0" w:line="261" w:lineRule="auto"/>
        <w:tabs>
          <w:tab w:leader="none" w:pos="239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permanent decrease in the level of services performed by such Participant for the Company and the Affiliates (whether as an employee or as an independent contractor) to no more than 20 percent of the average level of services performed (whether as an employee or an independent contractor) over the immediately preceding 36-month period (or the full period of services to the Company and the Affiliates, if such Participant has been providing such services for less than 36 months).</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3" w:name="page14"/>
    <w:bookmarkEnd w:id="13"/>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i w:val="1"/>
          <w:iCs w:val="1"/>
          <w:color w:val="auto"/>
        </w:rPr>
        <w:t>Eligibility</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0" w:firstLine="850"/>
        <w:spacing w:after="0" w:line="282" w:lineRule="auto"/>
        <w:tabs>
          <w:tab w:leader="none" w:pos="158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non-employee director, consultant or other advisor of, or any other individual who provides services to, the Company or any Affiliate shall be eligible to be selected to receive an Award under the Plan.</w:t>
      </w:r>
    </w:p>
    <w:p>
      <w:pPr>
        <w:spacing w:after="0" w:line="161" w:lineRule="exact"/>
        <w:rPr>
          <w:rFonts w:ascii="Times New Roman" w:cs="Times New Roman" w:eastAsia="Times New Roman" w:hAnsi="Times New Roman"/>
          <w:sz w:val="18"/>
          <w:szCs w:val="18"/>
          <w:color w:val="auto"/>
        </w:rPr>
      </w:pPr>
    </w:p>
    <w:p>
      <w:pPr>
        <w:ind w:right="60" w:firstLine="850"/>
        <w:spacing w:after="0" w:line="282" w:lineRule="auto"/>
        <w:tabs>
          <w:tab w:leader="none" w:pos="15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options and other types of awards granted by a company acquired by the Company or with which the Company combines are eligible for grants of Replacement Awards under the Plan.</w:t>
      </w:r>
    </w:p>
    <w:p>
      <w:pPr>
        <w:spacing w:after="0" w:line="160"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i w:val="1"/>
          <w:iCs w:val="1"/>
          <w:color w:val="auto"/>
        </w:rPr>
        <w:t>Administration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00" w:firstLine="850"/>
        <w:spacing w:after="0" w:line="261" w:lineRule="auto"/>
        <w:tabs>
          <w:tab w:leader="none" w:pos="158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be administered by the Committee. The Committee shall be appointed by the Board and shall consist of not fewer than three directors of the Board. All decisions of the Committee shall be final, conclusive and binding upon all parties, including the Company, its shareholders, Participants and any Beneficiaries thereof. The Committee may issue rules and regulations for the administration of the Plan. It shall meet at such times and places as it may determine.</w:t>
      </w:r>
    </w:p>
    <w:p>
      <w:pPr>
        <w:spacing w:after="0" w:line="179" w:lineRule="exact"/>
        <w:rPr>
          <w:rFonts w:ascii="Times New Roman" w:cs="Times New Roman" w:eastAsia="Times New Roman" w:hAnsi="Times New Roman"/>
          <w:sz w:val="18"/>
          <w:szCs w:val="18"/>
          <w:color w:val="auto"/>
        </w:rPr>
      </w:pPr>
    </w:p>
    <w:p>
      <w:pPr>
        <w:ind w:right="20" w:firstLine="850"/>
        <w:spacing w:after="0" w:line="254" w:lineRule="auto"/>
        <w:tabs>
          <w:tab w:leader="none" w:pos="15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necessary to comply with applicable regulatory regimes, any action by the Committee shall require the approval of Committee members who are (i) independent, within the meaning of and to the extent required by applicable rulings and interpretations of the applicable stock market or exchange on which the Shares are quoted or traded; (ii) a non-employee director within the meaning of Rule 16b-3 under the Exchange Act; and (iii) an outside director pursuant to Section 162(m) of the Code. The Board may designate one or more directors as alternate members of the Committee who may replace any absent or disqualified member at any meeting of the Committee. To the extent permitted by applicable law, including under Section 157(c) of the Delaware General Corporation Law, the Committee may delegate to one or more officers of the Company the authority to grant Awards, except that such delegation shall not be applicable to any Award for a Person then covered by Section 16 of the Exchange Act, and the Committee may delegate to one or more committees of the Board (which may consist of solely one director) the authority to grant all types of Awards, in accordance with applicable law.</w:t>
      </w:r>
    </w:p>
    <w:p>
      <w:pPr>
        <w:spacing w:after="0" w:line="188" w:lineRule="exact"/>
        <w:rPr>
          <w:rFonts w:ascii="Times New Roman" w:cs="Times New Roman" w:eastAsia="Times New Roman" w:hAnsi="Times New Roman"/>
          <w:sz w:val="18"/>
          <w:szCs w:val="18"/>
          <w:color w:val="auto"/>
        </w:rPr>
      </w:pPr>
    </w:p>
    <w:p>
      <w:pPr>
        <w:ind w:firstLine="850"/>
        <w:spacing w:after="0" w:line="254" w:lineRule="auto"/>
        <w:tabs>
          <w:tab w:leader="none" w:pos="158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Plan and applicable law, the Committee (or its delegate) shall have full power and authority to: (i) designate Participants; (ii) determine the type or types of Awards (including Replacement Awards) to be granted to each Participant under the Plan;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Awards, other property, net settlement, or any combination thereof, or canceled, repurchased, forfeited or suspended, and the method or methods by which Awards may be settled, exercised, canceled, repurchased, forfeited or suspended; (vi) determine whether, to what extent and under what circumstances cash, Shares, other Awards, other property and other amounts payable with respect to an Award under the Plan shall be deferred either automatically or at the election of the holder thereof or of the Committee; (vii) amend the terms or conditions of any outstanding Awards, including without limitation to</w:t>
      </w: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14" w:name="page15"/>
    <w:bookmarkEnd w:id="14"/>
    <w:p>
      <w:pPr>
        <w:spacing w:after="0" w:line="254" w:lineRule="auto"/>
        <w:rPr>
          <w:sz w:val="20"/>
          <w:szCs w:val="20"/>
          <w:color w:val="auto"/>
        </w:rPr>
      </w:pPr>
      <w:r>
        <w:rPr>
          <w:rFonts w:ascii="Times New Roman" w:cs="Times New Roman" w:eastAsia="Times New Roman" w:hAnsi="Times New Roman"/>
          <w:sz w:val="18"/>
          <w:szCs w:val="18"/>
          <w:color w:val="auto"/>
        </w:rPr>
        <w:t>accelerate the time or times at which the Awards become vested or unrestricted, will be settled or may be exercised; (viii) correct any defect, supply any omission or reconcile any inconsistency in the Plan or any Award Document, in the manner and to the extent it shall deem desirable to carry the Plan into effect; (ix) interpret and administer the Plan and any instrument or agreement relating to, or Award made under, the Plan; (x) establish, amend, suspend or waive such rules and regulations and appoint such agents and advisors and determine the terms of such appointments, in each case as it shall deem appropriate for the proper administration of the Plan and due compliance with applicable law, stock market or exchange rules and regulations or accounting or tax rules and regulations; and (xi) make any other determination and take any other action that the Committee deems necessary or desirable for the administration of the Plan and due compliance with applicable law, stock market or exchange rules and regulations or accounting or tax rules and regulations. Notwithstanding anything to the contrary contained herein, the Board may, in its sole discretion, at any time and from time to time, grant Awards or administer the Plan. In any such case, the Board shall have all of the authority and responsibility granted to the Committee herein.</w:t>
      </w:r>
    </w:p>
    <w:p>
      <w:pPr>
        <w:spacing w:after="0" w:line="186"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i w:val="1"/>
          <w:iCs w:val="1"/>
          <w:color w:val="auto"/>
        </w:rPr>
        <w:t>Shares Available for Awards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80" w:firstLine="850"/>
        <w:spacing w:after="0" w:line="289" w:lineRule="auto"/>
        <w:tabs>
          <w:tab w:leader="none" w:pos="1582"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adjustment as provided in Section 5(c) and except for Replacement Awards, the maximum number of Shares available for issuance under the Plan shall not exceed 94,503,000 Shares in the aggregate, which includes (i) the previous shareholder approved reserve of 78,503,000 Shares under the Plan and (ii) an increase of 16,000,000 Shares, as approved by the Board, subject to approval by the Company’s shareholders.</w:t>
      </w:r>
    </w:p>
    <w:p>
      <w:pPr>
        <w:spacing w:after="0" w:line="157" w:lineRule="exact"/>
        <w:rPr>
          <w:rFonts w:ascii="Times New Roman" w:cs="Times New Roman" w:eastAsia="Times New Roman" w:hAnsi="Times New Roman"/>
          <w:sz w:val="17"/>
          <w:szCs w:val="17"/>
          <w:color w:val="auto"/>
        </w:rPr>
      </w:pPr>
    </w:p>
    <w:p>
      <w:pPr>
        <w:ind w:firstLine="850"/>
        <w:spacing w:after="0" w:line="254" w:lineRule="auto"/>
        <w:tabs>
          <w:tab w:leader="none" w:pos="15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Shares subject to an Award (other than a Replacement Award) that expires, is canceled, repurchased or forfeited or otherwise terminates, without the delivery of such Shares, including (i) the number of Shares surrendered or withheld in payment of taxes related to an Award and (ii) any Shares subject to an Award to the extent that Award is settled without the issuance of Shares, shall again be, or shall become, available for issuance under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solely with respect to Options and SARs, (i) any Shares withheld or tendered in respect of withholding taxes relating to any Options or SARs, (ii) any Shares tendered or withheld to pay the exercise or hurdle price of Options or SARs, (iii) any Shares with respect to any Options or SARs repurchased by the Company using Option exercise proceeds, and (iv) any Shares subject to a SAR granted under the Plan that are not issued in connection with the stock settlement of the SAR upon the exercise thereof, shall, in each case, not again be or become available for issuance under the Plan.</w:t>
      </w:r>
    </w:p>
    <w:p>
      <w:pPr>
        <w:spacing w:after="0" w:line="191" w:lineRule="exact"/>
        <w:rPr>
          <w:rFonts w:ascii="Times New Roman" w:cs="Times New Roman" w:eastAsia="Times New Roman" w:hAnsi="Times New Roman"/>
          <w:sz w:val="18"/>
          <w:szCs w:val="18"/>
          <w:color w:val="auto"/>
        </w:rPr>
      </w:pPr>
    </w:p>
    <w:p>
      <w:pPr>
        <w:ind w:right="60" w:firstLine="850"/>
        <w:spacing w:after="0" w:line="256" w:lineRule="auto"/>
        <w:tabs>
          <w:tab w:leader="none" w:pos="158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Committee determines that, as a result of any dividend or other distribution (whether in the form of cash, Shares or other securities, but excluding any ordinary cash dividend), recapitalization, stock split, reverse stock split, reorganization, merger, amalgamation, consolidation, split-up, spin-off, combination, repurchase or exchange of Shares or other securities of the Company, issuance of warrants or other rights to purchase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appropriate in order to prevent dilution or enlargement of the benefits or potential benefits intended to be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made available under the Plan, then the Committee shall, subject to compliance with Section 409A of the Code, adjust equitably any or all of:</w:t>
      </w:r>
    </w:p>
    <w:p>
      <w:pPr>
        <w:spacing w:after="0" w:line="225" w:lineRule="exact"/>
        <w:rPr>
          <w:sz w:val="20"/>
          <w:szCs w:val="20"/>
          <w:color w:val="auto"/>
        </w:rPr>
      </w:pPr>
    </w:p>
    <w:p>
      <w:pPr>
        <w:ind w:left="660" w:right="360" w:firstLine="968"/>
        <w:spacing w:after="0" w:line="282" w:lineRule="auto"/>
        <w:tabs>
          <w:tab w:leader="none" w:pos="234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Shares (or other securities) which thereafter may be made the subject of Awards, including the aggregate limit specified in Section 5(a) and the individual limits specified in Section 5(e);</w:t>
      </w:r>
    </w:p>
    <w:p>
      <w:pPr>
        <w:spacing w:after="0" w:line="161" w:lineRule="exact"/>
        <w:rPr>
          <w:rFonts w:ascii="Times New Roman" w:cs="Times New Roman" w:eastAsia="Times New Roman" w:hAnsi="Times New Roman"/>
          <w:sz w:val="18"/>
          <w:szCs w:val="18"/>
          <w:color w:val="auto"/>
        </w:rPr>
      </w:pPr>
    </w:p>
    <w:p>
      <w:pPr>
        <w:ind w:left="2380" w:hanging="752"/>
        <w:spacing w:after="0"/>
        <w:tabs>
          <w:tab w:leader="none" w:pos="2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Shares (or other securities) subject to outstanding Awards; and</w:t>
      </w:r>
    </w:p>
    <w:p>
      <w:pPr>
        <w:spacing w:after="0" w:line="225" w:lineRule="exact"/>
        <w:rPr>
          <w:rFonts w:ascii="Times New Roman" w:cs="Times New Roman" w:eastAsia="Times New Roman" w:hAnsi="Times New Roman"/>
          <w:sz w:val="18"/>
          <w:szCs w:val="18"/>
          <w:color w:val="auto"/>
        </w:rPr>
      </w:pPr>
    </w:p>
    <w:p>
      <w:pPr>
        <w:ind w:left="660" w:right="240" w:firstLine="968"/>
        <w:spacing w:after="0" w:line="282" w:lineRule="auto"/>
        <w:tabs>
          <w:tab w:leader="none" w:pos="244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purchase, exercise or hurdle price with respect to any Award or, if deemed appropriate, make provision for a cash payment to the holder of an outstanding Award;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number of Shares subject to any Award denominated in Shares shall always be a whole number.</w:t>
      </w:r>
    </w:p>
    <w:p>
      <w:pPr>
        <w:spacing w:after="0" w:line="227" w:lineRule="exact"/>
        <w:rPr>
          <w:sz w:val="20"/>
          <w:szCs w:val="20"/>
          <w:color w:val="auto"/>
        </w:rPr>
      </w:pPr>
    </w:p>
    <w:p>
      <w:pPr>
        <w:ind w:left="1600" w:hanging="750"/>
        <w:spacing w:after="0"/>
        <w:tabs>
          <w:tab w:leader="none" w:pos="160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Shares delivered pursuant to an Award may consist, in whole or in part, of authorized and unissued Shares or Shares acquired by</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Company.</w:t>
      </w:r>
    </w:p>
    <w:p>
      <w:pPr>
        <w:spacing w:after="0" w:line="206" w:lineRule="exact"/>
        <w:rPr>
          <w:rFonts w:ascii="Times New Roman" w:cs="Times New Roman" w:eastAsia="Times New Roman" w:hAnsi="Times New Roman"/>
          <w:sz w:val="17"/>
          <w:szCs w:val="17"/>
          <w:color w:val="auto"/>
        </w:rPr>
      </w:pPr>
    </w:p>
    <w:p>
      <w:pPr>
        <w:ind w:right="20" w:firstLine="850"/>
        <w:spacing w:after="0" w:line="276" w:lineRule="auto"/>
        <w:tabs>
          <w:tab w:leader="none" w:pos="1582"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Participant may receive under the Plan in any calendar year, subject to adjustment as provided in Section‎ 5(c): (i) Options and SARs that relate to more than 3,950,300 Shares in the aggregate; (ii) Restricted Stock and RSUs that relate to more than 3,950,300 Shares in the aggregate;</w:t>
      </w:r>
    </w:p>
    <w:p>
      <w:pPr>
        <w:ind w:right="460" w:firstLine="8"/>
        <w:spacing w:after="0" w:line="260" w:lineRule="auto"/>
        <w:tabs>
          <w:tab w:leader="none" w:pos="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Performance Awards and Other Stock-Based Awards that relate to more than 3,950,300 Shares in the aggregate; and (iv) cash-based Performance Awards that relate to more than $15,000,000 in the aggregate.</w:t>
      </w:r>
    </w:p>
    <w:p>
      <w:pPr>
        <w:spacing w:after="0" w:line="181" w:lineRule="exact"/>
        <w:rPr>
          <w:rFonts w:ascii="Times New Roman" w:cs="Times New Roman" w:eastAsia="Times New Roman" w:hAnsi="Times New Roman"/>
          <w:sz w:val="18"/>
          <w:szCs w:val="18"/>
          <w:color w:val="auto"/>
        </w:rPr>
      </w:pPr>
    </w:p>
    <w:p>
      <w:pPr>
        <w:ind w:right="580" w:firstLine="850"/>
        <w:spacing w:after="0" w:line="282" w:lineRule="auto"/>
        <w:tabs>
          <w:tab w:leader="none" w:pos="160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who is a non-employee Director may receive compensation for any calendar year in excess of $750,000 in the aggregate, including cash payments and Awards.</w:t>
      </w:r>
    </w:p>
    <w:p>
      <w:pPr>
        <w:spacing w:after="0" w:line="160" w:lineRule="exact"/>
        <w:rPr>
          <w:sz w:val="20"/>
          <w:szCs w:val="20"/>
          <w:color w:val="auto"/>
        </w:rPr>
      </w:pPr>
    </w:p>
    <w:p>
      <w:pPr>
        <w:ind w:right="3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xml:space="preserve"> The Committee is authorized to grant Options to Participants with the following terms and conditions and with such additional terms and conditions, in either case not inconsistent with the provisions of the Plan, as the Committee shall determine:</w:t>
      </w:r>
    </w:p>
    <w:p>
      <w:pPr>
        <w:spacing w:after="0" w:line="158" w:lineRule="exact"/>
        <w:rPr>
          <w:sz w:val="20"/>
          <w:szCs w:val="20"/>
          <w:color w:val="auto"/>
        </w:rPr>
      </w:pPr>
    </w:p>
    <w:p>
      <w:pPr>
        <w:jc w:val="both"/>
        <w:ind w:right="220" w:firstLine="850"/>
        <w:spacing w:after="0" w:line="267" w:lineRule="auto"/>
        <w:tabs>
          <w:tab w:leader="none" w:pos="158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price per Share under an Option shall be determined by the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in the case of Replacement Awards, and subject to Section 6(e), such exercise price shall not be less than the Fair Market Value of a Share on the date of grant of such Option.</w:t>
      </w:r>
    </w:p>
    <w:p>
      <w:pPr>
        <w:spacing w:after="0" w:line="175" w:lineRule="exact"/>
        <w:rPr>
          <w:rFonts w:ascii="Times New Roman" w:cs="Times New Roman" w:eastAsia="Times New Roman" w:hAnsi="Times New Roman"/>
          <w:sz w:val="18"/>
          <w:szCs w:val="18"/>
          <w:color w:val="auto"/>
        </w:rPr>
      </w:pPr>
    </w:p>
    <w:p>
      <w:pPr>
        <w:ind w:left="1600" w:hanging="750"/>
        <w:spacing w:after="0"/>
        <w:tabs>
          <w:tab w:leader="none" w:pos="1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each Option shall be fixed by the Committee but shall not exceed 10 years from the date of grant of such Option.</w:t>
      </w:r>
    </w:p>
    <w:p>
      <w:pPr>
        <w:spacing w:after="0" w:line="225" w:lineRule="exact"/>
        <w:rPr>
          <w:rFonts w:ascii="Times New Roman" w:cs="Times New Roman" w:eastAsia="Times New Roman" w:hAnsi="Times New Roman"/>
          <w:sz w:val="18"/>
          <w:szCs w:val="18"/>
          <w:color w:val="auto"/>
        </w:rPr>
      </w:pPr>
    </w:p>
    <w:p>
      <w:pPr>
        <w:ind w:left="1580" w:hanging="730"/>
        <w:spacing w:after="0"/>
        <w:tabs>
          <w:tab w:leader="none" w:pos="1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12, the Committee shall determine the time or times at which an Option may be exercised in whole or in part.</w:t>
      </w:r>
    </w:p>
    <w:p>
      <w:pPr>
        <w:spacing w:after="0" w:line="225" w:lineRule="exact"/>
        <w:rPr>
          <w:rFonts w:ascii="Times New Roman" w:cs="Times New Roman" w:eastAsia="Times New Roman" w:hAnsi="Times New Roman"/>
          <w:sz w:val="18"/>
          <w:szCs w:val="18"/>
          <w:color w:val="auto"/>
        </w:rPr>
      </w:pPr>
    </w:p>
    <w:p>
      <w:pPr>
        <w:ind w:right="40" w:firstLine="850"/>
        <w:spacing w:after="0" w:line="282" w:lineRule="auto"/>
        <w:tabs>
          <w:tab w:leader="none" w:pos="15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determine the method or methods by which, and the form or forms, including cash, Shares, other Awards, other property, net settlement, broker-assisted cashless exercise or any combination thereof, having a Fair Market Value on the exercise date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equal to the relevant exercise price, in which payment of the exercise price with respect thereto may be made or deemed to have been made.</w:t>
      </w:r>
    </w:p>
    <w:p>
      <w:pPr>
        <w:spacing w:after="0" w:line="225" w:lineRule="exact"/>
        <w:rPr>
          <w:sz w:val="20"/>
          <w:szCs w:val="20"/>
          <w:color w:val="auto"/>
        </w:rPr>
      </w:pPr>
    </w:p>
    <w:p>
      <w:pPr>
        <w:ind w:left="1580" w:hanging="730"/>
        <w:spacing w:after="0"/>
        <w:tabs>
          <w:tab w:leader="none" w:pos="1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Incentive Stock Option granted under the Plan shall comply in all respects with the provisions of Section 422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205"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xml:space="preserve"> The Committee is authorized to grant SARs to Participants with the following terms and conditions and with such additional terms and conditions, in either case not inconsistent with the provisions of the Plan, as the Committee shall determine:</w:t>
      </w:r>
    </w:p>
    <w:p>
      <w:pPr>
        <w:spacing w:after="0" w:line="160" w:lineRule="exact"/>
        <w:rPr>
          <w:sz w:val="20"/>
          <w:szCs w:val="20"/>
          <w:color w:val="auto"/>
        </w:rPr>
      </w:pPr>
    </w:p>
    <w:p>
      <w:pPr>
        <w:ind w:right="260" w:firstLine="850"/>
        <w:spacing w:after="0" w:line="282" w:lineRule="auto"/>
        <w:tabs>
          <w:tab w:leader="none" w:pos="158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SARs may be granted under the Plan to Participants either alone (“freestanding”) or in addition to other Awards granted under the Plan (“tandem”) and may, but need not, relate to a specific Option granted under Section 6.</w:t>
      </w:r>
    </w:p>
    <w:p>
      <w:pPr>
        <w:spacing w:after="0" w:line="159" w:lineRule="exact"/>
        <w:rPr>
          <w:rFonts w:ascii="Times New Roman" w:cs="Times New Roman" w:eastAsia="Times New Roman" w:hAnsi="Times New Roman"/>
          <w:sz w:val="18"/>
          <w:szCs w:val="18"/>
          <w:color w:val="auto"/>
        </w:rPr>
      </w:pPr>
    </w:p>
    <w:p>
      <w:pPr>
        <w:ind w:right="300" w:firstLine="850"/>
        <w:spacing w:after="0" w:line="315" w:lineRule="auto"/>
        <w:tabs>
          <w:tab w:leader="none" w:pos="1592"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exercise or hurdle price per Share under a SAR shall be determined by the Committee;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except in the case of Replacement Awards, such exercise or hurdle price shall not be less than the Fair Market Value of a Share on the date of grant of such SAR.</w:t>
      </w:r>
    </w:p>
    <w:p>
      <w:pPr>
        <w:spacing w:after="0" w:line="136" w:lineRule="exact"/>
        <w:rPr>
          <w:rFonts w:ascii="Times New Roman" w:cs="Times New Roman" w:eastAsia="Times New Roman" w:hAnsi="Times New Roman"/>
          <w:sz w:val="17"/>
          <w:szCs w:val="17"/>
          <w:color w:val="auto"/>
        </w:rPr>
      </w:pPr>
    </w:p>
    <w:p>
      <w:pPr>
        <w:ind w:left="1580" w:hanging="730"/>
        <w:spacing w:after="0"/>
        <w:tabs>
          <w:tab w:leader="none" w:pos="1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each SAR shall be fixed by the Committee but shall not exceed 10 years from the date of grant of such SAR.</w:t>
      </w:r>
    </w:p>
    <w:p>
      <w:pPr>
        <w:spacing w:after="0" w:line="225" w:lineRule="exact"/>
        <w:rPr>
          <w:rFonts w:ascii="Times New Roman" w:cs="Times New Roman" w:eastAsia="Times New Roman" w:hAnsi="Times New Roman"/>
          <w:sz w:val="18"/>
          <w:szCs w:val="18"/>
          <w:color w:val="auto"/>
        </w:rPr>
      </w:pPr>
    </w:p>
    <w:p>
      <w:pPr>
        <w:ind w:left="1600" w:hanging="750"/>
        <w:spacing w:after="0"/>
        <w:tabs>
          <w:tab w:leader="none" w:pos="1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12, the Committee shall determine the time or times at which a SAR may be exercised or settled in whole or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w:t>
      </w:r>
    </w:p>
    <w:p>
      <w:pPr>
        <w:spacing w:after="0" w:line="205"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i w:val="1"/>
          <w:iCs w:val="1"/>
          <w:color w:val="auto"/>
        </w:rPr>
        <w:t>Restricted Stock and RSUs.</w:t>
      </w:r>
      <w:r>
        <w:rPr>
          <w:rFonts w:ascii="Times New Roman" w:cs="Times New Roman" w:eastAsia="Times New Roman" w:hAnsi="Times New Roman"/>
          <w:sz w:val="18"/>
          <w:szCs w:val="18"/>
          <w:color w:val="auto"/>
        </w:rPr>
        <w:t xml:space="preserve"> The Committee is authorized to grant Awards of Restricted Stock and RSUs to Participants with the following terms and conditions and with such additional terms and conditions, in either case not inconsistent with the provisions of the Plan, as the Committee shall determine:</w:t>
      </w:r>
    </w:p>
    <w:p>
      <w:pPr>
        <w:spacing w:after="0" w:line="175" w:lineRule="exact"/>
        <w:rPr>
          <w:sz w:val="20"/>
          <w:szCs w:val="20"/>
          <w:color w:val="auto"/>
        </w:rPr>
      </w:pPr>
    </w:p>
    <w:p>
      <w:pPr>
        <w:ind w:right="320" w:firstLine="850"/>
        <w:spacing w:after="0" w:line="289" w:lineRule="auto"/>
        <w:tabs>
          <w:tab w:leader="none" w:pos="158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12, an Award of Restricted Stock or RSUs shall be subject to such restrictions as the Committee may impose (including any limitation on the right to vote a Share of Restricted Stock or the right to receive any dividend, dividend equivalent or other right), which restrictions may lapse separately or in combination at such time or times, in such installments or otherwise, as the Committee may deem appropriate.</w:t>
      </w:r>
    </w:p>
    <w:p>
      <w:pPr>
        <w:spacing w:after="0" w:line="157" w:lineRule="exact"/>
        <w:rPr>
          <w:rFonts w:ascii="Times New Roman" w:cs="Times New Roman" w:eastAsia="Times New Roman" w:hAnsi="Times New Roman"/>
          <w:sz w:val="17"/>
          <w:szCs w:val="17"/>
          <w:color w:val="auto"/>
        </w:rPr>
      </w:pPr>
    </w:p>
    <w:p>
      <w:pPr>
        <w:ind w:right="40" w:firstLine="850"/>
        <w:spacing w:after="0" w:line="261" w:lineRule="auto"/>
        <w:tabs>
          <w:tab w:leader="none" w:pos="15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 of Restricted Stock granted under the Plan shall be evidenced by entry in the register of members of the Company and in such other manner as the Committee may deem appropriate, including issuance of a share certificate or certificates. In the event any share certificate is issued in respect of shares of Restricted Stock granted under the Plan, such certificate shall be registered in the name of the Participant and shall bear an appropriate legend referring to the terms, conditions and restrictions applicable to such Restricted Stock.</w:t>
      </w:r>
    </w:p>
    <w:p>
      <w:pPr>
        <w:spacing w:after="0" w:line="179" w:lineRule="exact"/>
        <w:rPr>
          <w:rFonts w:ascii="Times New Roman" w:cs="Times New Roman" w:eastAsia="Times New Roman" w:hAnsi="Times New Roman"/>
          <w:sz w:val="18"/>
          <w:szCs w:val="18"/>
          <w:color w:val="auto"/>
        </w:rPr>
      </w:pPr>
    </w:p>
    <w:p>
      <w:pPr>
        <w:ind w:firstLine="850"/>
        <w:spacing w:after="0" w:line="266" w:lineRule="auto"/>
        <w:tabs>
          <w:tab w:leader="none" w:pos="158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Committee intends that an Award granted under this Section 8 shall constitute or give rise to Section 162(m) Compensation, then, to the extent the Committee determines the following to be necessary under Section 162(m) of the Code, such Award may be structured in accordance with the requirements of Section 9, including the performance criteria</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set forth therein and the Award limitation set forth in Section 5(e), and any such Award shall be considered a Performance Award for purposes of the Plan.</w:t>
      </w:r>
    </w:p>
    <w:p>
      <w:pPr>
        <w:spacing w:after="0" w:line="225" w:lineRule="exact"/>
        <w:rPr>
          <w:sz w:val="20"/>
          <w:szCs w:val="20"/>
          <w:color w:val="auto"/>
        </w:rPr>
      </w:pPr>
    </w:p>
    <w:p>
      <w:pPr>
        <w:jc w:val="both"/>
        <w:ind w:right="20" w:firstLine="850"/>
        <w:spacing w:after="0" w:line="261" w:lineRule="auto"/>
        <w:tabs>
          <w:tab w:leader="none" w:pos="15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provide in an Award Document that an Award of Restricted Stock is conditioned upon the Participant making or refraining from making an election with respect to the Award under Section 83(b) of the Code. If a Participant makes an election pursuant to Section 83(b) of the Code with respect to an Award of Restricted Stock, such Participant shall be required to file promptly a copy of such election with the Company and the applicable Internal Revenue Service office.</w:t>
      </w:r>
    </w:p>
    <w:p>
      <w:pPr>
        <w:spacing w:after="0" w:line="178" w:lineRule="exact"/>
        <w:rPr>
          <w:sz w:val="20"/>
          <w:szCs w:val="20"/>
          <w:color w:val="auto"/>
        </w:rPr>
      </w:pPr>
    </w:p>
    <w:p>
      <w:pPr>
        <w:ind w:right="100" w:firstLine="648"/>
        <w:spacing w:after="0" w:line="315" w:lineRule="auto"/>
        <w:rPr>
          <w:sz w:val="20"/>
          <w:szCs w:val="20"/>
          <w:color w:val="auto"/>
        </w:rPr>
      </w:pPr>
      <w:r>
        <w:rPr>
          <w:rFonts w:ascii="Times New Roman" w:cs="Times New Roman" w:eastAsia="Times New Roman" w:hAnsi="Times New Roman"/>
          <w:sz w:val="17"/>
          <w:szCs w:val="17"/>
          <w:color w:val="auto"/>
        </w:rPr>
        <w:t xml:space="preserve">Section 9. </w:t>
      </w:r>
      <w:r>
        <w:rPr>
          <w:rFonts w:ascii="Times New Roman" w:cs="Times New Roman" w:eastAsia="Times New Roman" w:hAnsi="Times New Roman"/>
          <w:sz w:val="17"/>
          <w:szCs w:val="17"/>
          <w:i w:val="1"/>
          <w:iCs w:val="1"/>
          <w:color w:val="auto"/>
        </w:rPr>
        <w:t>Performance Awards.</w:t>
      </w:r>
      <w:r>
        <w:rPr>
          <w:rFonts w:ascii="Times New Roman" w:cs="Times New Roman" w:eastAsia="Times New Roman" w:hAnsi="Times New Roman"/>
          <w:sz w:val="17"/>
          <w:szCs w:val="17"/>
          <w:color w:val="auto"/>
        </w:rPr>
        <w:t xml:space="preserve"> The Committee is authorized to grant Performance Awards to Participants with the following terms and conditions and with such additional terms and conditions, in either case not inconsistent with the provisions of the Plan, as the Committee shall determine:</w:t>
      </w:r>
    </w:p>
    <w:p>
      <w:pPr>
        <w:spacing w:after="0" w:line="137" w:lineRule="exact"/>
        <w:rPr>
          <w:sz w:val="20"/>
          <w:szCs w:val="20"/>
          <w:color w:val="auto"/>
        </w:rPr>
      </w:pPr>
    </w:p>
    <w:p>
      <w:pPr>
        <w:ind w:right="60" w:firstLine="850"/>
        <w:spacing w:after="0" w:line="255" w:lineRule="auto"/>
        <w:tabs>
          <w:tab w:leader="none" w:pos="158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Awards may be denominated as a cash amount, number of Shares or a combination thereof and are Awards which may be earned upon achievement or satisfaction of performance conditions specified by the Committee. In addition, the Committee may specify that any other Award shall constitute a Performance Award by conditioning the right of a Participant to exercise the Award or have it settled, and the timing thereof, upon achievement or satisfaction of such performance conditions as may be specified by the Committee. The Committee may use such business criteria and other measures of performance as it may deem appropriate in establishing any performance conditions. Subject to the terms of the Plan, the performance goals to be achieved during any Performance Period, the length of any Performance Period, the amount of any Performance Award granted and the amount of any payment or transfer to be made pursuant to any Performance Award shall be determined by the Committee.</w:t>
      </w:r>
    </w:p>
    <w:p>
      <w:pPr>
        <w:spacing w:after="0" w:line="188" w:lineRule="exact"/>
        <w:rPr>
          <w:rFonts w:ascii="Times New Roman" w:cs="Times New Roman" w:eastAsia="Times New Roman" w:hAnsi="Times New Roman"/>
          <w:sz w:val="18"/>
          <w:szCs w:val="18"/>
          <w:color w:val="auto"/>
        </w:rPr>
      </w:pPr>
    </w:p>
    <w:p>
      <w:pPr>
        <w:ind w:firstLine="850"/>
        <w:spacing w:after="0" w:line="253" w:lineRule="auto"/>
        <w:tabs>
          <w:tab w:leader="none" w:pos="159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Performance Award shall, if the Committee intends that such Award qualify as Section 162(m) Compensation and the Committee determines the following to be necessary under Section 162(m) of the Code, include a pre-established formula, such that payment, retention or vesting of the Award is subject to the achievement during a Performance Period or Performance Periods, as determined by the Committee, of a level or levels of, or increases in, in each case as determined by the Committee, one or more of the following performance measures with respect to the Company: captured prospects, prospecting licenses signed, operated prospects matured to drill ready, drilling programs commenced, drillable prospects, capabilities and critical path items established, operating budget, third-party capital sourcing, captured net risked resource potential, acquisition cost efficiency, acquisitions of oil and gas interests, increases in proved, probable or possible reserves, finding and development costs, recordable or lost time incident rates, overhead costs, general and administration expense, market price of a Share, cash flow, reserve value, net asset value, earnings, net income, operating income, cash from operations, revenue, margin, EBITDA (earnings before interest, taxes, depreciation and amortization), EBITDAX (earnings before interest, taxes, depreciation, amortization and exploration expense), net capital employed, return on assets, shareholder return, reserve replacement, return on equity, return on capital employed, production, assets, unit volume, sales, market share, market capitalization, enterprise value, economic value added or strategic business criteria consisting of one or more objectives based on meeting specified goals relating to acquisitions or divestitures, each as determined in accordance with generally accepted</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8" w:name="page19"/>
    <w:bookmarkEnd w:id="18"/>
    <w:p>
      <w:pPr>
        <w:spacing w:after="0" w:line="253" w:lineRule="auto"/>
        <w:rPr>
          <w:sz w:val="20"/>
          <w:szCs w:val="20"/>
          <w:color w:val="auto"/>
        </w:rPr>
      </w:pPr>
      <w:r>
        <w:rPr>
          <w:rFonts w:ascii="Times New Roman" w:cs="Times New Roman" w:eastAsia="Times New Roman" w:hAnsi="Times New Roman"/>
          <w:sz w:val="18"/>
          <w:szCs w:val="18"/>
          <w:color w:val="auto"/>
        </w:rPr>
        <w:t>accounting principles, where applicable, as consistently applied by the Company. Performance criteria may be measured on an absolute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plan or budget) or relative basis, may be established on a corporate-wide basis or with respect to one or more business units, divisions, subsidiaries or business segments, may be based on a ratio or separate calculation of any performance criterion and may be made relative to an index or one or more of the performance goals themselves. Relative performance may be measured against a group of peer companies, a financial market index or other acceptable objective and quantifiable indices. Except in the case of an Award intended to qualify as Section 162(m) Compensation, if the Committee determines that a change in the business, operations, corporate structure or capital structure of the Company, or the manner in which the Company conducts its business, or other events or circumstances render the performance objectives unsuitable, the Committee may modify the performance objectives or the related minimum acceptable level of achievement, in whole or in part, as the Committee deems appropriate and equitable. Performance measures may vary from Performance Award to Performance Award and from Participant to Participant, and may be established on a stand-alone basis, in tandem or in the alternative. The Committee shall have the power to impose such other restrictions on Awards subject to this Section 9(b) as it may deem necessary or appropriate to ensure that such Awards satisfy all requirements for Section 162(m) Compensation or of any applicable law, stock market or exchange rules and regulations or accounting or tax rules and regulations. Notwithstanding any provision of the Plan to the contrary, with respect to any Award intended to qualify as Section 162(m) Compensation, the Committee shall not be authorized to increase the amount payable under any Award to which this Section 9(b) applies upon attainment of such pre-established formula.</w:t>
      </w:r>
    </w:p>
    <w:p>
      <w:pPr>
        <w:spacing w:after="0" w:line="187" w:lineRule="exact"/>
        <w:rPr>
          <w:sz w:val="20"/>
          <w:szCs w:val="20"/>
          <w:color w:val="auto"/>
        </w:rPr>
      </w:pPr>
    </w:p>
    <w:p>
      <w:pPr>
        <w:ind w:right="80" w:firstLine="850"/>
        <w:spacing w:after="0" w:line="282" w:lineRule="auto"/>
        <w:tabs>
          <w:tab w:leader="none" w:pos="158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Performance Awards shall be in cash, Shares, other Awards, other property, net settlement, or any combination thereof, as determined in the discretion of the Committee.</w:t>
      </w:r>
    </w:p>
    <w:p>
      <w:pPr>
        <w:spacing w:after="0" w:line="161" w:lineRule="exact"/>
        <w:rPr>
          <w:rFonts w:ascii="Times New Roman" w:cs="Times New Roman" w:eastAsia="Times New Roman" w:hAnsi="Times New Roman"/>
          <w:sz w:val="18"/>
          <w:szCs w:val="18"/>
          <w:color w:val="auto"/>
        </w:rPr>
      </w:pPr>
    </w:p>
    <w:p>
      <w:pPr>
        <w:ind w:right="40" w:firstLine="850"/>
        <w:spacing w:after="0" w:line="255" w:lineRule="auto"/>
        <w:tabs>
          <w:tab w:leader="none" w:pos="15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Awards that are intended to qualify as Section 162(m) Compensation shall be settled only after the end of the relevant Performance Period. The Committee may, in its discretion, increase or reduce the amount of a settlement otherwise to be made in connection with a Performance Award but, to the extent required by Section 162(m) of the Code, may not exercise discretion to increase any amount payable to a Covered Employee in respect of a Performance Award intended to qualify as Section 162(m) Compensation. Any settlement that changes the form of payment from that originally specified shall be implemented in a manner such that the Performance Award and other related Awards do not, solely for that reason, fail to qualify as Section 162(m) Compensation. The Committee shall specify the circumstances in which, and the extent to which, Performance Awards shall be paid or forfeited, including by way of repurchase by the Company at par value, in the event of a Participant’s Termination of Service.</w:t>
      </w:r>
    </w:p>
    <w:p>
      <w:pPr>
        <w:spacing w:after="0" w:line="18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i w:val="1"/>
          <w:iCs w:val="1"/>
          <w:color w:val="auto"/>
        </w:rPr>
        <w:t>Other Stock-Based Awards.</w:t>
      </w:r>
      <w:r>
        <w:rPr>
          <w:rFonts w:ascii="Times New Roman" w:cs="Times New Roman" w:eastAsia="Times New Roman" w:hAnsi="Times New Roman"/>
          <w:sz w:val="18"/>
          <w:szCs w:val="18"/>
          <w:color w:val="auto"/>
        </w:rPr>
        <w:t xml:space="preserve"> The Committee is authorized, subject to limitations under applicable law, to grant to Participants such other Awards that may be denominated or payable in, valued in whole or in part by reference to, or otherwise based on, or related to, Shares or factors that may influence the value of Shares, including convertible or exchangeable debt securities, other rights convertible or exchangeable into Shares, purchase rights for Shares, Awards with value and payment contingent upon performance of the Company or business units thereof or any other factors designated by the Committee. Shares delivered</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9" w:name="page20"/>
    <w:bookmarkEnd w:id="19"/>
    <w:p>
      <w:pPr>
        <w:ind w:right="140"/>
        <w:spacing w:after="0" w:line="261" w:lineRule="auto"/>
        <w:rPr>
          <w:sz w:val="20"/>
          <w:szCs w:val="20"/>
          <w:color w:val="auto"/>
        </w:rPr>
      </w:pPr>
      <w:r>
        <w:rPr>
          <w:rFonts w:ascii="Times New Roman" w:cs="Times New Roman" w:eastAsia="Times New Roman" w:hAnsi="Times New Roman"/>
          <w:sz w:val="18"/>
          <w:szCs w:val="18"/>
          <w:color w:val="auto"/>
        </w:rPr>
        <w:t>pursuant to an Award in the nature of a purchase right granted under this Section 10 shall be purchased for such consideration, and paid for at such times, by such methods and in such forms, including cash, Shares, other Awards, other property, net settlement, broker-assisted cashless exercise or any combination thereof, as the Committee shall determine. Cash awards, as an element of or supplement to any other Award under the Plan, may also be granted pursuant to this Section 10.</w:t>
      </w:r>
    </w:p>
    <w:p>
      <w:pPr>
        <w:spacing w:after="0" w:line="178"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i w:val="1"/>
          <w:iCs w:val="1"/>
          <w:color w:val="auto"/>
        </w:rPr>
        <w:t>Effect of Termination of Service or a Change in Control on Awards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850"/>
        <w:spacing w:after="0" w:line="261" w:lineRule="auto"/>
        <w:tabs>
          <w:tab w:leader="none" w:pos="158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provide, by rule or regulation or in any Award Document, or may determine in any individual case, the circumstances in which, and the extent to which, an Award may be exercised, settled, vested, paid or forfeited, including by way of repurchase by the Company at par value, in the event of the Participant’s Termination of Service prior to the end of a Performance Period or vesting, exercise or settlement of such Award.</w:t>
      </w:r>
    </w:p>
    <w:p>
      <w:pPr>
        <w:spacing w:after="0" w:line="179" w:lineRule="exact"/>
        <w:rPr>
          <w:rFonts w:ascii="Times New Roman" w:cs="Times New Roman" w:eastAsia="Times New Roman" w:hAnsi="Times New Roman"/>
          <w:sz w:val="18"/>
          <w:szCs w:val="18"/>
          <w:color w:val="auto"/>
        </w:rPr>
      </w:pPr>
    </w:p>
    <w:p>
      <w:pPr>
        <w:ind w:left="1600" w:hanging="750"/>
        <w:spacing w:after="0"/>
        <w:tabs>
          <w:tab w:leader="none" w:pos="1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set forth the treatment of an Award upon a Change in Control in the applicable Award Document.</w:t>
      </w:r>
    </w:p>
    <w:p>
      <w:pPr>
        <w:spacing w:after="0" w:line="225" w:lineRule="exact"/>
        <w:rPr>
          <w:rFonts w:ascii="Times New Roman" w:cs="Times New Roman" w:eastAsia="Times New Roman" w:hAnsi="Times New Roman"/>
          <w:sz w:val="18"/>
          <w:szCs w:val="18"/>
          <w:color w:val="auto"/>
        </w:rPr>
      </w:pPr>
    </w:p>
    <w:p>
      <w:pPr>
        <w:ind w:firstLine="850"/>
        <w:spacing w:after="0" w:line="255" w:lineRule="auto"/>
        <w:tabs>
          <w:tab w:leader="none" w:pos="158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Option or SAR Award, except as otherwise provided in the applicable Award Document, upon a Change in Control, a merger or consolidation involving the Company or any other event with respect to which the Committee deems it appropriate, the Committee may cause such Award to be canceled in consideration of (i) the full acceleration of such Award and either (A) a period of at least ten days prior to such Change in Control to exercise the Award or (B) a payment in cash or other consideration to such Participant who holds such Award in an amount equal to the Intrinsic Value of such Award (which may be equal to but not less than zero), which, if in excess of zero, shall be payable upon the effective date of such Change in Control, merger, consolidation or other event or (ii) a substitute award (which immediately upon grant shall have an Intrinsic Value equal to the Intrinsic Value of such Award).</w:t>
      </w:r>
    </w:p>
    <w:p>
      <w:pPr>
        <w:spacing w:after="0" w:line="18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i w:val="1"/>
          <w:iCs w:val="1"/>
          <w:color w:val="auto"/>
        </w:rPr>
        <w:t>Minimum Vesting Requirements</w:t>
      </w:r>
      <w:r>
        <w:rPr>
          <w:rFonts w:ascii="Times New Roman" w:cs="Times New Roman" w:eastAsia="Times New Roman" w:hAnsi="Times New Roman"/>
          <w:sz w:val="18"/>
          <w:szCs w:val="18"/>
          <w:color w:val="auto"/>
        </w:rPr>
        <w:t>. Notwithstanding anything to the contrary herein, each Award shall vest over a period of not less than one year following the date of grant (the “</w:t>
      </w:r>
      <w:r>
        <w:rPr>
          <w:rFonts w:ascii="Times New Roman" w:cs="Times New Roman" w:eastAsia="Times New Roman" w:hAnsi="Times New Roman"/>
          <w:sz w:val="18"/>
          <w:szCs w:val="18"/>
          <w:b w:val="1"/>
          <w:bCs w:val="1"/>
          <w:color w:val="auto"/>
        </w:rPr>
        <w:t>Minimum Vesting Requirements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Committee may, in its sole discretion, (i) accelerate the vesting of an Award or otherwise lapse or waive the Minimum Vesting Requirements upon (A) the Participant’s death or Disability or (B) a Change in Control (subject to the requirements of Section 11), (ii) grant Awards that are not subject to the Minimum Vesting Requirements with respect to 5% or less of the maximum number of Shares available for issuance under the Plan (as set forth in Section 5(a), as may be adjusted pursuant to Section 5(c)) and (iii) grant annual Awards to non-employee directors that provide for vesting on the next regularly scheduled annual meeting of shareholders following the date of grant so long as such vesting occurs at least 50 weeks after grant.</w:t>
      </w:r>
    </w:p>
    <w:p>
      <w:pPr>
        <w:spacing w:after="0" w:line="183"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7"/>
          <w:szCs w:val="17"/>
          <w:i w:val="1"/>
          <w:iCs w:val="1"/>
          <w:color w:val="auto"/>
        </w:rPr>
        <w:t>General Provisions Applicable to Awards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300" w:firstLine="850"/>
        <w:spacing w:after="0" w:line="284" w:lineRule="auto"/>
        <w:tabs>
          <w:tab w:leader="none" w:pos="158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Awards shall be granted for such cash or other consideration, if any, as the Committee determines;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Awards be issued for less than such minimal consideration as may be required by applicable law.</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0" w:name="page21"/>
    <w:bookmarkEnd w:id="20"/>
    <w:p>
      <w:pPr>
        <w:ind w:right="180" w:firstLine="850"/>
        <w:spacing w:after="0" w:line="261" w:lineRule="auto"/>
        <w:tabs>
          <w:tab w:leader="none" w:pos="159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179" w:lineRule="exact"/>
        <w:rPr>
          <w:rFonts w:ascii="Times New Roman" w:cs="Times New Roman" w:eastAsia="Times New Roman" w:hAnsi="Times New Roman"/>
          <w:sz w:val="18"/>
          <w:szCs w:val="18"/>
          <w:color w:val="auto"/>
        </w:rPr>
      </w:pPr>
    </w:p>
    <w:p>
      <w:pPr>
        <w:ind w:right="20" w:firstLine="850"/>
        <w:spacing w:after="0" w:line="256" w:lineRule="auto"/>
        <w:tabs>
          <w:tab w:leader="none" w:pos="158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Plan, unless otherwise provided in the applicable Award Document, the Committee shall determine, in its sole discretion, whether payments or transfers to be made by the Company upon the grant, exercise or settlement of an Award shall be made in the form of cash, Shares, other Awards, other property, net settlement, or any combination thereof, as determined by the Committee in its discretion at the time of grant, and whether such payments or transfers shall be made in a single payment or transfer, in installments or on a delayed basis, in each case in accordance with rules and procedures established by the Committee. Such rules and procedures may include provisions for the payment or crediting of reasonable interest on installment or deferred payments or the grant or crediting of dividend equivalents in respect of installment or deferred payments.</w:t>
      </w:r>
    </w:p>
    <w:p>
      <w:pPr>
        <w:spacing w:after="0" w:line="187" w:lineRule="exact"/>
        <w:rPr>
          <w:rFonts w:ascii="Times New Roman" w:cs="Times New Roman" w:eastAsia="Times New Roman" w:hAnsi="Times New Roman"/>
          <w:sz w:val="18"/>
          <w:szCs w:val="18"/>
          <w:color w:val="auto"/>
        </w:rPr>
      </w:pPr>
    </w:p>
    <w:p>
      <w:pPr>
        <w:ind w:right="120" w:firstLine="850"/>
        <w:spacing w:after="0" w:line="266" w:lineRule="auto"/>
        <w:tabs>
          <w:tab w:leader="none" w:pos="159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in no event shall any Award provide for any dividend or dividend equivalents to be payable to the Participant in respect of such Award prior to the time at which such Award (or the applicable portion thereof) vests (and, in the case of a Performance Award, the applicable performance condition is achieved).</w:t>
      </w:r>
    </w:p>
    <w:p>
      <w:pPr>
        <w:spacing w:after="0" w:line="175" w:lineRule="exact"/>
        <w:rPr>
          <w:rFonts w:ascii="Times New Roman" w:cs="Times New Roman" w:eastAsia="Times New Roman" w:hAnsi="Times New Roman"/>
          <w:sz w:val="18"/>
          <w:szCs w:val="18"/>
          <w:color w:val="auto"/>
        </w:rPr>
      </w:pPr>
    </w:p>
    <w:p>
      <w:pPr>
        <w:ind w:firstLine="850"/>
        <w:spacing w:after="0" w:line="256" w:lineRule="auto"/>
        <w:tabs>
          <w:tab w:leader="none" w:pos="158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Award and no right under any Award shall be assignable, alienable, saleable or transferable by a Participant otherwise than by will or pursuant to Section 13(f), and during a Participant’s lifetime, each Award, and each right under any Award, shall be exercisable only by such Participant or, if permissible under applicable law, by such Participant’s guardian or legal representative;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restrictions shall not apply to any Award (other than an Incentive Stock Option) to the extent authorized by the Committee or as specifically provided in an Award Document. The provisions of this Section 13(e) shall not apply to any Award that has been fully exercised or settled, as the case may be, and shall not preclude forfeiture, including by way of repurchase by the Company at par value, of an Award in accordance with the terms thereof.</w:t>
      </w:r>
    </w:p>
    <w:p>
      <w:pPr>
        <w:spacing w:after="0" w:line="187" w:lineRule="exact"/>
        <w:rPr>
          <w:rFonts w:ascii="Times New Roman" w:cs="Times New Roman" w:eastAsia="Times New Roman" w:hAnsi="Times New Roman"/>
          <w:sz w:val="18"/>
          <w:szCs w:val="18"/>
          <w:color w:val="auto"/>
        </w:rPr>
      </w:pPr>
    </w:p>
    <w:p>
      <w:pPr>
        <w:ind w:right="180" w:firstLine="850"/>
        <w:spacing w:after="0" w:line="282" w:lineRule="auto"/>
        <w:tabs>
          <w:tab w:leader="none" w:pos="160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designate a Beneficiary or change a previous Beneficiary designation at such times prescribed by the Committee by using forms and following procedures approved or accepted by the Committee for that purpose.</w:t>
      </w:r>
    </w:p>
    <w:p>
      <w:pPr>
        <w:spacing w:after="0" w:line="161" w:lineRule="exact"/>
        <w:rPr>
          <w:rFonts w:ascii="Times New Roman" w:cs="Times New Roman" w:eastAsia="Times New Roman" w:hAnsi="Times New Roman"/>
          <w:sz w:val="18"/>
          <w:szCs w:val="18"/>
          <w:color w:val="auto"/>
        </w:rPr>
      </w:pPr>
    </w:p>
    <w:p>
      <w:pPr>
        <w:ind w:firstLine="850"/>
        <w:spacing w:after="0" w:line="258" w:lineRule="auto"/>
        <w:tabs>
          <w:tab w:leader="none" w:pos="159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certificates for Shares and/or other securities delivered under the Plan pursuant to any Award or the exercise thereof shall be subject to such stop transfer orders and other restrictions as the Committee may deem advisable under the Plan or the rules, regulations and other requirements of the Securities and Exchange Commission, any stock market or exchange upon which such Shares or other securities are then quoted, traded or listed, and any applicable securities laws, and the Committee may cause a legend or legends to be put on any such certificates to make appropriate reference to such restrictions.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ind w:left="-20" w:right="680" w:firstLine="850"/>
        <w:spacing w:after="0" w:line="282" w:lineRule="auto"/>
        <w:tabs>
          <w:tab w:leader="none" w:pos="157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impose restrictions on any Award with respect to non-competition, confidentiality and other restrictive covenants as it deems necessary or appropriate in its sole discretion.</w:t>
      </w:r>
    </w:p>
    <w:p>
      <w:pPr>
        <w:spacing w:after="0" w:line="160"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18"/>
          <w:szCs w:val="18"/>
          <w:color w:val="auto"/>
        </w:rPr>
        <w:t>Section 14.</w:t>
      </w:r>
      <w:r>
        <w:rPr>
          <w:sz w:val="20"/>
          <w:szCs w:val="20"/>
          <w:color w:val="auto"/>
        </w:rPr>
        <w:tab/>
      </w:r>
      <w:r>
        <w:rPr>
          <w:rFonts w:ascii="Times New Roman" w:cs="Times New Roman" w:eastAsia="Times New Roman" w:hAnsi="Times New Roman"/>
          <w:sz w:val="17"/>
          <w:szCs w:val="17"/>
          <w:i w:val="1"/>
          <w:iCs w:val="1"/>
          <w:color w:val="auto"/>
        </w:rPr>
        <w:t>Amendments and Termination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20" w:firstLine="850"/>
        <w:spacing w:after="0" w:line="253" w:lineRule="auto"/>
        <w:tabs>
          <w:tab w:leader="none" w:pos="156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to the extent prohibited by applicable law and unless otherwise expressly provided in an Award Document or in the Plan, the Board may amend, alter, suspend, discontinue or terminate the Plan or any portion thereof at any time;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such amendment, alteration, suspension, discontinuation or termination shall be made without (i) shareholder approval if such approval is required by applicable law or the rules of the stock market or exchange, if any, on which the Shares are principally quoted, traded or listed or (ii) the consent of the affected Participant, if such action would materially adversely affect the rights of such Participant under any outstanding Award, except (x) to the extent any such amendment, alteration, suspension, discontinuance or termination is made to cause the Plan to comply with applicable law, stock market or exchange rules and regulations or accounting or tax rules and regulations or (y) to impose any “clawback” or cancellation provisions on any Awards (including any amounts or benefits arising from such Awards) in accordance with Section 18. Notwithstanding anything to the contrary in the Plan, the Committee may amend the Plan, in such manner as may be necessary to enable the Plan to achieve its stated purposes in any jurisdiction in a tax-efficient manner and in compliance with local rules and regulations.</w:t>
      </w:r>
    </w:p>
    <w:p>
      <w:pPr>
        <w:spacing w:after="0" w:line="194" w:lineRule="exact"/>
        <w:rPr>
          <w:rFonts w:ascii="Times New Roman" w:cs="Times New Roman" w:eastAsia="Times New Roman" w:hAnsi="Times New Roman"/>
          <w:sz w:val="18"/>
          <w:szCs w:val="18"/>
          <w:color w:val="auto"/>
        </w:rPr>
      </w:pPr>
    </w:p>
    <w:p>
      <w:pPr>
        <w:ind w:left="-20" w:right="180" w:firstLine="850"/>
        <w:spacing w:after="0" w:line="255" w:lineRule="auto"/>
        <w:tabs>
          <w:tab w:leader="none" w:pos="157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 may waive any conditions or rights under, amend any terms of, or amend, alter, suspend, discontinue or terminate any Award theretofore granted, prospectively or retroactively, without the consent of any relevant Participant or holder or Beneficiary of an Award;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such action shall materially adversely affect the rights of any affected Participant or holder or Beneficiary under any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theretofore granted under the Plan, except (x) to the extent any such action is made to cause the Plan to comply with applicable law, stock market or exchange rules and regulations or accounting or tax rules and regulations or (y) to impose any “clawback” or cancellation provisions on any Awards (including any amounts or benefits arising from such Awards) in accordance with Section 18;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Committee’s authority under this Section 14(b) is limited in the case of Awards that are intended to qualify as Section 162(m) Compensation, as provided in Section 9.</w:t>
      </w:r>
    </w:p>
    <w:p>
      <w:pPr>
        <w:spacing w:after="0" w:line="188" w:lineRule="exact"/>
        <w:rPr>
          <w:rFonts w:ascii="Times New Roman" w:cs="Times New Roman" w:eastAsia="Times New Roman" w:hAnsi="Times New Roman"/>
          <w:sz w:val="18"/>
          <w:szCs w:val="18"/>
          <w:color w:val="auto"/>
        </w:rPr>
      </w:pPr>
    </w:p>
    <w:p>
      <w:pPr>
        <w:ind w:left="-20" w:right="120" w:firstLine="850"/>
        <w:spacing w:after="0" w:line="261" w:lineRule="auto"/>
        <w:tabs>
          <w:tab w:leader="none" w:pos="156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9, the Committee shall be authorized to make adjustments in the terms and conditions of, and the criteria included in, Awards in recognition of events (including the events described in Section 5(c))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179" w:lineRule="exact"/>
        <w:rPr>
          <w:rFonts w:ascii="Times New Roman" w:cs="Times New Roman" w:eastAsia="Times New Roman" w:hAnsi="Times New Roman"/>
          <w:sz w:val="18"/>
          <w:szCs w:val="18"/>
          <w:color w:val="auto"/>
        </w:rPr>
      </w:pPr>
    </w:p>
    <w:p>
      <w:pPr>
        <w:ind w:left="-20" w:right="100" w:firstLine="850"/>
        <w:spacing w:after="0" w:line="282" w:lineRule="auto"/>
        <w:tabs>
          <w:tab w:leader="none" w:pos="157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correct any defect, supply any omission or reconcile any inconsistency in the Plan or any Award in the manner and to the extent it shall deem desirable to carry the Plan into effect.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40" w:top="580" w:right="399" w:bottom="1440" w:gutter="0" w:footer="0" w:header="0"/>
        </w:sectPr>
      </w:pPr>
    </w:p>
    <w:bookmarkStart w:id="22" w:name="page23"/>
    <w:bookmarkEnd w:id="22"/>
    <w:p>
      <w:pPr>
        <w:ind w:right="280" w:firstLine="850"/>
        <w:spacing w:after="0" w:line="261" w:lineRule="auto"/>
        <w:tabs>
          <w:tab w:leader="none" w:pos="158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except as provided in Section‎ 5(c) or Section 11(c), no action shall directly or indirectly, through cancellation and regrant or any other method (including the repurchase of Options or SAR Awards (in each case, that are “out of the money”) for cash and/or other property), reduce, or have the effect of reducing, the exercise or hurdle price of any Award as of the date of grant without approval by the Company’s shareholders.</w:t>
      </w:r>
    </w:p>
    <w:p>
      <w:pPr>
        <w:spacing w:after="0" w:line="17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15.</w:t>
      </w:r>
      <w:r>
        <w:rPr>
          <w:sz w:val="20"/>
          <w:szCs w:val="20"/>
          <w:color w:val="auto"/>
        </w:rPr>
        <w:tab/>
      </w:r>
      <w:r>
        <w:rPr>
          <w:rFonts w:ascii="Times New Roman" w:cs="Times New Roman" w:eastAsia="Times New Roman" w:hAnsi="Times New Roman"/>
          <w:sz w:val="17"/>
          <w:szCs w:val="17"/>
          <w:i w:val="1"/>
          <w:iCs w:val="1"/>
          <w:color w:val="auto"/>
        </w:rPr>
        <w:t>Miscellaneous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60" w:firstLine="850"/>
        <w:spacing w:after="0" w:line="261" w:lineRule="auto"/>
        <w:tabs>
          <w:tab w:leader="none" w:pos="158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Participant or other Person shall have any claim to be granted any Award under the Plan, and there is no obligation for uniformity of treatment of employees, Participants or holders or Beneficiaries of Awards under the Plan. The terms and conditions of Awards need not be the same with respect to each recipient. Any Award granted under the Plan shall be a one-time Award that does not constitute a promise of future grants. The Company, in its sole discretion, maintains the right to make available future grants under the Plan.</w:t>
      </w:r>
    </w:p>
    <w:p>
      <w:pPr>
        <w:spacing w:after="0" w:line="179" w:lineRule="exact"/>
        <w:rPr>
          <w:rFonts w:ascii="Times New Roman" w:cs="Times New Roman" w:eastAsia="Times New Roman" w:hAnsi="Times New Roman"/>
          <w:sz w:val="18"/>
          <w:szCs w:val="18"/>
          <w:color w:val="auto"/>
        </w:rPr>
      </w:pPr>
    </w:p>
    <w:p>
      <w:pPr>
        <w:ind w:firstLine="850"/>
        <w:spacing w:after="0" w:line="258" w:lineRule="auto"/>
        <w:tabs>
          <w:tab w:leader="none" w:pos="159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Award shall not be construed as giving a Participant the right to be retained in the employ of, or to continue to provide services to, the Company or any Affiliate. Further, the Company or the applicable Affiliate may at any time dismiss a Participant, free from any liability, or any claim under the Plan, unless otherwise expressly provided in the Plan or in any Award Document or in any other agreement binding the parties. The receipt of any Award under the Plan is not intended to confer any rights on the receiving Participant except as set forth in the applicable Award Document.</w:t>
      </w:r>
    </w:p>
    <w:p>
      <w:pPr>
        <w:spacing w:after="0" w:line="183" w:lineRule="exact"/>
        <w:rPr>
          <w:rFonts w:ascii="Times New Roman" w:cs="Times New Roman" w:eastAsia="Times New Roman" w:hAnsi="Times New Roman"/>
          <w:sz w:val="18"/>
          <w:szCs w:val="18"/>
          <w:color w:val="auto"/>
        </w:rPr>
      </w:pPr>
    </w:p>
    <w:p>
      <w:pPr>
        <w:ind w:right="360" w:firstLine="850"/>
        <w:spacing w:after="0" w:line="282" w:lineRule="auto"/>
        <w:tabs>
          <w:tab w:leader="none" w:pos="158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161" w:lineRule="exact"/>
        <w:rPr>
          <w:rFonts w:ascii="Times New Roman" w:cs="Times New Roman" w:eastAsia="Times New Roman" w:hAnsi="Times New Roman"/>
          <w:sz w:val="18"/>
          <w:szCs w:val="18"/>
          <w:color w:val="auto"/>
        </w:rPr>
      </w:pPr>
    </w:p>
    <w:p>
      <w:pPr>
        <w:ind w:right="100" w:firstLine="850"/>
        <w:spacing w:after="0" w:line="258" w:lineRule="auto"/>
        <w:tabs>
          <w:tab w:leader="none" w:pos="159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authorized to withhold from any Award granted or any payment due or transfer made under any Award or under the Plan or from any compensation or other amount owing to a Participant the amount (in cash, Shares, other Awards, other property, net settlement, or any combination thereof) of applicable withholding taxes due in respect of an Award, its exercise or settlement or any payment or transfer under such Award or under the Plan and to take such other action (including providing for elective payment of such amounts in cash or Shares by such Participant) as may be necessary in the opinion of the Company to satisfy all obligations for the payment of such taxes.</w:t>
      </w:r>
    </w:p>
    <w:p>
      <w:pPr>
        <w:spacing w:after="0" w:line="183" w:lineRule="exact"/>
        <w:rPr>
          <w:rFonts w:ascii="Times New Roman" w:cs="Times New Roman" w:eastAsia="Times New Roman" w:hAnsi="Times New Roman"/>
          <w:sz w:val="18"/>
          <w:szCs w:val="18"/>
          <w:color w:val="auto"/>
        </w:rPr>
      </w:pPr>
    </w:p>
    <w:p>
      <w:pPr>
        <w:ind w:right="100" w:firstLine="850"/>
        <w:spacing w:after="0" w:line="258" w:lineRule="auto"/>
        <w:tabs>
          <w:tab w:leader="none" w:pos="158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the Plan or any Award Document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Document, such provision shall be stricken as to such jurisdiction, Person or Award, and the remainder of the Plan and any such Award Document shall remain in full force and effect.</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3" w:name="page24"/>
    <w:bookmarkEnd w:id="23"/>
    <w:p>
      <w:pPr>
        <w:ind w:right="160" w:firstLine="850"/>
        <w:spacing w:after="0" w:line="266" w:lineRule="auto"/>
        <w:tabs>
          <w:tab w:leader="none" w:pos="160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175" w:lineRule="exact"/>
        <w:rPr>
          <w:rFonts w:ascii="Times New Roman" w:cs="Times New Roman" w:eastAsia="Times New Roman" w:hAnsi="Times New Roman"/>
          <w:sz w:val="18"/>
          <w:szCs w:val="18"/>
          <w:color w:val="auto"/>
        </w:rPr>
      </w:pPr>
    </w:p>
    <w:p>
      <w:pPr>
        <w:ind w:right="20" w:firstLine="850"/>
        <w:spacing w:after="0" w:line="266" w:lineRule="auto"/>
        <w:tabs>
          <w:tab w:leader="none" w:pos="159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shall be issued or delivered pursuant to the Plan or any Award, and the Committee shall determine whether cash or other securities shall be paid or transferred in lieu of any fractional Shares, or whether such fractional Shares or any rights thereto shall be canceled, terminated or otherwise eliminated.</w:t>
      </w:r>
    </w:p>
    <w:p>
      <w:pPr>
        <w:spacing w:after="0" w:line="174" w:lineRule="exact"/>
        <w:rPr>
          <w:sz w:val="20"/>
          <w:szCs w:val="20"/>
          <w:color w:val="auto"/>
        </w:rPr>
      </w:pPr>
    </w:p>
    <w:p>
      <w:pPr>
        <w:jc w:val="both"/>
        <w:ind w:right="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i w:val="1"/>
          <w:iCs w:val="1"/>
          <w:color w:val="auto"/>
        </w:rPr>
        <w:t>Effective Date of the Plan.</w:t>
      </w:r>
      <w:r>
        <w:rPr>
          <w:rFonts w:ascii="Times New Roman" w:cs="Times New Roman" w:eastAsia="Times New Roman" w:hAnsi="Times New Roman"/>
          <w:sz w:val="18"/>
          <w:szCs w:val="18"/>
          <w:color w:val="auto"/>
        </w:rPr>
        <w:t xml:space="preserve"> The Plan was originally adopted on April 28, 2011. The Plan was amended by the Board, effective as of January 23, 2015, January 23, 2017, March 27, 2018, April 20, 2021 and April 25, 2023. The Plan, as amended herein, is effective as of March 4, 2026, subject to approval by the Company’s shareholders.</w:t>
      </w:r>
    </w:p>
    <w:p>
      <w:pPr>
        <w:spacing w:after="0" w:line="17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i w:val="1"/>
          <w:iCs w:val="1"/>
          <w:color w:val="auto"/>
        </w:rPr>
        <w:t>Term of the Plan.</w:t>
      </w:r>
      <w:r>
        <w:rPr>
          <w:rFonts w:ascii="Times New Roman" w:cs="Times New Roman" w:eastAsia="Times New Roman" w:hAnsi="Times New Roman"/>
          <w:sz w:val="18"/>
          <w:szCs w:val="18"/>
          <w:color w:val="auto"/>
        </w:rPr>
        <w:t xml:space="preserve"> No Award shall be granted under the Plan after the earliest to occur of (i) March 4, 2036, (ii) the maximum number of Shares available for issuance under the Plan have been issued or (iii) the Board terminates the Plan in accordance with Section 14(a). However, unless otherwise expressly provided in the Plan or in an applicable Award Document, any Award theretofore granted may extend beyond such date, and the authority of the Committee to amend, alter, adjust, suspend, discontinue or terminate any such Award, or to waive any conditions or rights under any such Award, and the authority of the Board to amend the Plan, shall extend beyond such date.</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i w:val="1"/>
          <w:iCs w:val="1"/>
          <w:color w:val="auto"/>
        </w:rPr>
        <w:t>Cancellation or “Clawback” of Awards</w:t>
      </w:r>
      <w:r>
        <w:rPr>
          <w:rFonts w:ascii="Times New Roman" w:cs="Times New Roman" w:eastAsia="Times New Roman" w:hAnsi="Times New Roman"/>
          <w:sz w:val="18"/>
          <w:szCs w:val="18"/>
          <w:color w:val="auto"/>
        </w:rPr>
        <w:t>. The Committee shall have full authority to implement any policies and procedures necessary to comply with Section 10D of the Exchange Act and any other applicable regulatory regimes. Notwithstanding anything to the contrary contained herein, any Awards granted under the Plan (including any amounts or benefits arising from such Awards) shall be subject to any “clawback” or recoupment policies or arrangements the Company may have in effect from time to time, and the Committee may, to the extent permitted by applicable law and stock exchange rules or by any applicable Company policy or arrangement, and shall, to the extent required by any such law, rule, policy or arrangement, cancel or require reimbursement of any Awards granted to the Participant or any Shares issued or cash received upon vesting, exercise or settlement of any such Awards or sale of Shares underlying such Awards.</w:t>
      </w:r>
    </w:p>
    <w:p>
      <w:pPr>
        <w:spacing w:after="0" w:line="183"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19.</w:t>
      </w:r>
      <w:r>
        <w:rPr>
          <w:sz w:val="20"/>
          <w:szCs w:val="20"/>
          <w:color w:val="auto"/>
        </w:rPr>
        <w:tab/>
      </w:r>
      <w:r>
        <w:rPr>
          <w:rFonts w:ascii="Times New Roman" w:cs="Times New Roman" w:eastAsia="Times New Roman" w:hAnsi="Times New Roman"/>
          <w:sz w:val="18"/>
          <w:szCs w:val="18"/>
          <w:i w:val="1"/>
          <w:iCs w:val="1"/>
          <w:color w:val="auto"/>
        </w:rPr>
        <w:t xml:space="preserve">Section 409A of the Code. </w:t>
      </w:r>
      <w:r>
        <w:rPr>
          <w:rFonts w:ascii="Times New Roman" w:cs="Times New Roman" w:eastAsia="Times New Roman" w:hAnsi="Times New Roman"/>
          <w:sz w:val="18"/>
          <w:szCs w:val="18"/>
          <w:color w:val="auto"/>
        </w:rPr>
        <w:t>With respect to Awards subject to Section 409A of the Code, the Plan is intended to comply with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of Section 409A of the Code, and the provisions of the Plan and any Award Document shall be interpreted in a manner that satisfies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of Section 409A of the Code, and the Plan shall be operated accordingly. If any provision of the Plan or any term or condition of any Award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otherwise frustrate or conflict with this intent, the provision, term or condition shall be interpreted and deemed amended so as to avoid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conflict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Notwithstanding anything in the Plan to the contrary, if the Board considers a Participant to be a “specified employee” under Section 409A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 at the time of such Participant’s “separation from service” (as defined in Section 409A of the Code), and any amount hereunder is “deferred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subject to</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4" w:name="page25"/>
    <w:bookmarkEnd w:id="24"/>
    <w:p>
      <w:pPr>
        <w:ind w:right="20"/>
        <w:spacing w:after="0" w:line="254" w:lineRule="auto"/>
        <w:rPr>
          <w:sz w:val="20"/>
          <w:szCs w:val="20"/>
          <w:color w:val="auto"/>
        </w:rPr>
      </w:pPr>
      <w:r>
        <w:rPr>
          <w:rFonts w:ascii="Times New Roman" w:cs="Times New Roman" w:eastAsia="Times New Roman" w:hAnsi="Times New Roman"/>
          <w:sz w:val="18"/>
          <w:szCs w:val="18"/>
          <w:color w:val="auto"/>
        </w:rPr>
        <w:t>Section 409A of the Code, any distribution of such amount that otherwise would be made to such Participant with respect to an Award as a result of such “separation from service” shall not be made until the date that is six months after such “separation from service,” except to the extent that earlier distribution would not result in such Participant’s incurring interest or additional tax under Section 409A of the Code. If an Award includes a “series of installment payments” (within the meaning of Section 1.409A-2(b)(2)(iii) of the Treasury Regulations), the Participant’s right to such series of installment payments shall be treated as a right to a series of separate payments and not as a right to a single payment, and if an Award includes “dividend equivalents” (within the meaning of Section 1.409A-3(e) of the Treasury Regulations), the Participant’s right to such dividend equivalents shall be treated separately from the right to other amounts under the Award. Notwithstanding the foregoing, the tax treatment of the benefits provided under the Plan or any Award Document is not warranted or guaranteed, and in no event shall the Company be liable for all or any portion of any taxes, penalties, interest or other expenses that may be incurred by any Participant on account of non-compliance with Section 409A of the Code.</w:t>
      </w:r>
    </w:p>
    <w:p>
      <w:pPr>
        <w:spacing w:after="0" w:line="186"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i w:val="1"/>
          <w:iCs w:val="1"/>
          <w:color w:val="auto"/>
        </w:rPr>
        <w:t>Data Protection</w:t>
      </w:r>
      <w:r>
        <w:rPr>
          <w:rFonts w:ascii="Times New Roman" w:cs="Times New Roman" w:eastAsia="Times New Roman" w:hAnsi="Times New Roman"/>
          <w:sz w:val="18"/>
          <w:szCs w:val="18"/>
          <w:color w:val="auto"/>
        </w:rPr>
        <w:t>. The Company holds and processes personal information provided by a Participant, such as name, account information, social security number, tax number and contact information, and uses a Participant’s personal data within the Company’s legitimate business purposes and as necessary for all purposes relating to the operation and performance of the Plan. These are:</w:t>
      </w:r>
    </w:p>
    <w:p>
      <w:pPr>
        <w:spacing w:after="0" w:line="175" w:lineRule="exact"/>
        <w:rPr>
          <w:sz w:val="20"/>
          <w:szCs w:val="20"/>
          <w:color w:val="auto"/>
        </w:rPr>
      </w:pPr>
    </w:p>
    <w:p>
      <w:pPr>
        <w:ind w:left="1840" w:hanging="1184"/>
        <w:spacing w:after="0"/>
        <w:tabs>
          <w:tab w:leader="none" w:pos="1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and maintaining Participant records;</w:t>
      </w:r>
    </w:p>
    <w:p>
      <w:pPr>
        <w:spacing w:after="0" w:line="225" w:lineRule="exact"/>
        <w:rPr>
          <w:rFonts w:ascii="Times New Roman" w:cs="Times New Roman" w:eastAsia="Times New Roman" w:hAnsi="Times New Roman"/>
          <w:sz w:val="18"/>
          <w:szCs w:val="18"/>
          <w:color w:val="auto"/>
        </w:rPr>
      </w:pPr>
    </w:p>
    <w:p>
      <w:pPr>
        <w:ind w:left="1860" w:hanging="1204"/>
        <w:spacing w:after="0"/>
        <w:tabs>
          <w:tab w:leader="none" w:pos="1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services described in the Plan;</w:t>
      </w:r>
    </w:p>
    <w:p>
      <w:pPr>
        <w:spacing w:after="0" w:line="225" w:lineRule="exact"/>
        <w:rPr>
          <w:rFonts w:ascii="Times New Roman" w:cs="Times New Roman" w:eastAsia="Times New Roman" w:hAnsi="Times New Roman"/>
          <w:sz w:val="18"/>
          <w:szCs w:val="18"/>
          <w:color w:val="auto"/>
        </w:rPr>
      </w:pPr>
    </w:p>
    <w:p>
      <w:pPr>
        <w:ind w:left="1840" w:hanging="1184"/>
        <w:spacing w:after="0"/>
        <w:tabs>
          <w:tab w:leader="none" w:pos="1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information to future purchasers or merger partners of the Company or any Affiliate, or the business in which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works; and</w:t>
      </w:r>
    </w:p>
    <w:p>
      <w:pPr>
        <w:spacing w:after="0" w:line="206" w:lineRule="exact"/>
        <w:rPr>
          <w:rFonts w:ascii="Times New Roman" w:cs="Times New Roman" w:eastAsia="Times New Roman" w:hAnsi="Times New Roman"/>
          <w:sz w:val="18"/>
          <w:szCs w:val="18"/>
          <w:color w:val="auto"/>
        </w:rPr>
      </w:pPr>
    </w:p>
    <w:p>
      <w:pPr>
        <w:ind w:left="1860" w:hanging="1204"/>
        <w:spacing w:after="0"/>
        <w:tabs>
          <w:tab w:leader="none" w:pos="1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public authorities, court orders and legal investigations, as applicable.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may share a Participant’s personal data with (i) Affiliates, (ii) trustees of any employee benefit trust, (iii) registrars, (iv) brokers, (v) third party administrators of the Plan or (vi) regulators and others, as required by law.</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If necessary, the Company may transfer a Participant’s personal data to any of the parties mentioned above in any country or territory that may not provide the same protection for the information as a Participant’s home country. Any transfer of a Participant’s personal data from the E.U. to a third country is subject to appropriate safeguards in the form of EU standard contractual clauses (according to decisions 2001/497/EC, 2004/915/EC, 2010/87/EU) or applicable derogations provided for under applicable law. Further information on those safeguards or derogations can be obtained through the contact listed below.</w:t>
      </w:r>
    </w:p>
    <w:p>
      <w:pPr>
        <w:spacing w:after="0" w:line="183"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Company will keep personal information for as long as necessary to operate the Plan or as necessary to comply with any legal or regulatory requirements.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5" w:name="page26"/>
    <w:bookmarkEnd w:id="25"/>
    <w:p>
      <w:pPr>
        <w:ind w:firstLine="648"/>
        <w:spacing w:after="0" w:line="266" w:lineRule="auto"/>
        <w:rPr>
          <w:sz w:val="20"/>
          <w:szCs w:val="20"/>
          <w:color w:val="auto"/>
        </w:rPr>
      </w:pPr>
      <w:r>
        <w:rPr>
          <w:rFonts w:ascii="Times New Roman" w:cs="Times New Roman" w:eastAsia="Times New Roman" w:hAnsi="Times New Roman"/>
          <w:sz w:val="18"/>
          <w:szCs w:val="18"/>
          <w:color w:val="auto"/>
        </w:rPr>
        <w:t>A Participant has a right to (i) request access to and rectification or erasure of the personal data provided, (ii) request the restriction of the processing of his or her personal data, (iii) object to the processing of his or her personal data, (iv) receive the personal data provided to the Company and transmit such data to another party, and (v) to lodge a complaint with a supervisory authority.</w:t>
      </w:r>
    </w:p>
    <w:p>
      <w:pPr>
        <w:spacing w:after="0" w:line="174"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Plan and each Award Document shall be governed by the laws of the State of Delaware, without application of the conflicts of law principles thereof.</w:t>
      </w:r>
    </w:p>
    <w:p>
      <w:pPr>
        <w:spacing w:after="0" w:line="2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580" w:right="49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S-8</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Kosmos Energy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Fee</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vMerge w:val="restart"/>
          </w:tcPr>
          <w:p>
            <w:pPr>
              <w:spacing w:after="0"/>
              <w:rPr>
                <w:sz w:val="12"/>
                <w:szCs w:val="12"/>
                <w:color w:val="auto"/>
              </w:rPr>
            </w:pPr>
          </w:p>
        </w:tc>
        <w:tc>
          <w:tcPr>
            <w:tcW w:w="248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vMerge w:val="restart"/>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vMerge w:val="restart"/>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180" w:type="dxa"/>
            <w:vAlign w:val="bottom"/>
            <w:gridSpan w:val="2"/>
            <w:vMerge w:val="continue"/>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4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4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20" w:type="dxa"/>
            <w:vAlign w:val="bottom"/>
          </w:tcPr>
          <w:p>
            <w:pPr>
              <w:spacing w:after="0"/>
              <w:rPr>
                <w:sz w:val="15"/>
                <w:szCs w:val="15"/>
                <w:color w:val="auto"/>
              </w:rPr>
            </w:pPr>
          </w:p>
        </w:tc>
        <w:tc>
          <w:tcPr>
            <w:tcW w:w="10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0" w:type="dxa"/>
            <w:vAlign w:val="bottom"/>
          </w:tcPr>
          <w:p>
            <w:pPr>
              <w:spacing w:after="0"/>
              <w:rPr>
                <w:sz w:val="1"/>
                <w:szCs w:val="1"/>
                <w:color w:val="auto"/>
              </w:rPr>
            </w:pPr>
          </w:p>
        </w:tc>
      </w:tr>
      <w:tr>
        <w:trPr>
          <w:trHeight w:val="250"/>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par value $0.01</w:t>
            </w:r>
          </w:p>
        </w:tc>
        <w:tc>
          <w:tcPr>
            <w:tcW w:w="74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Other</w:t>
            </w: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16,000,000</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   2.92</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46,720,000.00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$ 6,452.03</w:t>
            </w: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40" w:type="dxa"/>
            <w:vAlign w:val="bottom"/>
            <w:gridSpan w:val="5"/>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Total Offering Amounts:</w:t>
            </w:r>
          </w:p>
        </w:tc>
        <w:tc>
          <w:tcPr>
            <w:tcW w:w="1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5"/>
            <w:vMerge w:val="continue"/>
          </w:tcPr>
          <w:p>
            <w:pPr>
              <w:spacing w:after="0"/>
              <w:rPr>
                <w:sz w:val="16"/>
                <w:szCs w:val="16"/>
                <w:color w:val="auto"/>
              </w:rPr>
            </w:pPr>
          </w:p>
        </w:tc>
        <w:tc>
          <w:tcPr>
            <w:tcW w:w="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46,720,000.00</w:t>
            </w:r>
          </w:p>
        </w:tc>
        <w:tc>
          <w:tcPr>
            <w:tcW w:w="1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6,452.03</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Total Fee Offsets: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9"/>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Net Fee Due: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$ 6,452.03</w:t>
            </w:r>
          </w:p>
        </w:tc>
        <w:tc>
          <w:tcPr>
            <w:tcW w:w="0" w:type="dxa"/>
            <w:vAlign w:val="bottom"/>
          </w:tcPr>
          <w:p>
            <w:pPr>
              <w:spacing w:after="0"/>
              <w:rPr>
                <w:sz w:val="1"/>
                <w:szCs w:val="1"/>
                <w:color w:val="auto"/>
              </w:rPr>
            </w:pPr>
          </w:p>
        </w:tc>
      </w:tr>
      <w:tr>
        <w:trPr>
          <w:trHeight w:val="21"/>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58" w:lineRule="auto"/>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on Form S-8 (this “Registration Statement”) covers shares of common stock, par value $0.01 per share (“Common Stock”), of Kosmos Energy Ltd. (the “Company” or the “Registrant”) (i) issuable pursuant to the Kosmos Energy Ltd. Long Term Incentive Plan (amended and restated as of March 4, 2026 (the “Plan”)) and (ii) pursuant to Rule 416(a) under the Securities Act of 1933, as amended (the “Securities Act”), any additional shares of Common Stock that may become issuable under the Plan by reason of any share dividend, share split or other similar transaction.</w:t>
      </w:r>
    </w:p>
    <w:p>
      <w:pPr>
        <w:spacing w:after="0" w:line="183"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offering price per unit and amount of registration fee are rounded to the nearest whole cent.</w:t>
      </w:r>
    </w:p>
    <w:p>
      <w:pPr>
        <w:spacing w:after="0" w:line="225"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aggregate offering price is estimated solely for the purpose of determining the registration fee pursuant to Rule 457(h) and Rule 457(c) under the Securities Act, based upon the average of the high and low sales prices for a share of Common Stock as quoted on the New York Stock Exchange on May 26, 2026.</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lowerLetter"/>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lowerLetter"/>
      <w:start w:val="1"/>
    </w:lvl>
    <w:lvl w:ilvl="1">
      <w:lvlJc w:val="left"/>
      <w:lvlText w:val="(%2)"/>
      <w:numFmt w:val="lowerRoman"/>
      <w:start w:val="1"/>
    </w:lvl>
  </w:abstractNum>
  <w:abstractNum w:abstractNumId="3">
    <w:nsid w:val="7C83E458"/>
    <w:multiLevelType w:val="hybridMultilevel"/>
    <w:lvl w:ilvl="0">
      <w:lvlJc w:val="left"/>
      <w:lvlText w:val="%1"/>
      <w:numFmt w:val="lowerLetter"/>
      <w:start w:val="1"/>
    </w:lvl>
    <w:lvl w:ilvl="1">
      <w:lvlJc w:val="left"/>
      <w:lvlText w:val="(%2)"/>
      <w:numFmt w:val="lowerRoman"/>
      <w:start w:val="3"/>
    </w:lvl>
  </w:abstractNum>
  <w:abstractNum w:abstractNumId="4">
    <w:nsid w:val="257130A3"/>
    <w:multiLevelType w:val="hybridMultilevel"/>
    <w:lvl w:ilvl="0">
      <w:lvlJc w:val="left"/>
      <w:lvlText w:val="(%1)"/>
      <w:numFmt w:val="lowerLetter"/>
      <w:start w:val="8"/>
    </w:lvl>
    <w:lvl w:ilvl="1">
      <w:lvlJc w:val="left"/>
      <w:lvlText w:val="(%2)"/>
      <w:numFmt w:val="lowerRoman"/>
      <w:start w:val="1"/>
    </w:lvl>
  </w:abstractNum>
  <w:abstractNum w:abstractNumId="5">
    <w:nsid w:val="62BBD95A"/>
    <w:multiLevelType w:val="hybridMultilevel"/>
    <w:lvl w:ilvl="0">
      <w:lvlJc w:val="left"/>
      <w:lvlText w:val="%1"/>
      <w:numFmt w:val="lowerLetter"/>
      <w:start w:val="1"/>
    </w:lvl>
    <w:lvl w:ilvl="1">
      <w:lvlJc w:val="left"/>
      <w:lvlText w:val="(%2)"/>
      <w:numFmt w:val="lowerRoman"/>
      <w:start w:val="4"/>
    </w:lvl>
  </w:abstractNum>
  <w:abstractNum w:abstractNumId="6">
    <w:nsid w:val="436C6125"/>
    <w:multiLevelType w:val="hybridMultilevel"/>
    <w:lvl w:ilvl="0">
      <w:lvlJc w:val="left"/>
      <w:lvlText w:val="(%1)"/>
      <w:numFmt w:val="lowerLetter"/>
      <w:start w:val="9"/>
    </w:lvl>
    <w:lvl w:ilvl="1">
      <w:lvlJc w:val="left"/>
      <w:lvlText w:val="%2"/>
      <w:numFmt w:val="lowerRoman"/>
      <w:start w:val="1"/>
    </w:lvl>
  </w:abstractNum>
  <w:abstractNum w:abstractNumId="7">
    <w:nsid w:val="628C895D"/>
    <w:multiLevelType w:val="hybridMultilevel"/>
    <w:lvl w:ilvl="0">
      <w:lvlJc w:val="left"/>
      <w:lvlText w:val="(%1)"/>
      <w:numFmt w:val="lowerLetter"/>
      <w:start w:val="14"/>
    </w:lvl>
    <w:lvl w:ilvl="1">
      <w:lvlJc w:val="left"/>
      <w:lvlText w:val="(%2)"/>
      <w:numFmt w:val="lowerRoman"/>
      <w:start w:val="1"/>
    </w:lvl>
  </w:abstractNum>
  <w:abstractNum w:abstractNumId="8">
    <w:nsid w:val="333AB105"/>
    <w:multiLevelType w:val="hybridMultilevel"/>
    <w:lvl w:ilvl="0">
      <w:lvlJc w:val="left"/>
      <w:lvlText w:val="(%1)"/>
      <w:numFmt w:val="lowerLetter"/>
      <w:start w:val="17"/>
    </w:lvl>
  </w:abstractNum>
  <w:abstractNum w:abstractNumId="9">
    <w:nsid w:val="721DA317"/>
    <w:multiLevelType w:val="hybridMultilevel"/>
    <w:lvl w:ilvl="0">
      <w:lvlJc w:val="left"/>
      <w:lvlText w:val="(%1)"/>
      <w:numFmt w:val="lowerLetter"/>
      <w:start w:val="21"/>
    </w:lvl>
  </w:abstractNum>
  <w:abstractNum w:abstractNumId="10">
    <w:nsid w:val="2443A858"/>
    <w:multiLevelType w:val="hybridMultilevel"/>
    <w:lvl w:ilvl="0">
      <w:lvlJc w:val="left"/>
      <w:lvlText w:val="(%1)"/>
      <w:numFmt w:val="lowerLetter"/>
      <w:start w:val="27"/>
    </w:lvl>
    <w:lvl w:ilvl="1">
      <w:lvlJc w:val="left"/>
      <w:lvlText w:val="(%2)"/>
      <w:numFmt w:val="lowerRoman"/>
      <w:start w:val="1"/>
    </w:lvl>
  </w:abstractNum>
  <w:abstractNum w:abstractNumId="11">
    <w:nsid w:val="2D1D5AE9"/>
    <w:multiLevelType w:val="hybridMultilevel"/>
    <w:lvl w:ilvl="0">
      <w:lvlJc w:val="left"/>
      <w:lvlText w:val="(%1)"/>
      <w:numFmt w:val="lowerLetter"/>
      <w:start w:val="1"/>
    </w:lvl>
  </w:abstractNum>
  <w:abstractNum w:abstractNumId="12">
    <w:nsid w:val="6763845E"/>
    <w:multiLevelType w:val="hybridMultilevel"/>
    <w:lvl w:ilvl="0">
      <w:lvlJc w:val="left"/>
      <w:lvlText w:val="(%1)"/>
      <w:numFmt w:val="lowerLetter"/>
      <w:start w:val="1"/>
    </w:lvl>
  </w:abstractNum>
  <w:abstractNum w:abstractNumId="13">
    <w:nsid w:val="75A2A8D4"/>
    <w:multiLevelType w:val="hybridMultilevel"/>
    <w:lvl w:ilvl="0">
      <w:lvlJc w:val="left"/>
      <w:lvlText w:val="(%1)"/>
      <w:numFmt w:val="lowerLetter"/>
      <w:start w:val="1"/>
    </w:lvl>
  </w:abstractNum>
  <w:abstractNum w:abstractNumId="14">
    <w:nsid w:val="8EDBDAB"/>
    <w:multiLevelType w:val="hybridMultilevel"/>
    <w:lvl w:ilvl="0">
      <w:lvlJc w:val="left"/>
      <w:lvlText w:val="(%1)"/>
      <w:numFmt w:val="lowerRoman"/>
      <w:start w:val="1"/>
    </w:lvl>
  </w:abstractNum>
  <w:abstractNum w:abstractNumId="15">
    <w:nsid w:val="79838CB2"/>
    <w:multiLevelType w:val="hybridMultilevel"/>
    <w:lvl w:ilvl="0">
      <w:lvlJc w:val="left"/>
      <w:lvlText w:val="%1"/>
      <w:numFmt w:val="lowerLetter"/>
      <w:start w:val="1"/>
    </w:lvl>
    <w:lvl w:ilvl="1">
      <w:lvlJc w:val="left"/>
      <w:lvlText w:val="(%2)"/>
      <w:numFmt w:val="lowerLetter"/>
      <w:start w:val="4"/>
    </w:lvl>
  </w:abstractNum>
  <w:abstractNum w:abstractNumId="16">
    <w:nsid w:val="4353D0CD"/>
    <w:multiLevelType w:val="hybridMultilevel"/>
    <w:lvl w:ilvl="0">
      <w:lvlJc w:val="left"/>
      <w:lvlText w:val="(%1)"/>
      <w:numFmt w:val="lowerLetter"/>
      <w:start w:val="61"/>
    </w:lvl>
    <w:lvl w:ilvl="1">
      <w:lvlJc w:val="left"/>
      <w:lvlText w:val="(%2)"/>
      <w:numFmt w:val="lowerLetter"/>
      <w:start w:val="6"/>
    </w:lvl>
  </w:abstractNum>
  <w:abstractNum w:abstractNumId="17">
    <w:nsid w:val="B03E0C6"/>
    <w:multiLevelType w:val="hybridMultilevel"/>
    <w:lvl w:ilvl="0">
      <w:lvlJc w:val="left"/>
      <w:lvlText w:val="(%1)"/>
      <w:numFmt w:val="lowerLetter"/>
      <w:start w:val="1"/>
    </w:lvl>
  </w:abstractNum>
  <w:abstractNum w:abstractNumId="18">
    <w:nsid w:val="189A769B"/>
    <w:multiLevelType w:val="hybridMultilevel"/>
    <w:lvl w:ilvl="0">
      <w:lvlJc w:val="left"/>
      <w:lvlText w:val="(%1)"/>
      <w:numFmt w:val="lowerLetter"/>
      <w:start w:val="5"/>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lowerLetter"/>
      <w:start w:val="1"/>
    </w:lvl>
  </w:abstractNum>
  <w:abstractNum w:abstractNumId="21">
    <w:nsid w:val="2CA88611"/>
    <w:multiLevelType w:val="hybridMultilevel"/>
    <w:lvl w:ilvl="0">
      <w:lvlJc w:val="left"/>
      <w:lvlText w:val="(%1)"/>
      <w:numFmt w:val="lowerLetter"/>
      <w:start w:val="4"/>
    </w:lvl>
  </w:abstractNum>
  <w:abstractNum w:abstractNumId="22">
    <w:nsid w:val="836C40E"/>
    <w:multiLevelType w:val="hybridMultilevel"/>
    <w:lvl w:ilvl="0">
      <w:lvlJc w:val="left"/>
      <w:lvlText w:val="(%1)"/>
      <w:numFmt w:val="lowerLetter"/>
      <w:start w:val="1"/>
    </w:lvl>
  </w:abstractNum>
  <w:abstractNum w:abstractNumId="23">
    <w:nsid w:val="2901D82"/>
    <w:multiLevelType w:val="hybridMultilevel"/>
    <w:lvl w:ilvl="0">
      <w:lvlJc w:val="left"/>
      <w:lvlText w:val="(%1)"/>
      <w:numFmt w:val="lowerLetter"/>
      <w:start w:val="3"/>
    </w:lvl>
  </w:abstractNum>
  <w:abstractNum w:abstractNumId="24">
    <w:nsid w:val="3A95F874"/>
    <w:multiLevelType w:val="hybridMultilevel"/>
    <w:lvl w:ilvl="0">
      <w:lvlJc w:val="left"/>
      <w:lvlText w:val="(%1)"/>
      <w:numFmt w:val="lowerLetter"/>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Letter"/>
      <w:start w:val="2"/>
    </w:lvl>
  </w:abstractNum>
  <w:abstractNum w:abstractNumId="27">
    <w:nsid w:val="7C3DBD3D"/>
    <w:multiLevelType w:val="hybridMultilevel"/>
    <w:lvl w:ilvl="0">
      <w:lvlJc w:val="left"/>
      <w:lvlText w:val="(%1)"/>
      <w:numFmt w:val="lowerLetter"/>
      <w:start w:val="8"/>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lowerLetter"/>
      <w:start w:val="5"/>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lowerLetter"/>
      <w:start w:val="6"/>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jpe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jpe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13" Type="http://schemas.openxmlformats.org/officeDocument/2006/relationships/hyperlink" Target="https://www.sec.gov/ix?doc=/Archives/edgar/data/1509991/000150999126000017/kos-20251231.htm" TargetMode="External"/><Relationship Id="rId14" Type="http://schemas.openxmlformats.org/officeDocument/2006/relationships/hyperlink" Target="https://www.sec.gov/ix?doc=/Archives/edgar/data/1509991/000114036126014971/ny20062729x1_def14a.htm" TargetMode="External"/><Relationship Id="rId15" Type="http://schemas.openxmlformats.org/officeDocument/2006/relationships/hyperlink" Target="https://www.sec.gov/Archives/edgar/data/1509991/000150999120000052/kos-12312019x10kex42.htm" TargetMode="External"/><Relationship Id="rId18" Type="http://schemas.openxmlformats.org/officeDocument/2006/relationships/hyperlink" Target="http://www.sec.gov/Archives/edgar/data/1509991/000095010318015162/dp100088_ex0301.htm" TargetMode="External"/><Relationship Id="rId19" Type="http://schemas.openxmlformats.org/officeDocument/2006/relationships/hyperlink" Target="https://www.sec.gov/Archives/edgar/data/1509991/000095010318015162/dp100088_ex0301.htm" TargetMode="External"/><Relationship Id="rId20" Type="http://schemas.openxmlformats.org/officeDocument/2006/relationships/hyperlink" Target="http://www.sec.gov/ix?doc=/Archives/edgar/data/1509991/000150999122000023/kos-20220310.htm" TargetMode="External"/><Relationship Id="rId21" Type="http://schemas.openxmlformats.org/officeDocument/2006/relationships/hyperlink" Target="https://www.sec.gov/ix?doc=/Archives/edgar/data/1509991/000150999122000023/kos-20220310.htm" TargetMode="External"/><Relationship Id="rId22" Type="http://schemas.openxmlformats.org/officeDocument/2006/relationships/hyperlink" Target="http://www.sec.gov/Archives/edgar/data/1509991/000095010318015162/dp100088_ex0401.htm" TargetMode="External"/><Relationship Id="rId23" Type="http://schemas.openxmlformats.org/officeDocument/2006/relationships/hyperlink" Target="https://www.sec.gov/Archives/edgar/data/1509991/000095010318015162/dp100088_ex0401.htm" TargetMode="External"/><Relationship Id="rId24" Type="http://schemas.openxmlformats.org/officeDocument/2006/relationships/hyperlink" Target="http://www.sec.gov/Archives/edgar/data/1509991/000150999120000052/kos-12312019x10k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2026-05-29T17:49:15Z</dcterms:created>
  <dcterms:modified xsi:type="dcterms:W3CDTF">2026-05-29T17:49:15Z</dcterms:modified>
</cp:coreProperties>
</file>