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0001806050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46"/>
        <w:gridCol w:w="2959"/>
      </w:tblGrid>
      <w:tr>
        <w:trPr/>
        <w:tc>
          <w:tcPr>
            <w:tcW w:w="7246" w:type="dxa"/>
            <w:tcBorders/>
            <w:vAlign w:val="center"/>
          </w:tcPr>
          <w:p>
            <w:pPr>
              <w:pStyle w:val="TableContents"/>
              <w:bidi w:val="0"/>
              <w:spacing w:before="0" w:after="283"/>
              <w:jc w:val="left"/>
              <w:rPr/>
            </w:pPr>
            <w:r>
              <w:rPr/>
              <w:t>Name of Issuer</w:t>
            </w:r>
          </w:p>
        </w:tc>
        <w:tc>
          <w:tcPr>
            <w:tcW w:w="2959" w:type="dxa"/>
            <w:tcBorders/>
            <w:vAlign w:val="center"/>
          </w:tcPr>
          <w:p>
            <w:pPr>
              <w:pStyle w:val="TableContents"/>
              <w:bidi w:val="0"/>
              <w:spacing w:before="0" w:after="0"/>
              <w:jc w:val="left"/>
              <w:rPr/>
            </w:pPr>
            <w:r>
              <w:rPr/>
              <w:t>Kosmos Energy Ltd.</w:t>
            </w:r>
          </w:p>
        </w:tc>
      </w:tr>
      <w:tr>
        <w:trPr/>
        <w:tc>
          <w:tcPr>
            <w:tcW w:w="7246" w:type="dxa"/>
            <w:tcBorders/>
            <w:vAlign w:val="center"/>
          </w:tcPr>
          <w:p>
            <w:pPr>
              <w:pStyle w:val="TableContents"/>
              <w:bidi w:val="0"/>
              <w:spacing w:before="0" w:after="283"/>
              <w:jc w:val="left"/>
              <w:rPr/>
            </w:pPr>
            <w:r>
              <w:rPr/>
              <w:t>SEC File Number</w:t>
            </w:r>
          </w:p>
        </w:tc>
        <w:tc>
          <w:tcPr>
            <w:tcW w:w="2959" w:type="dxa"/>
            <w:tcBorders/>
            <w:vAlign w:val="center"/>
          </w:tcPr>
          <w:p>
            <w:pPr>
              <w:pStyle w:val="TableContents"/>
              <w:bidi w:val="0"/>
              <w:spacing w:before="0" w:after="0"/>
              <w:jc w:val="left"/>
              <w:rPr/>
            </w:pPr>
            <w:r>
              <w:rPr/>
              <w:t>001-35167</w:t>
            </w:r>
          </w:p>
        </w:tc>
      </w:tr>
      <w:tr>
        <w:trPr/>
        <w:tc>
          <w:tcPr>
            <w:tcW w:w="7246" w:type="dxa"/>
            <w:tcBorders/>
            <w:vAlign w:val="center"/>
          </w:tcPr>
          <w:p>
            <w:pPr>
              <w:pStyle w:val="TableContents"/>
              <w:bidi w:val="0"/>
              <w:spacing w:before="0" w:after="283"/>
              <w:jc w:val="left"/>
              <w:rPr/>
            </w:pPr>
            <w:r>
              <w:rPr/>
              <w:t>Address of Issuer</w:t>
            </w:r>
          </w:p>
        </w:tc>
        <w:tc>
          <w:tcPr>
            <w:tcW w:w="2959" w:type="dxa"/>
            <w:tcBorders/>
            <w:vAlign w:val="center"/>
          </w:tcPr>
          <w:p>
            <w:pPr>
              <w:pStyle w:val="TableContents"/>
              <w:bidi w:val="0"/>
              <w:spacing w:before="0" w:after="0"/>
              <w:jc w:val="left"/>
              <w:rPr/>
            </w:pPr>
            <w:r>
              <w:rPr/>
              <w:t>8176 PARK LANE</w:t>
              <w:br/>
              <w:t>SUITE 500</w:t>
              <w:br/>
              <w:t>DALLAS</w:t>
              <w:br/>
              <w:t xml:space="preserve">TEXAS </w:t>
              <w:br/>
              <w:t>75231</w:t>
            </w:r>
          </w:p>
        </w:tc>
      </w:tr>
      <w:tr>
        <w:trPr/>
        <w:tc>
          <w:tcPr>
            <w:tcW w:w="7246" w:type="dxa"/>
            <w:tcBorders/>
            <w:vAlign w:val="center"/>
          </w:tcPr>
          <w:p>
            <w:pPr>
              <w:pStyle w:val="TableContents"/>
              <w:bidi w:val="0"/>
              <w:spacing w:before="0" w:after="283"/>
              <w:jc w:val="left"/>
              <w:rPr/>
            </w:pPr>
            <w:r>
              <w:rPr/>
              <w:t>Phone</w:t>
            </w:r>
          </w:p>
        </w:tc>
        <w:tc>
          <w:tcPr>
            <w:tcW w:w="2959" w:type="dxa"/>
            <w:tcBorders/>
            <w:vAlign w:val="center"/>
          </w:tcPr>
          <w:p>
            <w:pPr>
              <w:pStyle w:val="TableContents"/>
              <w:bidi w:val="0"/>
              <w:spacing w:before="0" w:after="0"/>
              <w:jc w:val="left"/>
              <w:rPr/>
            </w:pPr>
            <w:r>
              <w:rPr/>
              <w:t>(214) 445-9600</w:t>
            </w:r>
          </w:p>
        </w:tc>
      </w:tr>
      <w:tr>
        <w:trPr/>
        <w:tc>
          <w:tcPr>
            <w:tcW w:w="7246" w:type="dxa"/>
            <w:tcBorders/>
            <w:vAlign w:val="center"/>
          </w:tcPr>
          <w:p>
            <w:pPr>
              <w:pStyle w:val="TableContents"/>
              <w:bidi w:val="0"/>
              <w:spacing w:before="0" w:after="283"/>
              <w:jc w:val="left"/>
              <w:rPr/>
            </w:pPr>
            <w:r>
              <w:rPr/>
              <w:t>Name of Person for Whose Account the Securities are To Be Sold</w:t>
            </w:r>
          </w:p>
        </w:tc>
        <w:tc>
          <w:tcPr>
            <w:tcW w:w="2959" w:type="dxa"/>
            <w:tcBorders/>
            <w:vAlign w:val="center"/>
          </w:tcPr>
          <w:p>
            <w:pPr>
              <w:pStyle w:val="TableContents"/>
              <w:bidi w:val="0"/>
              <w:spacing w:before="0" w:after="0"/>
              <w:jc w:val="left"/>
              <w:rPr/>
            </w:pPr>
            <w:r>
              <w:rPr/>
              <w:t>Shah Nealesh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46" w:type="dxa"/>
            <w:tcBorders/>
            <w:vAlign w:val="center"/>
          </w:tcPr>
          <w:p>
            <w:pPr>
              <w:pStyle w:val="TableContents"/>
              <w:bidi w:val="0"/>
              <w:spacing w:before="0" w:after="283"/>
              <w:jc w:val="left"/>
              <w:rPr/>
            </w:pPr>
            <w:r>
              <w:rPr/>
              <w:t>Relationship to Issuer</w:t>
            </w:r>
          </w:p>
        </w:tc>
        <w:tc>
          <w:tcPr>
            <w:tcW w:w="29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45980</w:t>
            </w:r>
          </w:p>
        </w:tc>
        <w:tc>
          <w:tcPr>
            <w:tcW w:w="1380" w:type="dxa"/>
            <w:tcBorders/>
            <w:vAlign w:val="center"/>
          </w:tcPr>
          <w:p>
            <w:pPr>
              <w:pStyle w:val="TableContents"/>
              <w:bidi w:val="0"/>
              <w:spacing w:before="0" w:after="283"/>
              <w:jc w:val="left"/>
              <w:rPr/>
            </w:pPr>
            <w:r>
              <w:rPr/>
              <w:t>94539.48</w:t>
            </w:r>
          </w:p>
        </w:tc>
        <w:tc>
          <w:tcPr>
            <w:tcW w:w="1555" w:type="dxa"/>
            <w:tcBorders/>
            <w:vAlign w:val="center"/>
          </w:tcPr>
          <w:p>
            <w:pPr>
              <w:pStyle w:val="TableContents"/>
              <w:bidi w:val="0"/>
              <w:spacing w:before="0" w:after="283"/>
              <w:jc w:val="left"/>
              <w:rPr/>
            </w:pPr>
            <w:r>
              <w:rPr/>
              <w:t>593189274</w:t>
            </w:r>
          </w:p>
        </w:tc>
        <w:tc>
          <w:tcPr>
            <w:tcW w:w="1569" w:type="dxa"/>
            <w:tcBorders/>
            <w:vAlign w:val="center"/>
          </w:tcPr>
          <w:p>
            <w:pPr>
              <w:pStyle w:val="TableContents"/>
              <w:bidi w:val="0"/>
              <w:spacing w:before="0" w:after="283"/>
              <w:jc w:val="left"/>
              <w:rPr/>
            </w:pPr>
            <w:r>
              <w:rPr/>
              <w:t>07/02/2026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45980</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07/02/2026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Jennifer Ruchti, as a duly authorized representative of Fidelity Brokerage Services LLC, as attorney-in-fact for Nealesh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3084</Characters>
  <CharactersWithSpaces>3636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