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Ball Christopher James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C/O KOSMOS ENERGY, LLC 8176 PARK LANE,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Kosmos Energy Ltd.</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KOS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SVP, Planning and Bus. Dev.</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9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7"/>
          </w:tcPr>
          <w:p>
            <w:pPr>
              <w:ind w:left="2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0000FF"/>
              </w:rPr>
              <w:t>DALLAS</w:t>
            </w:r>
          </w:p>
        </w:tc>
        <w:tc>
          <w:tcPr>
            <w:tcW w:w="800" w:type="dxa"/>
            <w:vAlign w:val="bottom"/>
            <w:vMerge w:val="restart"/>
          </w:tcPr>
          <w:p>
            <w:pPr>
              <w:ind w:left="56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75231</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5"/>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06/01/2018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2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0000FF"/>
                <w:w w:val="84"/>
              </w:rPr>
              <w:t>124,286</w:t>
            </w:r>
            <w:r>
              <w:rPr>
                <w:rFonts w:ascii="Arial" w:cs="Arial" w:eastAsia="Arial" w:hAnsi="Arial"/>
                <w:sz w:val="22"/>
                <w:szCs w:val="22"/>
                <w:color w:val="008000"/>
                <w:w w:val="84"/>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769,886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06/01/2018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12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0000FF"/>
                <w:w w:val="84"/>
              </w:rPr>
              <w:t>48,907</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7.95</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720,979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06/01/2018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center"/>
              <w:ind w:left="169"/>
              <w:spacing w:after="0"/>
              <w:rPr>
                <w:sz w:val="20"/>
                <w:szCs w:val="20"/>
                <w:color w:val="auto"/>
              </w:rPr>
            </w:pPr>
            <w:r>
              <w:rPr>
                <w:rFonts w:ascii="Arial" w:cs="Arial" w:eastAsia="Arial" w:hAnsi="Arial"/>
                <w:sz w:val="18"/>
                <w:szCs w:val="18"/>
                <w:color w:val="0000FF"/>
                <w:w w:val="82"/>
              </w:rPr>
              <w:t>6,114</w:t>
            </w:r>
            <w:r>
              <w:rPr>
                <w:rFonts w:ascii="Arial" w:cs="Arial" w:eastAsia="Arial" w:hAnsi="Arial"/>
                <w:sz w:val="22"/>
                <w:szCs w:val="22"/>
                <w:color w:val="008000"/>
                <w:w w:val="82"/>
                <w:vertAlign w:val="superscript"/>
              </w:rPr>
              <w:t>(2)</w:t>
            </w: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7.95</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714,865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issued on settlement of restricted share units granted to the reporting person on June 23, 2014 under the Issuer's Long Term Incentive Plan (the "Plan") that vested based on the level of achievement of the applicable performance condition.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were withheld by the Issuer to satisfy the tax withholding requirement arising from the vesting of restricted share units granted to the reporting person under the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3"/>
              </w:rPr>
              <w:t>By: /s/ Richard Stephens, as</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06/05/2018</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5399" TargetMode="External"/><Relationship Id="rId13" Type="http://schemas.openxmlformats.org/officeDocument/2006/relationships/hyperlink" Target="http://www.sec.gov/cgi-bin/browse-edgar?action=getcompany&amp;CIK=0001509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2019-12-07T21:07:24Z</dcterms:created>
  <dcterms:modified xsi:type="dcterms:W3CDTF">2019-12-07T21:07:24Z</dcterms:modified>
</cp:coreProperties>
</file>