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688975</wp:posOffset>
            </wp:positionV>
            <wp:extent cx="707199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6858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28,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KOSMOS ENERGY LTD.</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4700" w:type="dxa"/>
            <w:vAlign w:val="bottom"/>
            <w:gridSpan w:val="3"/>
          </w:tcPr>
          <w:p>
            <w:pPr>
              <w:ind w:left="142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680" w:type="dxa"/>
            <w:vAlign w:val="bottom"/>
          </w:tcPr>
          <w:p>
            <w:pPr>
              <w:jc w:val="center"/>
              <w:ind w:right="856"/>
              <w:spacing w:after="0"/>
              <w:rPr>
                <w:sz w:val="20"/>
                <w:szCs w:val="20"/>
                <w:color w:val="auto"/>
              </w:rPr>
            </w:pPr>
            <w:r>
              <w:rPr>
                <w:rFonts w:ascii="Times New Roman" w:cs="Times New Roman" w:eastAsia="Times New Roman" w:hAnsi="Times New Roman"/>
                <w:sz w:val="17"/>
                <w:szCs w:val="17"/>
                <w:b w:val="1"/>
                <w:bCs w:val="1"/>
                <w:color w:val="auto"/>
              </w:rPr>
              <w:t>001-35167</w:t>
            </w:r>
          </w:p>
        </w:tc>
        <w:tc>
          <w:tcPr>
            <w:tcW w:w="1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98-0686001</w:t>
            </w:r>
          </w:p>
        </w:tc>
      </w:tr>
      <w:tr>
        <w:trPr>
          <w:trHeight w:val="183"/>
        </w:trPr>
        <w:tc>
          <w:tcPr>
            <w:tcW w:w="4700" w:type="dxa"/>
            <w:vAlign w:val="bottom"/>
            <w:gridSpan w:val="3"/>
          </w:tcPr>
          <w:p>
            <w:pPr>
              <w:ind w:left="800"/>
              <w:spacing w:after="0" w:line="183" w:lineRule="exact"/>
              <w:rPr>
                <w:sz w:val="20"/>
                <w:szCs w:val="20"/>
                <w:color w:val="auto"/>
              </w:rPr>
            </w:pPr>
            <w:r>
              <w:rPr>
                <w:rFonts w:ascii="Times New Roman" w:cs="Times New Roman" w:eastAsia="Times New Roman" w:hAnsi="Times New Roman"/>
                <w:sz w:val="17"/>
                <w:szCs w:val="17"/>
                <w:color w:val="auto"/>
              </w:rPr>
              <w:t>(State or other jurisdiction</w:t>
            </w:r>
          </w:p>
        </w:tc>
        <w:tc>
          <w:tcPr>
            <w:tcW w:w="2860" w:type="dxa"/>
            <w:vAlign w:val="bottom"/>
            <w:gridSpan w:val="2"/>
          </w:tcPr>
          <w:p>
            <w:pPr>
              <w:jc w:val="center"/>
              <w:ind w:right="1140"/>
              <w:spacing w:after="0" w:line="183" w:lineRule="exact"/>
              <w:rPr>
                <w:sz w:val="20"/>
                <w:szCs w:val="20"/>
                <w:color w:val="auto"/>
              </w:rPr>
            </w:pPr>
            <w:r>
              <w:rPr>
                <w:rFonts w:ascii="Times New Roman" w:cs="Times New Roman" w:eastAsia="Times New Roman" w:hAnsi="Times New Roman"/>
                <w:sz w:val="17"/>
                <w:szCs w:val="17"/>
                <w:color w:val="auto"/>
              </w:rPr>
              <w:t>(Commission</w:t>
            </w:r>
          </w:p>
        </w:tc>
        <w:tc>
          <w:tcPr>
            <w:tcW w:w="36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470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of incorporation)</w:t>
            </w:r>
          </w:p>
        </w:tc>
        <w:tc>
          <w:tcPr>
            <w:tcW w:w="286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color w:val="auto"/>
                <w:w w:val="99"/>
              </w:rPr>
              <w:t>File Number)</w:t>
            </w: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38"/>
        </w:trPr>
        <w:tc>
          <w:tcPr>
            <w:tcW w:w="4700" w:type="dxa"/>
            <w:vAlign w:val="bottom"/>
            <w:gridSpan w:val="3"/>
          </w:tcPr>
          <w:p>
            <w:pPr>
              <w:ind w:left="2440"/>
              <w:spacing w:after="0"/>
              <w:rPr>
                <w:sz w:val="20"/>
                <w:szCs w:val="20"/>
                <w:color w:val="auto"/>
              </w:rPr>
            </w:pPr>
            <w:r>
              <w:rPr>
                <w:rFonts w:ascii="Times New Roman" w:cs="Times New Roman" w:eastAsia="Times New Roman" w:hAnsi="Times New Roman"/>
                <w:sz w:val="17"/>
                <w:szCs w:val="17"/>
                <w:b w:val="1"/>
                <w:bCs w:val="1"/>
                <w:color w:val="auto"/>
              </w:rPr>
              <w:t>8176 Park Lane</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0"/>
        </w:trPr>
        <w:tc>
          <w:tcPr>
            <w:tcW w:w="4700" w:type="dxa"/>
            <w:vAlign w:val="bottom"/>
            <w:gridSpan w:val="3"/>
          </w:tcPr>
          <w:p>
            <w:pPr>
              <w:jc w:val="center"/>
              <w:ind w:left="1156"/>
              <w:spacing w:after="0"/>
              <w:rPr>
                <w:sz w:val="20"/>
                <w:szCs w:val="20"/>
                <w:color w:val="auto"/>
              </w:rPr>
            </w:pPr>
            <w:r>
              <w:rPr>
                <w:rFonts w:ascii="Times New Roman" w:cs="Times New Roman" w:eastAsia="Times New Roman" w:hAnsi="Times New Roman"/>
                <w:sz w:val="17"/>
                <w:szCs w:val="17"/>
                <w:b w:val="1"/>
                <w:bCs w:val="1"/>
                <w:color w:val="auto"/>
                <w:w w:val="97"/>
              </w:rPr>
              <w:t>Dallas, Texas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jc w:val="right"/>
              <w:ind w:right="2036"/>
              <w:spacing w:after="0"/>
              <w:rPr>
                <w:sz w:val="20"/>
                <w:szCs w:val="20"/>
                <w:color w:val="auto"/>
              </w:rPr>
            </w:pPr>
            <w:r>
              <w:rPr>
                <w:rFonts w:ascii="Times New Roman" w:cs="Times New Roman" w:eastAsia="Times New Roman" w:hAnsi="Times New Roman"/>
                <w:sz w:val="17"/>
                <w:szCs w:val="17"/>
                <w:b w:val="1"/>
                <w:bCs w:val="1"/>
                <w:color w:val="auto"/>
              </w:rPr>
              <w:t>75231</w:t>
            </w:r>
          </w:p>
        </w:tc>
      </w:tr>
      <w:tr>
        <w:trPr>
          <w:trHeight w:val="230"/>
        </w:trPr>
        <w:tc>
          <w:tcPr>
            <w:tcW w:w="4700" w:type="dxa"/>
            <w:vAlign w:val="bottom"/>
            <w:gridSpan w:val="3"/>
          </w:tcPr>
          <w:p>
            <w:pPr>
              <w:jc w:val="center"/>
              <w:ind w:left="1196"/>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jc w:val="center"/>
              <w:ind w:right="976"/>
              <w:spacing w:after="0"/>
              <w:rPr>
                <w:sz w:val="20"/>
                <w:szCs w:val="20"/>
                <w:color w:val="auto"/>
              </w:rPr>
            </w:pPr>
            <w:r>
              <w:rPr>
                <w:rFonts w:ascii="Times New Roman" w:cs="Times New Roman" w:eastAsia="Times New Roman" w:hAnsi="Times New Roman"/>
                <w:sz w:val="17"/>
                <w:szCs w:val="17"/>
                <w:color w:val="auto"/>
              </w:rPr>
              <w:t>(Zip Code)</w:t>
            </w:r>
          </w:p>
        </w:tc>
      </w:tr>
      <w:tr>
        <w:trPr>
          <w:trHeight w:val="350"/>
        </w:trPr>
        <w:tc>
          <w:tcPr>
            <w:tcW w:w="4700" w:type="dxa"/>
            <w:vAlign w:val="bottom"/>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6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5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jc w:val="center"/>
              <w:ind w:right="856"/>
              <w:spacing w:after="0"/>
              <w:rPr>
                <w:sz w:val="20"/>
                <w:szCs w:val="20"/>
                <w:color w:val="auto"/>
              </w:rPr>
            </w:pPr>
            <w:r>
              <w:rPr>
                <w:rFonts w:ascii="Times New Roman" w:cs="Times New Roman" w:eastAsia="Times New Roman" w:hAnsi="Times New Roman"/>
                <w:sz w:val="16"/>
                <w:szCs w:val="16"/>
                <w:color w:val="auto"/>
              </w:rPr>
              <w:t>KOS</w:t>
            </w:r>
          </w:p>
        </w:tc>
        <w:tc>
          <w:tcPr>
            <w:tcW w:w="180" w:type="dxa"/>
            <w:vAlign w:val="bottom"/>
          </w:tcPr>
          <w:p>
            <w:pPr>
              <w:spacing w:after="0"/>
              <w:rPr>
                <w:sz w:val="17"/>
                <w:szCs w:val="17"/>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London Stock Exchange</w:t>
            </w:r>
          </w:p>
        </w:tc>
      </w:tr>
    </w:tbl>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+1 214 445 9600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0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77"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50"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9"/>
          <w:szCs w:val="19"/>
          <w:color w:val="auto"/>
        </w:rPr>
        <w:t>☐</w:t>
      </w:r>
    </w:p>
    <w:p>
      <w:pPr>
        <w:spacing w:after="0" w:line="314"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59690</wp:posOffset>
            </wp:positionV>
            <wp:extent cx="7071995"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685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Annual Meeting of Stockholders of Kosmos Energy Ltd. (the “Company”) was held on May 28, 2026. There were 593,149,886 shares of</w:t>
      </w:r>
    </w:p>
    <w:p>
      <w:pPr>
        <w:spacing w:after="0" w:line="205" w:lineRule="auto"/>
        <w:rPr>
          <w:sz w:val="20"/>
          <w:szCs w:val="20"/>
          <w:color w:val="auto"/>
        </w:rPr>
      </w:pPr>
      <w:r>
        <w:rPr>
          <w:rFonts w:ascii="Times New Roman" w:cs="Times New Roman" w:eastAsia="Times New Roman" w:hAnsi="Times New Roman"/>
          <w:sz w:val="18"/>
          <w:szCs w:val="18"/>
          <w:color w:val="auto"/>
        </w:rPr>
        <w:t>common stock entitled to vote at the meeting, and a total of 433,931,277 shares of common stock (approximately 73.15%) were represented at the meeting.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proposals voted upon at the 2026 Annual Meeting of Stockholders and the final results of the vote on each proposal were as follows: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To elect two Class I directors to a three-year term to serve until the 2029 annual stockholders meeting.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nominee for director was elected by a vote of the stockholders as follows: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2560" w:type="dxa"/>
            <w:vAlign w:val="bottom"/>
            <w:tcBorders>
              <w:top w:val="single" w:sz="8" w:color="auto"/>
              <w:left w:val="single" w:sz="8" w:color="auto"/>
              <w:righ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1960" w:type="dxa"/>
            <w:vAlign w:val="bottom"/>
            <w:tcBorders>
              <w:top w:val="single" w:sz="8" w:color="auto"/>
              <w:right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206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Not Voted (Broker</w:t>
            </w:r>
          </w:p>
        </w:tc>
      </w:tr>
      <w:tr>
        <w:trPr>
          <w:trHeight w:val="239"/>
        </w:trPr>
        <w:tc>
          <w:tcPr>
            <w:tcW w:w="2560" w:type="dxa"/>
            <w:vAlign w:val="bottom"/>
            <w:tcBorders>
              <w:left w:val="single" w:sz="8" w:color="auto"/>
              <w:bottom w:val="single" w:sz="8" w:color="auto"/>
              <w:right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Non-Votes)</w:t>
            </w:r>
          </w:p>
        </w:tc>
      </w:tr>
      <w:tr>
        <w:trPr>
          <w:trHeight w:val="213"/>
        </w:trPr>
        <w:tc>
          <w:tcPr>
            <w:tcW w:w="2560" w:type="dxa"/>
            <w:vAlign w:val="bottom"/>
            <w:tcBorders>
              <w:left w:val="single" w:sz="8" w:color="auto"/>
              <w:bottom w:val="single" w:sz="8" w:color="auto"/>
              <w:right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rPr>
              <w:t>Andrew G. Inglis</w:t>
            </w:r>
          </w:p>
        </w:tc>
        <w:tc>
          <w:tcPr>
            <w:tcW w:w="1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330,744,174</w:t>
            </w:r>
          </w:p>
        </w:tc>
        <w:tc>
          <w:tcPr>
            <w:tcW w:w="2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8,744,193</w:t>
            </w:r>
          </w:p>
        </w:tc>
        <w:tc>
          <w:tcPr>
            <w:tcW w:w="22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1,518,978</w:t>
            </w:r>
          </w:p>
        </w:tc>
        <w:tc>
          <w:tcPr>
            <w:tcW w:w="24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92,923,932</w:t>
            </w:r>
          </w:p>
        </w:tc>
      </w:tr>
      <w:tr>
        <w:trPr>
          <w:trHeight w:val="219"/>
        </w:trPr>
        <w:tc>
          <w:tcPr>
            <w:tcW w:w="2560" w:type="dxa"/>
            <w:vAlign w:val="bottom"/>
            <w:tcBorders>
              <w:left w:val="single" w:sz="8" w:color="auto"/>
              <w:bottom w:val="single" w:sz="8" w:color="auto"/>
              <w:right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rPr>
              <w:t>Maria Moraeus Hanssen</w:t>
            </w:r>
          </w:p>
        </w:tc>
        <w:tc>
          <w:tcPr>
            <w:tcW w:w="1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311,320,495</w:t>
            </w:r>
          </w:p>
        </w:tc>
        <w:tc>
          <w:tcPr>
            <w:tcW w:w="2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28,147,991</w:t>
            </w:r>
          </w:p>
        </w:tc>
        <w:tc>
          <w:tcPr>
            <w:tcW w:w="22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1,538,859</w:t>
            </w:r>
          </w:p>
        </w:tc>
        <w:tc>
          <w:tcPr>
            <w:tcW w:w="24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92,923,932</w:t>
            </w:r>
          </w:p>
        </w:tc>
      </w:tr>
    </w:tbl>
    <w:p>
      <w:pPr>
        <w:spacing w:after="0" w:line="302"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18"/>
          <w:szCs w:val="18"/>
          <w:b w:val="1"/>
          <w:bCs w:val="1"/>
          <w:color w:val="auto"/>
        </w:rPr>
        <w:t>Proposal 2 - To ratify the appointment of Ernst &amp; Young LLP as our independent registered public accounting firm for the fiscal year ending December 31, 2026 and to authorize the Company’s Audit Committee of the Board of Directors to determine their remuneration.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was approved by a vote of the stockholders as follows: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600" w:type="dxa"/>
            <w:vAlign w:val="bottom"/>
            <w:tcBorders>
              <w:top w:val="single" w:sz="8" w:color="auto"/>
              <w:left w:val="single" w:sz="8" w:color="auto"/>
              <w:right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40" w:type="dxa"/>
            <w:vAlign w:val="bottom"/>
            <w:tcBorders>
              <w:top w:val="single" w:sz="8" w:color="auto"/>
              <w:right w:val="single" w:sz="8" w:color="auto"/>
            </w:tcBorders>
          </w:tcPr>
          <w:p>
            <w:pPr>
              <w:spacing w:after="0"/>
              <w:rPr>
                <w:sz w:val="19"/>
                <w:szCs w:val="19"/>
                <w:color w:val="auto"/>
              </w:rPr>
            </w:pPr>
          </w:p>
        </w:tc>
        <w:tc>
          <w:tcPr>
            <w:tcW w:w="2460" w:type="dxa"/>
            <w:vAlign w:val="bottom"/>
            <w:tcBorders>
              <w:top w:val="single" w:sz="8" w:color="auto"/>
              <w:right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40" w:type="dxa"/>
            <w:vAlign w:val="bottom"/>
            <w:tcBorders>
              <w:top w:val="single" w:sz="8" w:color="auto"/>
              <w:right w:val="single" w:sz="8" w:color="auto"/>
            </w:tcBorders>
          </w:tcPr>
          <w:p>
            <w:pPr>
              <w:spacing w:after="0"/>
              <w:rPr>
                <w:sz w:val="19"/>
                <w:szCs w:val="19"/>
                <w:color w:val="auto"/>
              </w:rPr>
            </w:pPr>
          </w:p>
        </w:tc>
        <w:tc>
          <w:tcPr>
            <w:tcW w:w="2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122"/>
        </w:trPr>
        <w:tc>
          <w:tcPr>
            <w:tcW w:w="2600" w:type="dxa"/>
            <w:vAlign w:val="bottom"/>
            <w:tcBorders>
              <w:left w:val="single" w:sz="8" w:color="auto"/>
              <w:bottom w:val="single" w:sz="8" w:color="auto"/>
              <w:right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600" w:type="dxa"/>
            <w:vAlign w:val="bottom"/>
            <w:tcBorders>
              <w:left w:val="single" w:sz="8" w:color="auto"/>
              <w:bottom w:val="single" w:sz="8" w:color="auto"/>
              <w:right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418,283,107</w:t>
            </w:r>
          </w:p>
        </w:tc>
        <w:tc>
          <w:tcPr>
            <w:tcW w:w="2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14,081,268</w:t>
            </w:r>
          </w:p>
        </w:tc>
        <w:tc>
          <w:tcPr>
            <w:tcW w:w="24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1,566,902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To provide a non-binding, advisory vote to approve named executive officer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was approved by a nonbinding, advisory vote of the stockholders as follows: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80" w:type="dxa"/>
            <w:vAlign w:val="bottom"/>
            <w:tcBorders>
              <w:top w:val="single" w:sz="8" w:color="auto"/>
              <w:left w:val="single" w:sz="8" w:color="auto"/>
              <w:right w:val="single" w:sz="8" w:color="auto"/>
            </w:tcBorders>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4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vMerge w:val="restart"/>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20" w:type="dxa"/>
            <w:vAlign w:val="bottom"/>
            <w:tcBorders>
              <w:top w:val="single" w:sz="8" w:color="auto"/>
              <w:right w:val="single" w:sz="8" w:color="auto"/>
            </w:tcBorders>
          </w:tcPr>
          <w:p>
            <w:pPr>
              <w:spacing w:after="0"/>
              <w:rPr>
                <w:sz w:val="18"/>
                <w:szCs w:val="18"/>
                <w:color w:val="auto"/>
              </w:rPr>
            </w:pPr>
          </w:p>
        </w:tc>
        <w:tc>
          <w:tcPr>
            <w:tcW w:w="2840" w:type="dxa"/>
            <w:vAlign w:val="bottom"/>
            <w:tcBorders>
              <w:top w:val="single" w:sz="8" w:color="auto"/>
              <w:right w:val="single" w:sz="8" w:color="auto"/>
            </w:tcBorders>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w w:val="97"/>
              </w:rPr>
              <w:t>Not Voted</w:t>
            </w:r>
          </w:p>
        </w:tc>
        <w:tc>
          <w:tcPr>
            <w:tcW w:w="0" w:type="dxa"/>
            <w:vAlign w:val="bottom"/>
          </w:tcPr>
          <w:p>
            <w:pPr>
              <w:spacing w:after="0"/>
              <w:rPr>
                <w:sz w:val="1"/>
                <w:szCs w:val="1"/>
                <w:color w:val="auto"/>
              </w:rPr>
            </w:pPr>
          </w:p>
        </w:tc>
      </w:tr>
      <w:tr>
        <w:trPr>
          <w:trHeight w:val="104"/>
        </w:trPr>
        <w:tc>
          <w:tcPr>
            <w:tcW w:w="2480" w:type="dxa"/>
            <w:vAlign w:val="bottom"/>
            <w:tcBorders>
              <w:left w:val="single" w:sz="8" w:color="auto"/>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vMerge w:val="restart"/>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0" w:type="dxa"/>
            <w:vAlign w:val="bottom"/>
          </w:tcPr>
          <w:p>
            <w:pPr>
              <w:spacing w:after="0"/>
              <w:rPr>
                <w:sz w:val="1"/>
                <w:szCs w:val="1"/>
                <w:color w:val="auto"/>
              </w:rPr>
            </w:pPr>
          </w:p>
        </w:tc>
      </w:tr>
      <w:tr>
        <w:trPr>
          <w:trHeight w:val="121"/>
        </w:trPr>
        <w:tc>
          <w:tcPr>
            <w:tcW w:w="2480" w:type="dxa"/>
            <w:vAlign w:val="bottom"/>
            <w:tcBorders>
              <w:left w:val="single" w:sz="8" w:color="auto"/>
              <w:bottom w:val="single" w:sz="8" w:color="auto"/>
              <w:right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bottom w:val="single" w:sz="8" w:color="auto"/>
              <w:right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328,035,642</w:t>
            </w:r>
          </w:p>
        </w:tc>
        <w:tc>
          <w:tcPr>
            <w:tcW w:w="2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10,098,952</w:t>
            </w:r>
          </w:p>
        </w:tc>
        <w:tc>
          <w:tcPr>
            <w:tcW w:w="24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2,872,751</w:t>
            </w:r>
          </w:p>
        </w:tc>
        <w:tc>
          <w:tcPr>
            <w:tcW w:w="22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92,923,932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To approve an amendment and restatement of the Kosmos Energy Ltd. Long Term Incentive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was approved by a vote of the stockholders as follows: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80" w:type="dxa"/>
            <w:vAlign w:val="bottom"/>
            <w:tcBorders>
              <w:top w:val="single" w:sz="8" w:color="auto"/>
              <w:left w:val="single" w:sz="8" w:color="auto"/>
              <w:right w:val="single" w:sz="8" w:color="auto"/>
            </w:tcBorders>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4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vMerge w:val="restart"/>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220" w:type="dxa"/>
            <w:vAlign w:val="bottom"/>
            <w:tcBorders>
              <w:top w:val="single" w:sz="8" w:color="auto"/>
              <w:right w:val="single" w:sz="8" w:color="auto"/>
            </w:tcBorders>
          </w:tcPr>
          <w:p>
            <w:pPr>
              <w:spacing w:after="0"/>
              <w:rPr>
                <w:sz w:val="18"/>
                <w:szCs w:val="18"/>
                <w:color w:val="auto"/>
              </w:rPr>
            </w:pPr>
          </w:p>
        </w:tc>
        <w:tc>
          <w:tcPr>
            <w:tcW w:w="2840" w:type="dxa"/>
            <w:vAlign w:val="bottom"/>
            <w:tcBorders>
              <w:top w:val="single" w:sz="8" w:color="auto"/>
              <w:right w:val="single" w:sz="8" w:color="auto"/>
            </w:tcBorders>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w w:val="97"/>
              </w:rPr>
              <w:t>Not Voted</w:t>
            </w:r>
          </w:p>
        </w:tc>
        <w:tc>
          <w:tcPr>
            <w:tcW w:w="0" w:type="dxa"/>
            <w:vAlign w:val="bottom"/>
          </w:tcPr>
          <w:p>
            <w:pPr>
              <w:spacing w:after="0"/>
              <w:rPr>
                <w:sz w:val="1"/>
                <w:szCs w:val="1"/>
                <w:color w:val="auto"/>
              </w:rPr>
            </w:pPr>
          </w:p>
        </w:tc>
      </w:tr>
      <w:tr>
        <w:trPr>
          <w:trHeight w:val="104"/>
        </w:trPr>
        <w:tc>
          <w:tcPr>
            <w:tcW w:w="2480" w:type="dxa"/>
            <w:vAlign w:val="bottom"/>
            <w:tcBorders>
              <w:left w:val="single" w:sz="8" w:color="auto"/>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840" w:type="dxa"/>
            <w:vAlign w:val="bottom"/>
            <w:tcBorders>
              <w:right w:val="single" w:sz="8" w:color="auto"/>
            </w:tcBorders>
            <w:vMerge w:val="restart"/>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0" w:type="dxa"/>
            <w:vAlign w:val="bottom"/>
          </w:tcPr>
          <w:p>
            <w:pPr>
              <w:spacing w:after="0"/>
              <w:rPr>
                <w:sz w:val="1"/>
                <w:szCs w:val="1"/>
                <w:color w:val="auto"/>
              </w:rPr>
            </w:pPr>
          </w:p>
        </w:tc>
      </w:tr>
      <w:tr>
        <w:trPr>
          <w:trHeight w:val="121"/>
        </w:trPr>
        <w:tc>
          <w:tcPr>
            <w:tcW w:w="2480" w:type="dxa"/>
            <w:vAlign w:val="bottom"/>
            <w:tcBorders>
              <w:left w:val="single" w:sz="8" w:color="auto"/>
              <w:bottom w:val="single" w:sz="8" w:color="auto"/>
              <w:right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248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480" w:type="dxa"/>
            <w:vAlign w:val="bottom"/>
            <w:tcBorders>
              <w:left w:val="single" w:sz="8" w:color="auto"/>
              <w:bottom w:val="single" w:sz="8" w:color="auto"/>
              <w:right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334,006,608</w:t>
            </w:r>
          </w:p>
        </w:tc>
        <w:tc>
          <w:tcPr>
            <w:tcW w:w="22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4,222,119</w:t>
            </w:r>
          </w:p>
        </w:tc>
        <w:tc>
          <w:tcPr>
            <w:tcW w:w="240" w:type="dxa"/>
            <w:vAlign w:val="bottom"/>
            <w:tcBorders>
              <w:bottom w:val="single" w:sz="8" w:color="auto"/>
              <w:right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right"/>
              <w:ind w:right="815"/>
              <w:spacing w:after="0"/>
              <w:rPr>
                <w:sz w:val="20"/>
                <w:szCs w:val="20"/>
                <w:color w:val="auto"/>
              </w:rPr>
            </w:pPr>
            <w:r>
              <w:rPr>
                <w:rFonts w:ascii="Times New Roman" w:cs="Times New Roman" w:eastAsia="Times New Roman" w:hAnsi="Times New Roman"/>
                <w:sz w:val="18"/>
                <w:szCs w:val="18"/>
                <w:color w:val="auto"/>
              </w:rPr>
              <w:t>2,778,618</w:t>
            </w:r>
          </w:p>
        </w:tc>
        <w:tc>
          <w:tcPr>
            <w:tcW w:w="22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92,923,932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78" w:right="319" w:bottom="1440" w:gutter="0" w:footer="0" w:header="0"/>
        </w:sectPr>
      </w:pPr>
    </w:p>
    <w:bookmarkStart w:id="2" w:name="page3"/>
    <w:bookmarkEnd w:id="2"/>
    <w:p>
      <w:pPr>
        <w:spacing w:after="0" w:line="200" w:lineRule="exact"/>
        <w:rPr>
          <w:sz w:val="20"/>
          <w:szCs w:val="20"/>
          <w:color w:val="auto"/>
        </w:rPr>
      </w:pPr>
    </w:p>
    <w:p>
      <w:pPr>
        <w:spacing w:after="0" w:line="3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KOSMOS ENERGY LTD.</w:t>
      </w:r>
    </w:p>
    <w:p>
      <w:pPr>
        <w:spacing w:after="0" w:line="200" w:lineRule="exact"/>
        <w:rPr>
          <w:sz w:val="20"/>
          <w:szCs w:val="20"/>
          <w:color w:val="auto"/>
        </w:rPr>
      </w:pPr>
    </w:p>
    <w:p>
      <w:pPr>
        <w:spacing w:after="0" w:line="336" w:lineRule="exact"/>
        <w:rPr>
          <w:sz w:val="20"/>
          <w:szCs w:val="20"/>
          <w:color w:val="auto"/>
        </w:rPr>
      </w:pPr>
    </w:p>
    <w:p>
      <w:pPr>
        <w:ind w:left="5860"/>
        <w:spacing w:after="0"/>
        <w:tabs>
          <w:tab w:leader="none" w:pos="6320" w:val="left"/>
        </w:tabs>
        <w:rPr>
          <w:sz w:val="20"/>
          <w:szCs w:val="20"/>
          <w:color w:val="auto"/>
        </w:rPr>
      </w:pPr>
      <w:r>
        <w:rPr>
          <w:rFonts w:ascii="Times New Roman" w:cs="Times New Roman" w:eastAsia="Times New Roman" w:hAnsi="Times New Roman"/>
          <w:sz w:val="18"/>
          <w:szCs w:val="18"/>
          <w:color w:val="auto"/>
        </w:rPr>
        <w:t>By:</w:t>
        <w:tab/>
        <w:t>/s/ JOSH R. MARION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Josh R. Marion</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2026-05-28T18:33:04Z</dcterms:created>
  <dcterms:modified xsi:type="dcterms:W3CDTF">2026-05-28T18:33:04Z</dcterms:modified>
</cp:coreProperties>
</file>