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14A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Proxy Statement Pursuant to Section 14(a) of</w:t>
      </w:r>
    </w:p>
    <w:p>
      <w:pPr>
        <w:jc w:val="center"/>
        <w:spacing w:after="0"/>
        <w:rPr>
          <w:sz w:val="20"/>
          <w:szCs w:val="20"/>
          <w:color w:val="auto"/>
        </w:rPr>
      </w:pPr>
      <w:r>
        <w:rPr>
          <w:rFonts w:ascii="Arial" w:cs="Arial" w:eastAsia="Arial" w:hAnsi="Arial"/>
          <w:sz w:val="18"/>
          <w:szCs w:val="18"/>
          <w:color w:val="auto"/>
        </w:rPr>
        <w:t>the Securities Exchange Act of 1934 (Amendment No. )</w:t>
      </w:r>
    </w:p>
    <w:p>
      <w:pPr>
        <w:spacing w:after="0" w:line="75" w:lineRule="exact"/>
        <w:rPr>
          <w:sz w:val="24"/>
          <w:szCs w:val="24"/>
          <w:color w:val="auto"/>
        </w:rPr>
      </w:pPr>
    </w:p>
    <w:p>
      <w:pPr>
        <w:ind w:left="22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41" w:lineRule="exact"/>
        <w:rPr>
          <w:sz w:val="24"/>
          <w:szCs w:val="24"/>
          <w:color w:val="auto"/>
        </w:rPr>
      </w:pPr>
    </w:p>
    <w:p>
      <w:pPr>
        <w:ind w:left="22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65" w:lineRule="exact"/>
        <w:rPr>
          <w:sz w:val="24"/>
          <w:szCs w:val="24"/>
          <w:color w:val="auto"/>
        </w:rPr>
      </w:pPr>
    </w:p>
    <w:p>
      <w:pPr>
        <w:ind w:left="220"/>
        <w:spacing w:after="0"/>
        <w:rPr>
          <w:sz w:val="20"/>
          <w:szCs w:val="20"/>
          <w:color w:val="auto"/>
        </w:rPr>
      </w:pPr>
      <w:r>
        <w:rPr>
          <w:rFonts w:ascii="Arial" w:cs="Arial" w:eastAsia="Arial" w:hAnsi="Arial"/>
          <w:sz w:val="16"/>
          <w:szCs w:val="16"/>
          <w:color w:val="auto"/>
        </w:rPr>
        <w:t>Check the appropriate box:</w:t>
      </w:r>
    </w:p>
    <w:p>
      <w:pPr>
        <w:spacing w:after="0" w:line="138" w:lineRule="exact"/>
        <w:rPr>
          <w:sz w:val="24"/>
          <w:szCs w:val="24"/>
          <w:color w:val="auto"/>
        </w:rPr>
      </w:pPr>
    </w:p>
    <w:p>
      <w:pPr>
        <w:ind w:left="220"/>
        <w:spacing w:after="0" w:line="185" w:lineRule="exact"/>
        <w:tabs>
          <w:tab w:leader="none" w:pos="420" w:val="left"/>
          <w:tab w:leader="none" w:pos="520" w:val="left"/>
          <w:tab w:leader="none" w:pos="62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6"/>
          <w:szCs w:val="16"/>
          <w:color w:val="auto"/>
        </w:rPr>
        <w:t>Preliminary Proxy Statement</w:t>
      </w:r>
    </w:p>
    <w:p>
      <w:pPr>
        <w:spacing w:after="0" w:line="76" w:lineRule="exact"/>
        <w:rPr>
          <w:sz w:val="24"/>
          <w:szCs w:val="24"/>
          <w:color w:val="auto"/>
        </w:rPr>
      </w:pPr>
    </w:p>
    <w:p>
      <w:pPr>
        <w:ind w:left="440" w:hanging="221"/>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4"/>
          <w:szCs w:val="4"/>
          <w:color w:val="auto"/>
        </w:rPr>
        <w:t>​​</w:t>
      </w:r>
      <w:r>
        <w:rPr>
          <w:rFonts w:ascii="Arial" w:cs="Arial" w:eastAsia="Arial" w:hAnsi="Arial"/>
          <w:sz w:val="16"/>
          <w:szCs w:val="16"/>
          <w:b w:val="1"/>
          <w:bCs w:val="1"/>
          <w:color w:val="auto"/>
        </w:rPr>
        <w:t>Confidential, for Use of the Commission Only (as permitted by Rule 14a-6(e)(2))</w:t>
      </w:r>
    </w:p>
    <w:p>
      <w:pPr>
        <w:spacing w:after="0" w:line="138" w:lineRule="exact"/>
        <w:rPr>
          <w:sz w:val="24"/>
          <w:szCs w:val="24"/>
          <w:color w:val="auto"/>
        </w:rPr>
      </w:pPr>
    </w:p>
    <w:p>
      <w:pPr>
        <w:ind w:left="220"/>
        <w:spacing w:after="0" w:line="185" w:lineRule="exact"/>
        <w:tabs>
          <w:tab w:leader="none" w:pos="420" w:val="left"/>
          <w:tab w:leader="none" w:pos="520" w:val="left"/>
          <w:tab w:leader="none" w:pos="62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6"/>
          <w:szCs w:val="16"/>
          <w:color w:val="auto"/>
        </w:rPr>
        <w:t>Definitive Proxy Statement</w:t>
      </w:r>
    </w:p>
    <w:p>
      <w:pPr>
        <w:spacing w:after="0" w:line="164" w:lineRule="exact"/>
        <w:rPr>
          <w:sz w:val="24"/>
          <w:szCs w:val="24"/>
          <w:color w:val="auto"/>
        </w:rPr>
      </w:pPr>
    </w:p>
    <w:p>
      <w:pPr>
        <w:ind w:left="220"/>
        <w:spacing w:after="0" w:line="185" w:lineRule="exact"/>
        <w:tabs>
          <w:tab w:leader="none" w:pos="420" w:val="left"/>
          <w:tab w:leader="none" w:pos="520" w:val="left"/>
          <w:tab w:leader="none" w:pos="62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6"/>
          <w:szCs w:val="16"/>
          <w:color w:val="auto"/>
        </w:rPr>
        <w:t>Definitive Additional Materials</w:t>
      </w:r>
    </w:p>
    <w:p>
      <w:pPr>
        <w:spacing w:after="0" w:line="164" w:lineRule="exact"/>
        <w:rPr>
          <w:sz w:val="24"/>
          <w:szCs w:val="24"/>
          <w:color w:val="auto"/>
        </w:rPr>
      </w:pPr>
    </w:p>
    <w:p>
      <w:pPr>
        <w:ind w:left="220"/>
        <w:spacing w:after="0" w:line="185" w:lineRule="exact"/>
        <w:tabs>
          <w:tab w:leader="none" w:pos="420" w:val="left"/>
          <w:tab w:leader="none" w:pos="520" w:val="left"/>
          <w:tab w:leader="none" w:pos="62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6"/>
          <w:szCs w:val="16"/>
          <w:color w:val="auto"/>
        </w:rPr>
        <w:t>Soliciting Material under §240.14a-12</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Kosmos Energy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143510</wp:posOffset>
            </wp:positionH>
            <wp:positionV relativeFrom="paragraph">
              <wp:posOffset>73660</wp:posOffset>
            </wp:positionV>
            <wp:extent cx="5441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4131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143510</wp:posOffset>
            </wp:positionH>
            <wp:positionV relativeFrom="paragraph">
              <wp:posOffset>368300</wp:posOffset>
            </wp:positionV>
            <wp:extent cx="5441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413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Person(s) Filing Proxy Statement, if other than the Registrant)</w:t>
      </w:r>
    </w:p>
    <w:p>
      <w:pPr>
        <w:sectPr>
          <w:pgSz w:w="11900" w:h="16838" w:orient="portrait"/>
          <w:cols w:equalWidth="0" w:num="1">
            <w:col w:w="9019"/>
          </w:cols>
          <w:pgMar w:left="1440" w:top="222" w:right="1440" w:bottom="833" w:gutter="0" w:footer="0" w:header="0"/>
        </w:sectPr>
      </w:pPr>
    </w:p>
    <w:p>
      <w:pPr>
        <w:spacing w:after="0" w:line="271" w:lineRule="exact"/>
        <w:rPr>
          <w:sz w:val="24"/>
          <w:szCs w:val="24"/>
          <w:color w:val="auto"/>
        </w:rPr>
      </w:pPr>
    </w:p>
    <w:p>
      <w:pPr>
        <w:ind w:left="220"/>
        <w:spacing w:after="0"/>
        <w:rPr>
          <w:sz w:val="20"/>
          <w:szCs w:val="20"/>
          <w:color w:val="auto"/>
        </w:rPr>
      </w:pPr>
      <w:r>
        <w:rPr>
          <w:rFonts w:ascii="Arial" w:cs="Arial" w:eastAsia="Arial" w:hAnsi="Arial"/>
          <w:sz w:val="16"/>
          <w:szCs w:val="16"/>
          <w:color w:val="auto"/>
        </w:rPr>
        <w:t>Payment of Filing Fee (Check the appropriate box):</w:t>
      </w:r>
    </w:p>
    <w:p>
      <w:pPr>
        <w:spacing w:after="0" w:line="29" w:lineRule="exact"/>
        <w:rPr>
          <w:sz w:val="24"/>
          <w:szCs w:val="24"/>
          <w:color w:val="auto"/>
        </w:rPr>
      </w:pPr>
    </w:p>
    <w:tbl>
      <w:tblPr>
        <w:tblLayout w:type="fixed"/>
        <w:tblInd w:w="220" w:type="dxa"/>
        <w:tblCellMar>
          <w:top w:w="0" w:type="dxa"/>
          <w:left w:w="0" w:type="dxa"/>
          <w:bottom w:w="0" w:type="dxa"/>
          <w:right w:w="0" w:type="dxa"/>
        </w:tblCellMar>
      </w:tblPr>
      <w:tr>
        <w:trPr>
          <w:trHeight w:val="431"/>
        </w:trPr>
        <w:tc>
          <w:tcPr>
            <w:tcW w:w="280" w:type="dxa"/>
            <w:vAlign w:val="bottom"/>
          </w:tcPr>
          <w:p>
            <w:pPr>
              <w:jc w:val="right"/>
              <w:ind w:right="26"/>
              <w:spacing w:after="0" w:line="369" w:lineRule="exact"/>
              <w:rPr>
                <w:sz w:val="20"/>
                <w:szCs w:val="20"/>
                <w:color w:val="auto"/>
              </w:rPr>
            </w:pPr>
            <w:r>
              <w:rPr>
                <w:rFonts w:ascii="MS PGothic" w:cs="MS PGothic" w:eastAsia="MS PGothic" w:hAnsi="MS PGothic"/>
                <w:sz w:val="32"/>
                <w:szCs w:val="32"/>
                <w:color w:val="auto"/>
                <w:vertAlign w:val="subscript"/>
              </w:rPr>
              <w:t>☒</w:t>
            </w: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20" w:type="dxa"/>
            <w:vAlign w:val="bottom"/>
            <w:gridSpan w:val="3"/>
          </w:tcPr>
          <w:p>
            <w:pPr>
              <w:ind w:left="40"/>
              <w:spacing w:after="0"/>
              <w:rPr>
                <w:sz w:val="20"/>
                <w:szCs w:val="20"/>
                <w:color w:val="auto"/>
              </w:rPr>
            </w:pPr>
            <w:r>
              <w:rPr>
                <w:rFonts w:ascii="Arial" w:cs="Arial" w:eastAsia="Arial" w:hAnsi="Arial"/>
                <w:sz w:val="16"/>
                <w:szCs w:val="16"/>
                <w:color w:val="auto"/>
              </w:rPr>
              <w:t>No fee required.</w:t>
            </w:r>
          </w:p>
        </w:tc>
      </w:tr>
      <w:tr>
        <w:trPr>
          <w:trHeight w:val="253"/>
        </w:trPr>
        <w:tc>
          <w:tcPr>
            <w:tcW w:w="280" w:type="dxa"/>
            <w:vAlign w:val="bottom"/>
          </w:tcPr>
          <w:p>
            <w:pPr>
              <w:jc w:val="right"/>
              <w:ind w:right="26"/>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420" w:type="dxa"/>
            <w:vAlign w:val="bottom"/>
            <w:gridSpan w:val="3"/>
          </w:tcPr>
          <w:p>
            <w:pPr>
              <w:ind w:left="40"/>
              <w:spacing w:after="0"/>
              <w:rPr>
                <w:sz w:val="20"/>
                <w:szCs w:val="20"/>
                <w:color w:val="auto"/>
              </w:rPr>
            </w:pPr>
            <w:r>
              <w:rPr>
                <w:rFonts w:ascii="Arial" w:cs="Arial" w:eastAsia="Arial" w:hAnsi="Arial"/>
                <w:sz w:val="16"/>
                <w:szCs w:val="16"/>
                <w:color w:val="auto"/>
                <w:w w:val="99"/>
              </w:rPr>
              <w:t>Fee computed on table below per Exchange Act Rules 14a-6(i)(1) and 0-11.</w:t>
            </w:r>
          </w:p>
        </w:tc>
      </w:tr>
      <w:tr>
        <w:trPr>
          <w:trHeight w:val="281"/>
        </w:trPr>
        <w:tc>
          <w:tcPr>
            <w:tcW w:w="280" w:type="dxa"/>
            <w:vAlign w:val="bottom"/>
          </w:tcPr>
          <w:p>
            <w:pPr>
              <w:jc w:val="right"/>
              <w:ind w:right="26"/>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780" w:type="dxa"/>
            <w:vAlign w:val="bottom"/>
          </w:tcPr>
          <w:p>
            <w:pPr>
              <w:ind w:left="40"/>
              <w:spacing w:after="0"/>
              <w:rPr>
                <w:sz w:val="20"/>
                <w:szCs w:val="20"/>
                <w:color w:val="auto"/>
              </w:rPr>
            </w:pPr>
            <w:r>
              <w:rPr>
                <w:rFonts w:ascii="Arial" w:cs="Arial" w:eastAsia="Arial" w:hAnsi="Arial"/>
                <w:sz w:val="16"/>
                <w:szCs w:val="16"/>
                <w:color w:val="auto"/>
              </w:rPr>
              <w:t>Title of each class of securities to which transaction applies:</w:t>
            </w:r>
          </w:p>
        </w:tc>
      </w:tr>
      <w:tr>
        <w:trPr>
          <w:trHeight w:val="199"/>
        </w:trPr>
        <w:tc>
          <w:tcPr>
            <w:tcW w:w="280" w:type="dxa"/>
            <w:vAlign w:val="bottom"/>
          </w:tcPr>
          <w:p>
            <w:pPr>
              <w:jc w:val="right"/>
              <w:ind w:right="26"/>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780" w:type="dxa"/>
            <w:vAlign w:val="bottom"/>
          </w:tcPr>
          <w:p>
            <w:pPr>
              <w:spacing w:after="0"/>
              <w:rPr>
                <w:sz w:val="17"/>
                <w:szCs w:val="17"/>
                <w:color w:val="auto"/>
              </w:rPr>
            </w:pPr>
          </w:p>
        </w:tc>
      </w:tr>
      <w:tr>
        <w:trPr>
          <w:trHeight w:val="457"/>
        </w:trPr>
        <w:tc>
          <w:tcPr>
            <w:tcW w:w="280" w:type="dxa"/>
            <w:vAlign w:val="bottom"/>
          </w:tcPr>
          <w:p>
            <w:pPr>
              <w:jc w:val="right"/>
              <w:ind w:right="26"/>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780" w:type="dxa"/>
            <w:vAlign w:val="bottom"/>
          </w:tcPr>
          <w:p>
            <w:pPr>
              <w:ind w:left="40"/>
              <w:spacing w:after="0"/>
              <w:rPr>
                <w:sz w:val="20"/>
                <w:szCs w:val="20"/>
                <w:color w:val="auto"/>
              </w:rPr>
            </w:pPr>
            <w:r>
              <w:rPr>
                <w:rFonts w:ascii="Arial" w:cs="Arial" w:eastAsia="Arial" w:hAnsi="Arial"/>
                <w:sz w:val="16"/>
                <w:szCs w:val="16"/>
                <w:color w:val="auto"/>
              </w:rPr>
              <w:t>Aggregate number of securities to which transaction applies:</w:t>
            </w:r>
          </w:p>
        </w:tc>
      </w:tr>
      <w:tr>
        <w:trPr>
          <w:trHeight w:val="199"/>
        </w:trPr>
        <w:tc>
          <w:tcPr>
            <w:tcW w:w="280" w:type="dxa"/>
            <w:vAlign w:val="bottom"/>
          </w:tcPr>
          <w:p>
            <w:pPr>
              <w:jc w:val="right"/>
              <w:ind w:right="26"/>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7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832485</wp:posOffset>
            </wp:positionH>
            <wp:positionV relativeFrom="paragraph">
              <wp:posOffset>104140</wp:posOffset>
            </wp:positionV>
            <wp:extent cx="4820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092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-311785</wp:posOffset>
            </wp:positionV>
            <wp:extent cx="4820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210" w:lineRule="exact"/>
        <w:rPr>
          <w:sz w:val="24"/>
          <w:szCs w:val="24"/>
          <w:color w:val="auto"/>
        </w:rPr>
      </w:pPr>
    </w:p>
    <w:p>
      <w:pPr>
        <w:ind w:left="1300" w:hanging="407"/>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w:t>
      </w:r>
    </w:p>
    <w:tbl>
      <w:tblPr>
        <w:tblLayout w:type="fixed"/>
        <w:tblInd w:w="440" w:type="dxa"/>
        <w:tblCellMar>
          <w:top w:w="0" w:type="dxa"/>
          <w:left w:w="0" w:type="dxa"/>
          <w:bottom w:w="0" w:type="dxa"/>
          <w:right w:w="0" w:type="dxa"/>
        </w:tblCellMar>
      </w:tblPr>
      <w:tr>
        <w:trPr>
          <w:trHeight w:val="46"/>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180" w:type="dxa"/>
            <w:vAlign w:val="bottom"/>
            <w:vMerge w:val="restart"/>
          </w:tcPr>
          <w:p>
            <w:pPr>
              <w:ind w:left="40"/>
              <w:spacing w:after="0"/>
              <w:rPr>
                <w:sz w:val="20"/>
                <w:szCs w:val="20"/>
                <w:color w:val="auto"/>
              </w:rPr>
            </w:pPr>
            <w:r>
              <w:rPr>
                <w:rFonts w:ascii="Arial" w:cs="Arial" w:eastAsia="Arial" w:hAnsi="Arial"/>
                <w:sz w:val="16"/>
                <w:szCs w:val="16"/>
                <w:color w:val="auto"/>
              </w:rPr>
              <w:t>forth the amount on which the filing fee is calculated and state how it was determined):</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ind w:right="4"/>
              <w:spacing w:after="0"/>
              <w:rPr>
                <w:sz w:val="20"/>
                <w:szCs w:val="20"/>
                <w:color w:val="auto"/>
              </w:rPr>
            </w:pPr>
            <w:r>
              <w:rPr>
                <w:rFonts w:ascii="Arial" w:cs="Arial" w:eastAsia="Arial" w:hAnsi="Arial"/>
                <w:sz w:val="16"/>
                <w:szCs w:val="16"/>
                <w:color w:val="auto"/>
              </w:rPr>
              <w:t>(4)</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180" w:type="dxa"/>
            <w:vAlign w:val="bottom"/>
          </w:tcPr>
          <w:p>
            <w:pPr>
              <w:ind w:left="40"/>
              <w:spacing w:after="0"/>
              <w:rPr>
                <w:sz w:val="20"/>
                <w:szCs w:val="20"/>
                <w:color w:val="auto"/>
              </w:rPr>
            </w:pPr>
            <w:r>
              <w:rPr>
                <w:rFonts w:ascii="Arial" w:cs="Arial" w:eastAsia="Arial" w:hAnsi="Arial"/>
                <w:sz w:val="16"/>
                <w:szCs w:val="16"/>
                <w:color w:val="auto"/>
              </w:rPr>
              <w:t>Proposed maximum aggregate value of transaction:</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ind w:right="4"/>
              <w:spacing w:after="0"/>
              <w:rPr>
                <w:sz w:val="20"/>
                <w:szCs w:val="20"/>
                <w:color w:val="auto"/>
              </w:rPr>
            </w:pPr>
            <w:r>
              <w:rPr>
                <w:rFonts w:ascii="Arial" w:cs="Arial" w:eastAsia="Arial" w:hAnsi="Arial"/>
                <w:sz w:val="16"/>
                <w:szCs w:val="16"/>
                <w:color w:val="auto"/>
              </w:rPr>
              <w:t>(5)</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180" w:type="dxa"/>
            <w:vAlign w:val="bottom"/>
          </w:tcPr>
          <w:p>
            <w:pPr>
              <w:ind w:left="40"/>
              <w:spacing w:after="0"/>
              <w:rPr>
                <w:sz w:val="20"/>
                <w:szCs w:val="20"/>
                <w:color w:val="auto"/>
              </w:rPr>
            </w:pPr>
            <w:r>
              <w:rPr>
                <w:rFonts w:ascii="Arial" w:cs="Arial" w:eastAsia="Arial" w:hAnsi="Arial"/>
                <w:sz w:val="16"/>
                <w:szCs w:val="16"/>
                <w:color w:val="auto"/>
              </w:rPr>
              <w:t>Total fee paid:</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832485</wp:posOffset>
            </wp:positionH>
            <wp:positionV relativeFrom="paragraph">
              <wp:posOffset>-116205</wp:posOffset>
            </wp:positionV>
            <wp:extent cx="4820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2092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-532765</wp:posOffset>
            </wp:positionV>
            <wp:extent cx="4820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20920"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-949325</wp:posOffset>
            </wp:positionV>
            <wp:extent cx="4820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131" w:lineRule="exact"/>
        <w:rPr>
          <w:sz w:val="24"/>
          <w:szCs w:val="24"/>
          <w:color w:val="auto"/>
        </w:rPr>
      </w:pPr>
    </w:p>
    <w:p>
      <w:pPr>
        <w:ind w:left="220"/>
        <w:spacing w:after="0" w:line="185" w:lineRule="exact"/>
        <w:tabs>
          <w:tab w:leader="none" w:pos="420" w:val="left"/>
          <w:tab w:leader="none" w:pos="540" w:val="left"/>
          <w:tab w:leader="none" w:pos="6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6"/>
          <w:szCs w:val="16"/>
          <w:color w:val="auto"/>
        </w:rPr>
        <w:t>Fee paid previously with preliminary materials.</w:t>
      </w:r>
    </w:p>
    <w:p>
      <w:pPr>
        <w:sectPr>
          <w:pgSz w:w="11900" w:h="16838" w:orient="portrait"/>
          <w:cols w:equalWidth="0" w:num="1">
            <w:col w:w="9019"/>
          </w:cols>
          <w:pgMar w:left="1440" w:top="222" w:right="1440" w:bottom="833" w:gutter="0" w:footer="0" w:header="0"/>
          <w:type w:val="continuous"/>
        </w:sectPr>
      </w:pPr>
    </w:p>
    <w:p>
      <w:pPr>
        <w:spacing w:after="0" w:line="208" w:lineRule="exact"/>
        <w:rPr>
          <w:sz w:val="24"/>
          <w:szCs w:val="24"/>
          <w:color w:val="auto"/>
        </w:rPr>
      </w:pPr>
    </w:p>
    <w:p>
      <w:pPr>
        <w:ind w:left="440"/>
        <w:spacing w:after="0"/>
        <w:tabs>
          <w:tab w:leader="none" w:pos="540" w:val="left"/>
          <w:tab w:leader="none" w:pos="1060" w:val="left"/>
          <w:tab w:leader="none" w:pos="1180" w:val="left"/>
          <w:tab w:leader="none" w:pos="88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177" w:lineRule="exact"/>
        <w:rPr>
          <w:sz w:val="24"/>
          <w:szCs w:val="24"/>
          <w:color w:val="auto"/>
        </w:rPr>
      </w:pPr>
    </w:p>
    <w:p>
      <w:pPr>
        <w:ind w:left="660" w:hanging="441"/>
        <w:spacing w:after="0"/>
        <w:tabs>
          <w:tab w:leader="none" w:pos="6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w:t>
      </w:r>
    </w:p>
    <w:p>
      <w:pPr>
        <w:spacing w:after="0" w:line="19" w:lineRule="exact"/>
        <w:rPr>
          <w:sz w:val="24"/>
          <w:szCs w:val="24"/>
          <w:color w:val="auto"/>
        </w:rPr>
      </w:pPr>
    </w:p>
    <w:p>
      <w:pPr>
        <w:ind w:left="440"/>
        <w:spacing w:after="0"/>
        <w:tabs>
          <w:tab w:leader="none" w:pos="540" w:val="left"/>
          <w:tab w:leader="none" w:pos="640" w:val="left"/>
          <w:tab w:leader="none" w:pos="88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6"/>
          <w:szCs w:val="16"/>
          <w:color w:val="auto"/>
        </w:rPr>
        <w:t>which the offsetting fee was paid previously. Identify the previous filing by registration statement number, or the</w:t>
      </w:r>
      <w:r>
        <w:rPr>
          <w:sz w:val="20"/>
          <w:szCs w:val="20"/>
          <w:color w:val="auto"/>
        </w:rPr>
        <w:tab/>
      </w:r>
      <w:r>
        <w:rPr>
          <w:rFonts w:ascii="Times New Roman" w:cs="Times New Roman" w:eastAsia="Times New Roman" w:hAnsi="Times New Roman"/>
          <w:sz w:val="2"/>
          <w:szCs w:val="2"/>
          <w:color w:val="auto"/>
        </w:rPr>
        <w:t>​</w:t>
      </w:r>
    </w:p>
    <w:p>
      <w:pPr>
        <w:spacing w:after="0" w:line="3" w:lineRule="exact"/>
        <w:rPr>
          <w:sz w:val="24"/>
          <w:szCs w:val="24"/>
          <w:color w:val="auto"/>
        </w:rPr>
      </w:pPr>
    </w:p>
    <w:p>
      <w:pPr>
        <w:ind w:left="660"/>
        <w:spacing w:after="0"/>
        <w:rPr>
          <w:sz w:val="20"/>
          <w:szCs w:val="20"/>
          <w:color w:val="auto"/>
        </w:rPr>
      </w:pPr>
      <w:r>
        <w:rPr>
          <w:rFonts w:ascii="Arial" w:cs="Arial" w:eastAsia="Arial" w:hAnsi="Arial"/>
          <w:sz w:val="16"/>
          <w:szCs w:val="16"/>
          <w:color w:val="auto"/>
        </w:rPr>
        <w:t>Form or Schedule and the date of its filing.</w:t>
      </w:r>
    </w:p>
    <w:p>
      <w:pPr>
        <w:sectPr>
          <w:pgSz w:w="11900" w:h="16838" w:orient="portrait"/>
          <w:cols w:equalWidth="0" w:num="1">
            <w:col w:w="9019"/>
          </w:cols>
          <w:pgMar w:left="1440" w:top="222" w:right="1440" w:bottom="833" w:gutter="0" w:footer="0" w:header="0"/>
          <w:type w:val="continuous"/>
        </w:sectPr>
      </w:pPr>
    </w:p>
    <w:p>
      <w:pPr>
        <w:spacing w:after="0" w:line="95" w:lineRule="exact"/>
        <w:rPr>
          <w:sz w:val="24"/>
          <w:szCs w:val="24"/>
          <w:color w:val="auto"/>
        </w:rPr>
      </w:pPr>
    </w:p>
    <w:tbl>
      <w:tblPr>
        <w:tblLayout w:type="fixed"/>
        <w:tblInd w:w="440" w:type="dxa"/>
        <w:tblCellMar>
          <w:top w:w="0" w:type="dxa"/>
          <w:left w:w="0" w:type="dxa"/>
          <w:bottom w:w="0" w:type="dxa"/>
          <w:right w:w="0" w:type="dxa"/>
        </w:tblCellMar>
      </w:tblPr>
      <w:tr>
        <w:trPr>
          <w:trHeight w:val="213"/>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w:t>
            </w:r>
            <w:r>
              <w:rPr>
                <w:rFonts w:ascii="Times New Roman" w:cs="Times New Roman" w:eastAsia="Times New Roman" w:hAnsi="Times New Roman"/>
                <w:sz w:val="3"/>
                <w:szCs w:val="3"/>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r>
      <w:tr>
        <w:trPr>
          <w:trHeight w:val="199"/>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r>
      <w:tr>
        <w:trPr>
          <w:trHeight w:val="444"/>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w:t>
            </w:r>
            <w:r>
              <w:rPr>
                <w:rFonts w:ascii="Times New Roman" w:cs="Times New Roman" w:eastAsia="Times New Roman" w:hAnsi="Times New Roman"/>
                <w:sz w:val="3"/>
                <w:szCs w:val="3"/>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r>
      <w:tr>
        <w:trPr>
          <w:trHeight w:val="212"/>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r>
      <w:tr>
        <w:trPr>
          <w:trHeight w:val="444"/>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w:t>
            </w:r>
            <w:r>
              <w:rPr>
                <w:rFonts w:ascii="Times New Roman" w:cs="Times New Roman" w:eastAsia="Times New Roman" w:hAnsi="Times New Roman"/>
                <w:sz w:val="3"/>
                <w:szCs w:val="3"/>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r>
      <w:tr>
        <w:trPr>
          <w:trHeight w:val="212"/>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r>
      <w:tr>
        <w:trPr>
          <w:trHeight w:val="444"/>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w:t>
            </w:r>
            <w:r>
              <w:rPr>
                <w:rFonts w:ascii="Times New Roman" w:cs="Times New Roman" w:eastAsia="Times New Roman" w:hAnsi="Times New Roman"/>
                <w:sz w:val="3"/>
                <w:szCs w:val="3"/>
                <w:color w:val="auto"/>
              </w:rPr>
              <w:t>​</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4820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4820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48209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Date Filed:</w:t>
      </w:r>
    </w:p>
    <w:p>
      <w:pPr>
        <w:spacing w:after="0" w:line="182" w:lineRule="exact"/>
        <w:rPr>
          <w:sz w:val="24"/>
          <w:szCs w:val="24"/>
          <w:color w:val="auto"/>
        </w:rPr>
      </w:pPr>
    </w:p>
    <w:p>
      <w:pPr>
        <w:sectPr>
          <w:pgSz w:w="11900" w:h="16838" w:orient="portrait"/>
          <w:cols w:equalWidth="0" w:num="2">
            <w:col w:w="1200" w:space="100"/>
            <w:col w:w="7719"/>
          </w:cols>
          <w:pgMar w:left="1440" w:top="222" w:right="1440" w:bottom="833" w:gutter="0" w:footer="0" w:header="0"/>
          <w:type w:val="continuous"/>
        </w:sectPr>
      </w:pPr>
    </w:p>
    <w:p>
      <w:pPr>
        <w:ind w:left="440"/>
        <w:spacing w:after="0"/>
        <w:tabs>
          <w:tab w:leader="none" w:pos="540" w:val="left"/>
          <w:tab w:leader="none" w:pos="1060" w:val="left"/>
          <w:tab w:leader="none" w:pos="1180" w:val="left"/>
          <w:tab w:leader="none" w:pos="88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-603885</wp:posOffset>
            </wp:positionH>
            <wp:positionV relativeFrom="paragraph">
              <wp:posOffset>206375</wp:posOffset>
            </wp:positionV>
            <wp:extent cx="6938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86995</wp:posOffset>
            </wp:positionV>
            <wp:extent cx="4820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9019"/>
          </w:cols>
          <w:pgMar w:left="1440" w:top="222" w:right="1440" w:bottom="833"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92075</wp:posOffset>
            </wp:positionV>
            <wp:extent cx="6938010" cy="9148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38010" cy="9148445"/>
                    </a:xfrm>
                    <a:prstGeom prst="rect">
                      <a:avLst/>
                    </a:prstGeom>
                    <a:noFill/>
                  </pic:spPr>
                </pic:pic>
              </a:graphicData>
            </a:graphic>
          </wp:anchor>
        </w:drawing>
      </w:r>
    </w:p>
    <w:p>
      <w:pPr>
        <w:sectPr>
          <w:pgSz w:w="11900" w:h="16838" w:orient="portrait"/>
          <w:cols w:equalWidth="0" w:num="1">
            <w:col w:w="9999"/>
          </w:cols>
          <w:pgMar w:left="460" w:top="26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121920</wp:posOffset>
            </wp:positionV>
            <wp:extent cx="7103110" cy="9080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3110" cy="908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121920</wp:posOffset>
            </wp:positionV>
            <wp:extent cx="6938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1">
            <w:col w:w="9999"/>
          </w:cols>
          <w:pgMar w:left="460" w:top="262" w:right="1440" w:bottom="874" w:gutter="0" w:footer="0" w:header="0"/>
        </w:sectPr>
      </w:pPr>
    </w:p>
    <w:bookmarkStart w:id="3" w:name="page4"/>
    <w:bookmarkEnd w:id="3"/>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1614170</wp:posOffset>
            </wp:positionH>
            <wp:positionV relativeFrom="paragraph">
              <wp:posOffset>219710</wp:posOffset>
            </wp:positionV>
            <wp:extent cx="2491105" cy="688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91105" cy="68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MESSAGE FROM OUR CHAIRMAN AND CEO</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April 28, 2022</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Fellow shareholders:</w:t>
      </w:r>
    </w:p>
    <w:p>
      <w:pPr>
        <w:spacing w:after="0" w:line="111" w:lineRule="exact"/>
        <w:rPr>
          <w:sz w:val="20"/>
          <w:szCs w:val="20"/>
          <w:color w:val="auto"/>
        </w:rPr>
      </w:pPr>
    </w:p>
    <w:p>
      <w:pPr>
        <w:jc w:val="both"/>
        <w:ind w:left="320" w:right="339"/>
        <w:spacing w:after="0" w:line="257" w:lineRule="auto"/>
        <w:rPr>
          <w:sz w:val="20"/>
          <w:szCs w:val="20"/>
          <w:color w:val="auto"/>
        </w:rPr>
      </w:pPr>
      <w:r>
        <w:rPr>
          <w:rFonts w:ascii="Arial" w:cs="Arial" w:eastAsia="Arial" w:hAnsi="Arial"/>
          <w:sz w:val="16"/>
          <w:szCs w:val="16"/>
          <w:color w:val="auto"/>
        </w:rPr>
        <w:t>Just as we were looking forward to the resurgence of the global economy after the difficult years of the pandemic, Russia’s invasion of Ukraine has shocked the world and illustrated the fragility of the peace and democracy we hold so dear. The tragic loss of life, the displacement of millions of people, and the economic devastation will cast a long shadow.</w:t>
      </w:r>
    </w:p>
    <w:p>
      <w:pPr>
        <w:spacing w:after="0" w:line="69" w:lineRule="exact"/>
        <w:rPr>
          <w:sz w:val="20"/>
          <w:szCs w:val="20"/>
          <w:color w:val="auto"/>
        </w:rPr>
      </w:pPr>
    </w:p>
    <w:p>
      <w:pPr>
        <w:jc w:val="both"/>
        <w:ind w:left="320" w:right="339"/>
        <w:spacing w:after="0" w:line="248" w:lineRule="auto"/>
        <w:rPr>
          <w:sz w:val="20"/>
          <w:szCs w:val="20"/>
          <w:color w:val="auto"/>
        </w:rPr>
      </w:pPr>
      <w:r>
        <w:rPr>
          <w:rFonts w:ascii="Arial" w:cs="Arial" w:eastAsia="Arial" w:hAnsi="Arial"/>
          <w:sz w:val="16"/>
          <w:szCs w:val="16"/>
          <w:color w:val="auto"/>
        </w:rPr>
        <w:t>For the energy sector, the conflict is re-shaping the industry’s outlook. At the most basic level, it has reminded the world of the necessity of ensuring the energy transition whilst providing energy security. Europe’s reliance on Russia highlights the need for new sources of energy, ultimately renewables with hydrocarbons playing a long-term role in the transition. Kosmos can play a role in meeting that challenge with a portfolio of low cost, lower carbon oil production, and low cost, lower carbon liquified natural gas (LNG) projects offshore Mauritania and Senegal, which are poised to bring a new source of gas to the world as soon as production starts late next year. By sourcing LNG from Mauritania and Senegal, Europe would enhance its energy security and help these countries meet their own development goals – a positive and necessary outcome for all involved. For Kosmos, this illustrates our role in bringing a just and secure energy transition to life, and 2021 was a productive year for the company in fulfilling that vision.</w:t>
      </w:r>
    </w:p>
    <w:p>
      <w:pPr>
        <w:spacing w:after="0" w:line="271" w:lineRule="exact"/>
        <w:rPr>
          <w:sz w:val="20"/>
          <w:szCs w:val="20"/>
          <w:color w:val="auto"/>
        </w:rPr>
      </w:pPr>
    </w:p>
    <w:p>
      <w:pPr>
        <w:jc w:val="both"/>
        <w:ind w:left="320" w:right="339"/>
        <w:spacing w:after="0" w:line="250" w:lineRule="auto"/>
        <w:rPr>
          <w:sz w:val="20"/>
          <w:szCs w:val="20"/>
          <w:color w:val="auto"/>
        </w:rPr>
      </w:pPr>
      <w:r>
        <w:rPr>
          <w:rFonts w:ascii="Arial" w:cs="Arial" w:eastAsia="Arial" w:hAnsi="Arial"/>
          <w:sz w:val="16"/>
          <w:szCs w:val="16"/>
          <w:color w:val="auto"/>
        </w:rPr>
        <w:t>We rebuilt operational momentum across the portfolio with a return to drilling in Ghana, Equatorial Guinea, and the Gulf of Mexico. This increased activity helped push net production above our year-end exit target of 75,000 barrels of oil equivalent per day. Importantly, this increased production boosted free cash flow and reduced leverage to around 2.5 times at year-end. Our LNG development offshore Mauritania and Senegal made significant progress with Greater Tortue Ahmeyim Phase 1 around 70% complete at year end. In addition, Kosmos executed a highly accretive transaction in Ghana, acquiring additional interests in the Jubilee and TEN fields, which has helped transform the balance sheet and further increase free cash flow generation.</w:t>
      </w:r>
    </w:p>
    <w:p>
      <w:pPr>
        <w:spacing w:after="0" w:line="78" w:lineRule="exact"/>
        <w:rPr>
          <w:sz w:val="20"/>
          <w:szCs w:val="20"/>
          <w:color w:val="auto"/>
        </w:rPr>
      </w:pPr>
    </w:p>
    <w:p>
      <w:pPr>
        <w:jc w:val="both"/>
        <w:ind w:left="320" w:right="339"/>
        <w:spacing w:after="0" w:line="252" w:lineRule="auto"/>
        <w:rPr>
          <w:sz w:val="20"/>
          <w:szCs w:val="20"/>
          <w:color w:val="auto"/>
        </w:rPr>
      </w:pPr>
      <w:r>
        <w:rPr>
          <w:rFonts w:ascii="Arial" w:cs="Arial" w:eastAsia="Arial" w:hAnsi="Arial"/>
          <w:sz w:val="16"/>
          <w:szCs w:val="16"/>
          <w:color w:val="auto"/>
        </w:rPr>
        <w:t>As we executed the company’s strategy in 2021, we continued to be guided by our long-standing commitment to sustainability. Our most recent TCFD-aligned Sustainability Report advances the approach we introduced last year and covers our full ESG agenda, including the actions we have taken to mitigate climate-related risks and enhance the resilience of our business. Given the importance of ESG performance, the data in our most recent report has been reviewed by our independent auditor. This is an added step we have taken to increase confidence in our reporting, further demonstrating our commitment to transparency and openness.</w:t>
      </w:r>
    </w:p>
    <w:p>
      <w:pPr>
        <w:spacing w:after="0" w:line="73" w:lineRule="exact"/>
        <w:rPr>
          <w:sz w:val="20"/>
          <w:szCs w:val="20"/>
          <w:color w:val="auto"/>
        </w:rPr>
      </w:pPr>
    </w:p>
    <w:p>
      <w:pPr>
        <w:jc w:val="both"/>
        <w:ind w:left="320" w:right="339"/>
        <w:spacing w:after="0" w:line="250" w:lineRule="auto"/>
        <w:rPr>
          <w:sz w:val="20"/>
          <w:szCs w:val="20"/>
          <w:color w:val="auto"/>
        </w:rPr>
      </w:pPr>
      <w:r>
        <w:rPr>
          <w:rFonts w:ascii="Arial" w:cs="Arial" w:eastAsia="Arial" w:hAnsi="Arial"/>
          <w:sz w:val="16"/>
          <w:szCs w:val="16"/>
          <w:color w:val="auto"/>
        </w:rPr>
        <w:t>The outlook for Kosmos in 2022 and beyond remains positive. The company is underpinned by low-cost, lower carbon assets – world class fields that have the longevity to deliver sustainable, high-margin cash flow at current prices. With our existing assets and sanctioned projects, production is expected to grow around 50% in the next two years, with a growing natural gas weighting at a time when there is a need for new sources of gas. With growing production and a strong commodity price backdrop, we expect to make further progress de-leveraging the balance sheet, with a year-end 2022 leverage target of around 1.5 times at current prices. As we deliver on this plan and new projects start up, sustainable free cash flow is expected to increase materially, creating the potential for meaningful shareholder returns.</w:t>
      </w:r>
    </w:p>
    <w:p>
      <w:pPr>
        <w:spacing w:after="0" w:line="265" w:lineRule="exact"/>
        <w:rPr>
          <w:sz w:val="20"/>
          <w:szCs w:val="20"/>
          <w:color w:val="auto"/>
        </w:rPr>
      </w:pPr>
    </w:p>
    <w:p>
      <w:pPr>
        <w:jc w:val="both"/>
        <w:ind w:left="320" w:right="339"/>
        <w:spacing w:after="0" w:line="257" w:lineRule="auto"/>
        <w:rPr>
          <w:sz w:val="20"/>
          <w:szCs w:val="20"/>
          <w:color w:val="auto"/>
        </w:rPr>
      </w:pPr>
      <w:r>
        <w:rPr>
          <w:rFonts w:ascii="Arial" w:cs="Arial" w:eastAsia="Arial" w:hAnsi="Arial"/>
          <w:sz w:val="16"/>
          <w:szCs w:val="16"/>
          <w:color w:val="auto"/>
        </w:rPr>
        <w:t>Kosmos has emerged from the last two years of the pandemic with a stronger business and an important role to play in supporting the energy transition and strengthening energy security. We are excited about the future and look forward to sharing more about our company at our annual meeting. On behalf of the entire board of directors, I thank you for your participation and investment in our company.</w:t>
      </w:r>
    </w:p>
    <w:p>
      <w:pPr>
        <w:spacing w:after="0" w:line="96"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172720</wp:posOffset>
            </wp:positionV>
            <wp:extent cx="977900" cy="5187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77900" cy="51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w:t>
      </w:r>
    </w:p>
    <w:p>
      <w:pPr>
        <w:spacing w:after="0" w:line="29"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Andrew G. Inglis</w:t>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6"/>
          <w:szCs w:val="16"/>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120015</wp:posOffset>
            </wp:positionV>
            <wp:extent cx="6938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 w:name="page5"/>
    <w:bookmarkEnd w:id="4"/>
    <w:p>
      <w:pPr>
        <w:ind w:left="1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42"/>
          <w:szCs w:val="42"/>
          <w:color w:val="2A3D6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76835</wp:posOffset>
            </wp:positionV>
            <wp:extent cx="2720975" cy="7609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20975" cy="760984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348"/>
        </w:trPr>
        <w:tc>
          <w:tcPr>
            <w:tcW w:w="1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280" w:type="dxa"/>
            <w:vAlign w:val="bottom"/>
            <w:gridSpan w:val="16"/>
          </w:tcPr>
          <w:p>
            <w:pPr>
              <w:spacing w:after="0"/>
              <w:rPr>
                <w:sz w:val="20"/>
                <w:szCs w:val="20"/>
                <w:color w:val="auto"/>
              </w:rPr>
            </w:pPr>
            <w:r>
              <w:rPr>
                <w:rFonts w:ascii="Arial" w:cs="Arial" w:eastAsia="Arial" w:hAnsi="Arial"/>
                <w:sz w:val="16"/>
                <w:szCs w:val="16"/>
                <w:b w:val="1"/>
                <w:bCs w:val="1"/>
                <w:color w:val="0000EE"/>
              </w:rPr>
              <w:t>Proxy Notice from Corporate Secretary</w:t>
            </w:r>
          </w:p>
        </w:tc>
        <w:tc>
          <w:tcPr>
            <w:tcW w:w="200" w:type="dxa"/>
            <w:vAlign w:val="bottom"/>
            <w:gridSpan w:val="2"/>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gridSpan w:val="3"/>
          </w:tcPr>
          <w:p>
            <w:pPr>
              <w:jc w:val="right"/>
              <w:ind w:right="20"/>
              <w:spacing w:after="0"/>
              <w:rPr>
                <w:sz w:val="20"/>
                <w:szCs w:val="20"/>
                <w:color w:val="auto"/>
              </w:rPr>
            </w:pPr>
            <w:r>
              <w:rPr>
                <w:rFonts w:ascii="Arial" w:cs="Arial" w:eastAsia="Arial" w:hAnsi="Arial"/>
                <w:sz w:val="16"/>
                <w:szCs w:val="16"/>
                <w:color w:val="0000EE"/>
              </w:rPr>
              <w:t>1</w:t>
            </w:r>
          </w:p>
        </w:tc>
        <w:tc>
          <w:tcPr>
            <w:tcW w:w="8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1"/>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3280" w:type="dxa"/>
            <w:vAlign w:val="bottom"/>
            <w:gridSpan w:val="16"/>
            <w:shd w:val="clear" w:color="auto" w:fill="E3E5F3"/>
          </w:tcPr>
          <w:p>
            <w:pPr>
              <w:spacing w:after="0"/>
              <w:rPr>
                <w:sz w:val="20"/>
                <w:szCs w:val="20"/>
                <w:color w:val="auto"/>
              </w:rPr>
            </w:pPr>
            <w:r>
              <w:rPr>
                <w:rFonts w:ascii="Arial" w:cs="Arial" w:eastAsia="Arial" w:hAnsi="Arial"/>
                <w:sz w:val="16"/>
                <w:szCs w:val="16"/>
                <w:b w:val="1"/>
                <w:bCs w:val="1"/>
                <w:color w:val="0000EE"/>
              </w:rPr>
              <w:t>Cast Your Vote</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right w:val="single" w:sz="8" w:color="E3E5F3"/>
            </w:tcBorders>
            <w:gridSpan w:val="3"/>
            <w:shd w:val="clear" w:color="auto" w:fill="E3E5F3"/>
          </w:tcPr>
          <w:p>
            <w:pPr>
              <w:jc w:val="right"/>
              <w:ind w:right="20"/>
              <w:spacing w:after="0"/>
              <w:rPr>
                <w:sz w:val="20"/>
                <w:szCs w:val="20"/>
                <w:color w:val="auto"/>
              </w:rPr>
            </w:pPr>
            <w:r>
              <w:rPr>
                <w:rFonts w:ascii="Arial" w:cs="Arial" w:eastAsia="Arial" w:hAnsi="Arial"/>
                <w:sz w:val="16"/>
                <w:szCs w:val="16"/>
                <w:color w:val="0000EE"/>
              </w:rPr>
              <w:t>2</w:t>
            </w:r>
          </w:p>
        </w:tc>
        <w:tc>
          <w:tcPr>
            <w:tcW w:w="80" w:type="dxa"/>
            <w:vAlign w:val="bottom"/>
            <w:shd w:val="clear" w:color="auto" w:fill="E3E5F3"/>
          </w:tcPr>
          <w:p>
            <w:pPr>
              <w:spacing w:after="0"/>
              <w:rPr>
                <w:sz w:val="24"/>
                <w:szCs w:val="24"/>
                <w:color w:val="auto"/>
              </w:rPr>
            </w:pPr>
          </w:p>
        </w:tc>
        <w:tc>
          <w:tcPr>
            <w:tcW w:w="200" w:type="dxa"/>
            <w:vAlign w:val="bottom"/>
            <w:gridSpan w:val="2"/>
            <w:shd w:val="clear" w:color="auto" w:fill="E3E5F3"/>
          </w:tcPr>
          <w:p>
            <w:pPr>
              <w:ind w:left="8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E3E5F3"/>
            </w:tcBorders>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32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3280" w:type="dxa"/>
            <w:vAlign w:val="bottom"/>
            <w:gridSpan w:val="16"/>
            <w:shd w:val="clear" w:color="auto" w:fill="E3E5F3"/>
          </w:tcPr>
          <w:p>
            <w:pPr>
              <w:spacing w:after="0"/>
              <w:rPr>
                <w:sz w:val="20"/>
                <w:szCs w:val="20"/>
                <w:color w:val="auto"/>
              </w:rPr>
            </w:pPr>
            <w:r>
              <w:rPr>
                <w:rFonts w:ascii="Arial" w:cs="Arial" w:eastAsia="Arial" w:hAnsi="Arial"/>
                <w:sz w:val="16"/>
                <w:szCs w:val="16"/>
                <w:b w:val="1"/>
                <w:bCs w:val="1"/>
                <w:color w:val="0000EE"/>
              </w:rPr>
              <w:t>Proxy Statement and Summary</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right w:val="single" w:sz="8" w:color="E3E5F3"/>
            </w:tcBorders>
            <w:gridSpan w:val="3"/>
            <w:shd w:val="clear" w:color="auto" w:fill="E3E5F3"/>
          </w:tcPr>
          <w:p>
            <w:pPr>
              <w:jc w:val="right"/>
              <w:ind w:right="20"/>
              <w:spacing w:after="0"/>
              <w:rPr>
                <w:sz w:val="20"/>
                <w:szCs w:val="20"/>
                <w:color w:val="auto"/>
              </w:rPr>
            </w:pPr>
            <w:r>
              <w:rPr>
                <w:rFonts w:ascii="Arial" w:cs="Arial" w:eastAsia="Arial" w:hAnsi="Arial"/>
                <w:sz w:val="16"/>
                <w:szCs w:val="16"/>
                <w:color w:val="0000EE"/>
              </w:rPr>
              <w:t>3</w:t>
            </w:r>
          </w:p>
        </w:tc>
        <w:tc>
          <w:tcPr>
            <w:tcW w:w="80" w:type="dxa"/>
            <w:vAlign w:val="bottom"/>
            <w:shd w:val="clear" w:color="auto" w:fill="E3E5F3"/>
          </w:tcPr>
          <w:p>
            <w:pPr>
              <w:spacing w:after="0"/>
              <w:rPr>
                <w:sz w:val="24"/>
                <w:szCs w:val="24"/>
                <w:color w:val="auto"/>
              </w:rPr>
            </w:pPr>
          </w:p>
        </w:tc>
        <w:tc>
          <w:tcPr>
            <w:tcW w:w="200" w:type="dxa"/>
            <w:vAlign w:val="bottom"/>
            <w:gridSpan w:val="2"/>
            <w:shd w:val="clear" w:color="auto" w:fill="E3E5F3"/>
          </w:tcPr>
          <w:p>
            <w:pPr>
              <w:ind w:left="8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4"/>
        </w:trPr>
        <w:tc>
          <w:tcPr>
            <w:tcW w:w="160" w:type="dxa"/>
            <w:vAlign w:val="bottom"/>
            <w:tcBorders>
              <w:right w:val="single" w:sz="8" w:color="E3E5F3"/>
            </w:tcBorders>
          </w:tcPr>
          <w:p>
            <w:pPr>
              <w:spacing w:after="0"/>
              <w:rPr>
                <w:sz w:val="2"/>
                <w:szCs w:val="2"/>
                <w:color w:val="auto"/>
              </w:rPr>
            </w:pPr>
          </w:p>
        </w:tc>
        <w:tc>
          <w:tcPr>
            <w:tcW w:w="260" w:type="dxa"/>
            <w:vAlign w:val="bottom"/>
            <w:tcBorders>
              <w:bottom w:val="single" w:sz="8" w:color="E3E5F3"/>
            </w:tcBorders>
            <w:shd w:val="clear" w:color="auto" w:fill="0000EE"/>
          </w:tcPr>
          <w:p>
            <w:pPr>
              <w:spacing w:after="0"/>
              <w:rPr>
                <w:sz w:val="2"/>
                <w:szCs w:val="2"/>
                <w:color w:val="auto"/>
              </w:rPr>
            </w:pPr>
          </w:p>
        </w:tc>
        <w:tc>
          <w:tcPr>
            <w:tcW w:w="660" w:type="dxa"/>
            <w:vAlign w:val="bottom"/>
            <w:tcBorders>
              <w:bottom w:val="single" w:sz="8" w:color="E3E5F3"/>
            </w:tcBorders>
            <w:shd w:val="clear" w:color="auto" w:fill="0000EE"/>
          </w:tcPr>
          <w:p>
            <w:pPr>
              <w:spacing w:after="0"/>
              <w:rPr>
                <w:sz w:val="2"/>
                <w:szCs w:val="2"/>
                <w:color w:val="auto"/>
              </w:rPr>
            </w:pPr>
          </w:p>
        </w:tc>
        <w:tc>
          <w:tcPr>
            <w:tcW w:w="120" w:type="dxa"/>
            <w:vAlign w:val="bottom"/>
            <w:tcBorders>
              <w:bottom w:val="single" w:sz="8" w:color="E3E5F3"/>
              <w:right w:val="single" w:sz="8" w:color="0000EE"/>
            </w:tcBorders>
            <w:shd w:val="clear" w:color="auto" w:fill="0000EE"/>
          </w:tcPr>
          <w:p>
            <w:pPr>
              <w:spacing w:after="0"/>
              <w:rPr>
                <w:sz w:val="2"/>
                <w:szCs w:val="2"/>
                <w:color w:val="auto"/>
              </w:rPr>
            </w:pPr>
          </w:p>
        </w:tc>
        <w:tc>
          <w:tcPr>
            <w:tcW w:w="140" w:type="dxa"/>
            <w:vAlign w:val="bottom"/>
            <w:tcBorders>
              <w:bottom w:val="single" w:sz="8" w:color="E3E5F3"/>
              <w:right w:val="single" w:sz="8" w:color="0000EE"/>
            </w:tcBorders>
            <w:shd w:val="clear" w:color="auto" w:fill="0000EE"/>
          </w:tcPr>
          <w:p>
            <w:pPr>
              <w:spacing w:after="0"/>
              <w:rPr>
                <w:sz w:val="2"/>
                <w:szCs w:val="2"/>
                <w:color w:val="auto"/>
              </w:rPr>
            </w:pPr>
          </w:p>
        </w:tc>
        <w:tc>
          <w:tcPr>
            <w:tcW w:w="80" w:type="dxa"/>
            <w:vAlign w:val="bottom"/>
            <w:tcBorders>
              <w:bottom w:val="single" w:sz="8" w:color="E3E5F3"/>
            </w:tcBorders>
            <w:shd w:val="clear" w:color="auto" w:fill="0000EE"/>
          </w:tcPr>
          <w:p>
            <w:pPr>
              <w:spacing w:after="0"/>
              <w:rPr>
                <w:sz w:val="2"/>
                <w:szCs w:val="2"/>
                <w:color w:val="auto"/>
              </w:rPr>
            </w:pPr>
          </w:p>
        </w:tc>
        <w:tc>
          <w:tcPr>
            <w:tcW w:w="100" w:type="dxa"/>
            <w:vAlign w:val="bottom"/>
            <w:tcBorders>
              <w:bottom w:val="single" w:sz="8" w:color="E3E5F3"/>
            </w:tcBorders>
            <w:shd w:val="clear" w:color="auto" w:fill="0000EE"/>
          </w:tcPr>
          <w:p>
            <w:pPr>
              <w:spacing w:after="0"/>
              <w:rPr>
                <w:sz w:val="2"/>
                <w:szCs w:val="2"/>
                <w:color w:val="auto"/>
              </w:rPr>
            </w:pPr>
          </w:p>
        </w:tc>
        <w:tc>
          <w:tcPr>
            <w:tcW w:w="80" w:type="dxa"/>
            <w:vAlign w:val="bottom"/>
            <w:tcBorders>
              <w:bottom w:val="single" w:sz="8" w:color="E3E5F3"/>
            </w:tcBorders>
            <w:shd w:val="clear" w:color="auto" w:fill="0000EE"/>
          </w:tcPr>
          <w:p>
            <w:pPr>
              <w:spacing w:after="0"/>
              <w:rPr>
                <w:sz w:val="2"/>
                <w:szCs w:val="2"/>
                <w:color w:val="auto"/>
              </w:rPr>
            </w:pPr>
          </w:p>
        </w:tc>
        <w:tc>
          <w:tcPr>
            <w:tcW w:w="200" w:type="dxa"/>
            <w:vAlign w:val="bottom"/>
            <w:tcBorders>
              <w:bottom w:val="single" w:sz="8" w:color="E3E5F3"/>
              <w:right w:val="single" w:sz="8" w:color="0000EE"/>
            </w:tcBorders>
            <w:shd w:val="clear" w:color="auto" w:fill="0000EE"/>
          </w:tcPr>
          <w:p>
            <w:pPr>
              <w:spacing w:after="0"/>
              <w:rPr>
                <w:sz w:val="2"/>
                <w:szCs w:val="2"/>
                <w:color w:val="auto"/>
              </w:rPr>
            </w:pPr>
          </w:p>
        </w:tc>
        <w:tc>
          <w:tcPr>
            <w:tcW w:w="320" w:type="dxa"/>
            <w:vAlign w:val="bottom"/>
            <w:tcBorders>
              <w:bottom w:val="single" w:sz="8" w:color="E3E5F3"/>
              <w:right w:val="single" w:sz="8" w:color="0000EE"/>
            </w:tcBorders>
            <w:shd w:val="clear" w:color="auto" w:fill="0000EE"/>
          </w:tcPr>
          <w:p>
            <w:pPr>
              <w:spacing w:after="0"/>
              <w:rPr>
                <w:sz w:val="2"/>
                <w:szCs w:val="2"/>
                <w:color w:val="auto"/>
              </w:rPr>
            </w:pPr>
          </w:p>
        </w:tc>
        <w:tc>
          <w:tcPr>
            <w:tcW w:w="200" w:type="dxa"/>
            <w:vAlign w:val="bottom"/>
            <w:tcBorders>
              <w:bottom w:val="single" w:sz="8" w:color="E3E5F3"/>
              <w:right w:val="single" w:sz="8" w:color="0000EE"/>
            </w:tcBorders>
            <w:shd w:val="clear" w:color="auto" w:fill="0000EE"/>
          </w:tcPr>
          <w:p>
            <w:pPr>
              <w:spacing w:after="0"/>
              <w:rPr>
                <w:sz w:val="2"/>
                <w:szCs w:val="2"/>
                <w:color w:val="auto"/>
              </w:rPr>
            </w:pPr>
          </w:p>
        </w:tc>
        <w:tc>
          <w:tcPr>
            <w:tcW w:w="100" w:type="dxa"/>
            <w:vAlign w:val="bottom"/>
            <w:tcBorders>
              <w:bottom w:val="single" w:sz="8" w:color="E3E5F3"/>
            </w:tcBorders>
            <w:shd w:val="clear" w:color="auto" w:fill="0000EE"/>
          </w:tcPr>
          <w:p>
            <w:pPr>
              <w:spacing w:after="0"/>
              <w:rPr>
                <w:sz w:val="2"/>
                <w:szCs w:val="2"/>
                <w:color w:val="auto"/>
              </w:rPr>
            </w:pPr>
          </w:p>
        </w:tc>
        <w:tc>
          <w:tcPr>
            <w:tcW w:w="100" w:type="dxa"/>
            <w:vAlign w:val="bottom"/>
            <w:tcBorders>
              <w:bottom w:val="single" w:sz="8" w:color="E3E5F3"/>
            </w:tcBorders>
            <w:shd w:val="clear" w:color="auto" w:fill="0000EE"/>
          </w:tcPr>
          <w:p>
            <w:pPr>
              <w:spacing w:after="0"/>
              <w:rPr>
                <w:sz w:val="2"/>
                <w:szCs w:val="2"/>
                <w:color w:val="auto"/>
              </w:rPr>
            </w:pPr>
          </w:p>
        </w:tc>
        <w:tc>
          <w:tcPr>
            <w:tcW w:w="100" w:type="dxa"/>
            <w:vAlign w:val="bottom"/>
            <w:tcBorders>
              <w:bottom w:val="single" w:sz="8" w:color="E3E5F3"/>
              <w:right w:val="single" w:sz="8" w:color="E3E5F3"/>
            </w:tcBorders>
            <w:shd w:val="clear" w:color="auto" w:fill="E3E5F3"/>
          </w:tcPr>
          <w:p>
            <w:pPr>
              <w:spacing w:after="0"/>
              <w:rPr>
                <w:sz w:val="2"/>
                <w:szCs w:val="2"/>
                <w:color w:val="auto"/>
              </w:rPr>
            </w:pPr>
          </w:p>
        </w:tc>
        <w:tc>
          <w:tcPr>
            <w:tcW w:w="400" w:type="dxa"/>
            <w:vAlign w:val="bottom"/>
            <w:tcBorders>
              <w:bottom w:val="single" w:sz="8" w:color="E3E5F3"/>
              <w:right w:val="single" w:sz="8" w:color="E3E5F3"/>
            </w:tcBorders>
            <w:shd w:val="clear" w:color="auto" w:fill="E3E5F3"/>
          </w:tcPr>
          <w:p>
            <w:pPr>
              <w:spacing w:after="0"/>
              <w:rPr>
                <w:sz w:val="2"/>
                <w:szCs w:val="2"/>
                <w:color w:val="auto"/>
              </w:rPr>
            </w:pPr>
          </w:p>
        </w:tc>
        <w:tc>
          <w:tcPr>
            <w:tcW w:w="100" w:type="dxa"/>
            <w:vAlign w:val="bottom"/>
            <w:tcBorders>
              <w:bottom w:val="single" w:sz="8" w:color="E3E5F3"/>
            </w:tcBorders>
            <w:shd w:val="clear" w:color="auto" w:fill="E3E5F3"/>
          </w:tcPr>
          <w:p>
            <w:pPr>
              <w:spacing w:after="0"/>
              <w:rPr>
                <w:sz w:val="2"/>
                <w:szCs w:val="2"/>
                <w:color w:val="auto"/>
              </w:rPr>
            </w:pPr>
          </w:p>
        </w:tc>
        <w:tc>
          <w:tcPr>
            <w:tcW w:w="320" w:type="dxa"/>
            <w:vAlign w:val="bottom"/>
            <w:tcBorders>
              <w:bottom w:val="single" w:sz="8" w:color="E3E5F3"/>
            </w:tcBorders>
            <w:shd w:val="clear" w:color="auto" w:fill="E3E5F3"/>
          </w:tcPr>
          <w:p>
            <w:pPr>
              <w:spacing w:after="0"/>
              <w:rPr>
                <w:sz w:val="2"/>
                <w:szCs w:val="2"/>
                <w:color w:val="auto"/>
              </w:rPr>
            </w:pPr>
          </w:p>
        </w:tc>
        <w:tc>
          <w:tcPr>
            <w:tcW w:w="100" w:type="dxa"/>
            <w:vAlign w:val="bottom"/>
            <w:tcBorders>
              <w:bottom w:val="single" w:sz="8" w:color="E3E5F3"/>
            </w:tcBorders>
            <w:shd w:val="clear" w:color="auto" w:fill="E3E5F3"/>
          </w:tcPr>
          <w:p>
            <w:pPr>
              <w:spacing w:after="0"/>
              <w:rPr>
                <w:sz w:val="2"/>
                <w:szCs w:val="2"/>
                <w:color w:val="auto"/>
              </w:rPr>
            </w:pPr>
          </w:p>
        </w:tc>
        <w:tc>
          <w:tcPr>
            <w:tcW w:w="100" w:type="dxa"/>
            <w:vAlign w:val="bottom"/>
            <w:tcBorders>
              <w:bottom w:val="single" w:sz="8" w:color="E3E5F3"/>
            </w:tcBorders>
            <w:shd w:val="clear" w:color="auto" w:fill="E3E5F3"/>
          </w:tcPr>
          <w:p>
            <w:pPr>
              <w:spacing w:after="0"/>
              <w:rPr>
                <w:sz w:val="2"/>
                <w:szCs w:val="2"/>
                <w:color w:val="auto"/>
              </w:rPr>
            </w:pPr>
          </w:p>
        </w:tc>
        <w:tc>
          <w:tcPr>
            <w:tcW w:w="180" w:type="dxa"/>
            <w:vAlign w:val="bottom"/>
            <w:tcBorders>
              <w:bottom w:val="single" w:sz="8" w:color="E3E5F3"/>
            </w:tcBorders>
            <w:shd w:val="clear" w:color="auto" w:fill="E3E5F3"/>
          </w:tcPr>
          <w:p>
            <w:pPr>
              <w:spacing w:after="0"/>
              <w:rPr>
                <w:sz w:val="2"/>
                <w:szCs w:val="2"/>
                <w:color w:val="auto"/>
              </w:rPr>
            </w:pPr>
          </w:p>
        </w:tc>
        <w:tc>
          <w:tcPr>
            <w:tcW w:w="80" w:type="dxa"/>
            <w:vAlign w:val="bottom"/>
            <w:tcBorders>
              <w:bottom w:val="single" w:sz="8" w:color="E3E5F3"/>
            </w:tcBorders>
            <w:shd w:val="clear" w:color="auto" w:fill="E3E5F3"/>
          </w:tcPr>
          <w:p>
            <w:pPr>
              <w:spacing w:after="0"/>
              <w:rPr>
                <w:sz w:val="2"/>
                <w:szCs w:val="2"/>
                <w:color w:val="auto"/>
              </w:rPr>
            </w:pPr>
          </w:p>
        </w:tc>
        <w:tc>
          <w:tcPr>
            <w:tcW w:w="100" w:type="dxa"/>
            <w:vAlign w:val="bottom"/>
            <w:tcBorders>
              <w:bottom w:val="single" w:sz="8" w:color="E3E5F3"/>
              <w:right w:val="single" w:sz="8" w:color="E3E5F3"/>
            </w:tcBorders>
            <w:shd w:val="clear" w:color="auto" w:fill="0000EE"/>
          </w:tcPr>
          <w:p>
            <w:pPr>
              <w:spacing w:after="0"/>
              <w:rPr>
                <w:sz w:val="2"/>
                <w:szCs w:val="2"/>
                <w:color w:val="auto"/>
              </w:rPr>
            </w:pPr>
          </w:p>
        </w:tc>
        <w:tc>
          <w:tcPr>
            <w:tcW w:w="80" w:type="dxa"/>
            <w:vAlign w:val="bottom"/>
            <w:tcBorders>
              <w:bottom w:val="single" w:sz="8" w:color="E3E5F3"/>
            </w:tcBorders>
            <w:shd w:val="clear" w:color="auto" w:fill="E3E5F3"/>
          </w:tcPr>
          <w:p>
            <w:pPr>
              <w:spacing w:after="0"/>
              <w:rPr>
                <w:sz w:val="2"/>
                <w:szCs w:val="2"/>
                <w:color w:val="auto"/>
              </w:rPr>
            </w:pPr>
          </w:p>
        </w:tc>
        <w:tc>
          <w:tcPr>
            <w:tcW w:w="100" w:type="dxa"/>
            <w:vAlign w:val="bottom"/>
            <w:tcBorders>
              <w:bottom w:val="single" w:sz="8" w:color="E3E5F3"/>
            </w:tcBorders>
            <w:shd w:val="clear" w:color="auto" w:fill="E3E5F3"/>
          </w:tcPr>
          <w:p>
            <w:pPr>
              <w:spacing w:after="0"/>
              <w:rPr>
                <w:sz w:val="2"/>
                <w:szCs w:val="2"/>
                <w:color w:val="auto"/>
              </w:rPr>
            </w:pPr>
          </w:p>
        </w:tc>
        <w:tc>
          <w:tcPr>
            <w:tcW w:w="100" w:type="dxa"/>
            <w:vAlign w:val="bottom"/>
            <w:tcBorders>
              <w:bottom w:val="single" w:sz="8" w:color="E3E5F3"/>
            </w:tcBorders>
            <w:shd w:val="clear" w:color="auto" w:fill="E3E5F3"/>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860" w:type="dxa"/>
            <w:vAlign w:val="bottom"/>
            <w:tcBorders>
              <w:bottom w:val="single" w:sz="8" w:color="0000EE"/>
              <w:right w:val="single" w:sz="8" w:color="E3E5F3"/>
            </w:tcBorders>
            <w:gridSpan w:val="14"/>
            <w:shd w:val="clear" w:color="auto" w:fill="E3E5F3"/>
          </w:tcPr>
          <w:p>
            <w:pPr>
              <w:spacing w:after="0" w:line="181" w:lineRule="exact"/>
              <w:rPr>
                <w:sz w:val="20"/>
                <w:szCs w:val="20"/>
                <w:color w:val="auto"/>
              </w:rPr>
            </w:pPr>
            <w:r>
              <w:rPr>
                <w:rFonts w:ascii="Arial" w:cs="Arial" w:eastAsia="Arial" w:hAnsi="Arial"/>
                <w:sz w:val="16"/>
                <w:szCs w:val="16"/>
                <w:color w:val="0000EE"/>
              </w:rPr>
              <w:t>Corporate Governance Highlights and</w:t>
            </w:r>
          </w:p>
        </w:tc>
        <w:tc>
          <w:tcPr>
            <w:tcW w:w="420" w:type="dxa"/>
            <w:vAlign w:val="bottom"/>
            <w:tcBorders>
              <w:bottom w:val="single" w:sz="8" w:color="E3E5F3"/>
            </w:tcBorders>
            <w:gridSpan w:val="2"/>
            <w:shd w:val="clear" w:color="auto" w:fill="E3E5F3"/>
          </w:tcPr>
          <w:p>
            <w:pPr>
              <w:spacing w:after="0"/>
              <w:rPr>
                <w:sz w:val="17"/>
                <w:szCs w:val="17"/>
                <w:color w:val="auto"/>
              </w:rPr>
            </w:pPr>
          </w:p>
        </w:tc>
        <w:tc>
          <w:tcPr>
            <w:tcW w:w="100" w:type="dxa"/>
            <w:vAlign w:val="bottom"/>
            <w:tcBorders>
              <w:bottom w:val="single" w:sz="8" w:color="E3E5F3"/>
            </w:tcBorders>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67"/>
        </w:trPr>
        <w:tc>
          <w:tcPr>
            <w:tcW w:w="160" w:type="dxa"/>
            <w:vAlign w:val="bottom"/>
            <w:tcBorders>
              <w:right w:val="single" w:sz="8" w:color="E3E5F3"/>
            </w:tcBorders>
          </w:tcPr>
          <w:p>
            <w:pPr>
              <w:spacing w:after="0"/>
              <w:rPr>
                <w:sz w:val="14"/>
                <w:szCs w:val="14"/>
                <w:color w:val="auto"/>
              </w:rPr>
            </w:pPr>
          </w:p>
        </w:tc>
        <w:tc>
          <w:tcPr>
            <w:tcW w:w="260" w:type="dxa"/>
            <w:vAlign w:val="bottom"/>
            <w:shd w:val="clear" w:color="auto" w:fill="E3E5F3"/>
          </w:tcPr>
          <w:p>
            <w:pPr>
              <w:spacing w:after="0"/>
              <w:rPr>
                <w:sz w:val="14"/>
                <w:szCs w:val="14"/>
                <w:color w:val="auto"/>
              </w:rPr>
            </w:pPr>
          </w:p>
        </w:tc>
        <w:tc>
          <w:tcPr>
            <w:tcW w:w="3020" w:type="dxa"/>
            <w:vAlign w:val="bottom"/>
            <w:gridSpan w:val="15"/>
            <w:shd w:val="clear" w:color="auto" w:fill="E3E5F3"/>
          </w:tcPr>
          <w:p>
            <w:pPr>
              <w:spacing w:after="0" w:line="168" w:lineRule="exact"/>
              <w:rPr>
                <w:sz w:val="20"/>
                <w:szCs w:val="20"/>
                <w:color w:val="auto"/>
              </w:rPr>
            </w:pPr>
            <w:r>
              <w:rPr>
                <w:rFonts w:ascii="Arial" w:cs="Arial" w:eastAsia="Arial" w:hAnsi="Arial"/>
                <w:sz w:val="16"/>
                <w:szCs w:val="16"/>
                <w:color w:val="0000EE"/>
              </w:rPr>
              <w:t>Practices</w:t>
            </w:r>
          </w:p>
        </w:tc>
        <w:tc>
          <w:tcPr>
            <w:tcW w:w="100" w:type="dxa"/>
            <w:vAlign w:val="bottom"/>
            <w:shd w:val="clear" w:color="auto" w:fill="E3E5F3"/>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3"/>
          </w:tcPr>
          <w:p>
            <w:pPr>
              <w:jc w:val="right"/>
              <w:ind w:right="20"/>
              <w:spacing w:after="0" w:line="168" w:lineRule="exact"/>
              <w:rPr>
                <w:sz w:val="20"/>
                <w:szCs w:val="20"/>
                <w:color w:val="auto"/>
              </w:rPr>
            </w:pPr>
            <w:r>
              <w:rPr>
                <w:rFonts w:ascii="Arial" w:cs="Arial" w:eastAsia="Arial" w:hAnsi="Arial"/>
                <w:sz w:val="16"/>
                <w:szCs w:val="16"/>
                <w:color w:val="0000EE"/>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60" w:type="dxa"/>
            <w:vAlign w:val="bottom"/>
            <w:tcBorders>
              <w:right w:val="single" w:sz="8" w:color="E3E5F3"/>
            </w:tcBorders>
          </w:tcPr>
          <w:p>
            <w:pPr>
              <w:spacing w:after="0"/>
              <w:rPr>
                <w:sz w:val="4"/>
                <w:szCs w:val="4"/>
                <w:color w:val="auto"/>
              </w:rPr>
            </w:pPr>
          </w:p>
        </w:tc>
        <w:tc>
          <w:tcPr>
            <w:tcW w:w="260" w:type="dxa"/>
            <w:vAlign w:val="bottom"/>
            <w:tcBorders>
              <w:top w:val="single" w:sz="8" w:color="E3E5F3"/>
            </w:tcBorders>
            <w:shd w:val="clear" w:color="auto" w:fill="E3E5F3"/>
          </w:tcPr>
          <w:p>
            <w:pPr>
              <w:spacing w:after="0"/>
              <w:rPr>
                <w:sz w:val="4"/>
                <w:szCs w:val="4"/>
                <w:color w:val="auto"/>
              </w:rPr>
            </w:pPr>
          </w:p>
        </w:tc>
        <w:tc>
          <w:tcPr>
            <w:tcW w:w="660" w:type="dxa"/>
            <w:vAlign w:val="bottom"/>
            <w:tcBorders>
              <w:top w:val="single" w:sz="8" w:color="0000EE"/>
            </w:tcBorders>
            <w:shd w:val="clear" w:color="auto" w:fill="E3E5F3"/>
          </w:tcPr>
          <w:p>
            <w:pPr>
              <w:spacing w:after="0"/>
              <w:rPr>
                <w:sz w:val="4"/>
                <w:szCs w:val="4"/>
                <w:color w:val="auto"/>
              </w:rPr>
            </w:pPr>
          </w:p>
        </w:tc>
        <w:tc>
          <w:tcPr>
            <w:tcW w:w="120" w:type="dxa"/>
            <w:vAlign w:val="bottom"/>
            <w:tcBorders>
              <w:top w:val="single" w:sz="8" w:color="E3E5F3"/>
              <w:right w:val="single" w:sz="8" w:color="E3E5F3"/>
            </w:tcBorders>
            <w:shd w:val="clear" w:color="auto" w:fill="E3E5F3"/>
          </w:tcPr>
          <w:p>
            <w:pPr>
              <w:spacing w:after="0"/>
              <w:rPr>
                <w:sz w:val="4"/>
                <w:szCs w:val="4"/>
                <w:color w:val="auto"/>
              </w:rPr>
            </w:pPr>
          </w:p>
        </w:tc>
        <w:tc>
          <w:tcPr>
            <w:tcW w:w="140" w:type="dxa"/>
            <w:vAlign w:val="bottom"/>
            <w:tcBorders>
              <w:top w:val="single" w:sz="8" w:color="E3E5F3"/>
              <w:right w:val="single" w:sz="8" w:color="E3E5F3"/>
            </w:tcBorders>
            <w:shd w:val="clear" w:color="auto" w:fill="E3E5F3"/>
          </w:tcPr>
          <w:p>
            <w:pPr>
              <w:spacing w:after="0"/>
              <w:rPr>
                <w:sz w:val="4"/>
                <w:szCs w:val="4"/>
                <w:color w:val="auto"/>
              </w:rPr>
            </w:pPr>
          </w:p>
        </w:tc>
        <w:tc>
          <w:tcPr>
            <w:tcW w:w="80" w:type="dxa"/>
            <w:vAlign w:val="bottom"/>
            <w:tcBorders>
              <w:top w:val="single" w:sz="8" w:color="E3E5F3"/>
            </w:tcBorders>
            <w:shd w:val="clear" w:color="auto" w:fill="E3E5F3"/>
          </w:tcPr>
          <w:p>
            <w:pPr>
              <w:spacing w:after="0"/>
              <w:rPr>
                <w:sz w:val="4"/>
                <w:szCs w:val="4"/>
                <w:color w:val="auto"/>
              </w:rPr>
            </w:pPr>
          </w:p>
        </w:tc>
        <w:tc>
          <w:tcPr>
            <w:tcW w:w="100" w:type="dxa"/>
            <w:vAlign w:val="bottom"/>
            <w:tcBorders>
              <w:top w:val="single" w:sz="8" w:color="E3E5F3"/>
            </w:tcBorders>
            <w:shd w:val="clear" w:color="auto" w:fill="E3E5F3"/>
          </w:tcPr>
          <w:p>
            <w:pPr>
              <w:spacing w:after="0"/>
              <w:rPr>
                <w:sz w:val="4"/>
                <w:szCs w:val="4"/>
                <w:color w:val="auto"/>
              </w:rPr>
            </w:pPr>
          </w:p>
        </w:tc>
        <w:tc>
          <w:tcPr>
            <w:tcW w:w="80" w:type="dxa"/>
            <w:vAlign w:val="bottom"/>
            <w:tcBorders>
              <w:top w:val="single" w:sz="8" w:color="E3E5F3"/>
            </w:tcBorders>
            <w:shd w:val="clear" w:color="auto" w:fill="E3E5F3"/>
          </w:tcPr>
          <w:p>
            <w:pPr>
              <w:spacing w:after="0"/>
              <w:rPr>
                <w:sz w:val="4"/>
                <w:szCs w:val="4"/>
                <w:color w:val="auto"/>
              </w:rPr>
            </w:pPr>
          </w:p>
        </w:tc>
        <w:tc>
          <w:tcPr>
            <w:tcW w:w="200" w:type="dxa"/>
            <w:vAlign w:val="bottom"/>
            <w:tcBorders>
              <w:top w:val="single" w:sz="8" w:color="E3E5F3"/>
              <w:right w:val="single" w:sz="8" w:color="E3E5F3"/>
            </w:tcBorders>
            <w:shd w:val="clear" w:color="auto" w:fill="E3E5F3"/>
          </w:tcPr>
          <w:p>
            <w:pPr>
              <w:spacing w:after="0"/>
              <w:rPr>
                <w:sz w:val="4"/>
                <w:szCs w:val="4"/>
                <w:color w:val="auto"/>
              </w:rPr>
            </w:pPr>
          </w:p>
        </w:tc>
        <w:tc>
          <w:tcPr>
            <w:tcW w:w="320" w:type="dxa"/>
            <w:vAlign w:val="bottom"/>
            <w:tcBorders>
              <w:top w:val="single" w:sz="8" w:color="E3E5F3"/>
              <w:right w:val="single" w:sz="8" w:color="E3E5F3"/>
            </w:tcBorders>
            <w:shd w:val="clear" w:color="auto" w:fill="E3E5F3"/>
          </w:tcPr>
          <w:p>
            <w:pPr>
              <w:spacing w:after="0"/>
              <w:rPr>
                <w:sz w:val="4"/>
                <w:szCs w:val="4"/>
                <w:color w:val="auto"/>
              </w:rPr>
            </w:pPr>
          </w:p>
        </w:tc>
        <w:tc>
          <w:tcPr>
            <w:tcW w:w="200" w:type="dxa"/>
            <w:vAlign w:val="bottom"/>
            <w:tcBorders>
              <w:top w:val="single" w:sz="8" w:color="E3E5F3"/>
              <w:right w:val="single" w:sz="8" w:color="E3E5F3"/>
            </w:tcBorders>
            <w:shd w:val="clear" w:color="auto" w:fill="E3E5F3"/>
          </w:tcPr>
          <w:p>
            <w:pPr>
              <w:spacing w:after="0"/>
              <w:rPr>
                <w:sz w:val="4"/>
                <w:szCs w:val="4"/>
                <w:color w:val="auto"/>
              </w:rPr>
            </w:pPr>
          </w:p>
        </w:tc>
        <w:tc>
          <w:tcPr>
            <w:tcW w:w="100" w:type="dxa"/>
            <w:vAlign w:val="bottom"/>
            <w:tcBorders>
              <w:top w:val="single" w:sz="8" w:color="E3E5F3"/>
            </w:tcBorders>
            <w:shd w:val="clear" w:color="auto" w:fill="E3E5F3"/>
          </w:tcPr>
          <w:p>
            <w:pPr>
              <w:spacing w:after="0"/>
              <w:rPr>
                <w:sz w:val="4"/>
                <w:szCs w:val="4"/>
                <w:color w:val="auto"/>
              </w:rPr>
            </w:pPr>
          </w:p>
        </w:tc>
        <w:tc>
          <w:tcPr>
            <w:tcW w:w="100" w:type="dxa"/>
            <w:vAlign w:val="bottom"/>
            <w:tcBorders>
              <w:top w:val="single" w:sz="8" w:color="E3E5F3"/>
            </w:tcBorders>
            <w:shd w:val="clear" w:color="auto" w:fill="E3E5F3"/>
          </w:tcPr>
          <w:p>
            <w:pPr>
              <w:spacing w:after="0"/>
              <w:rPr>
                <w:sz w:val="4"/>
                <w:szCs w:val="4"/>
                <w:color w:val="auto"/>
              </w:rPr>
            </w:pPr>
          </w:p>
        </w:tc>
        <w:tc>
          <w:tcPr>
            <w:tcW w:w="100" w:type="dxa"/>
            <w:vAlign w:val="bottom"/>
            <w:tcBorders>
              <w:top w:val="single" w:sz="8" w:color="E3E5F3"/>
              <w:right w:val="single" w:sz="8" w:color="E3E5F3"/>
            </w:tcBorders>
            <w:shd w:val="clear" w:color="auto" w:fill="E3E5F3"/>
          </w:tcPr>
          <w:p>
            <w:pPr>
              <w:spacing w:after="0"/>
              <w:rPr>
                <w:sz w:val="4"/>
                <w:szCs w:val="4"/>
                <w:color w:val="auto"/>
              </w:rPr>
            </w:pPr>
          </w:p>
        </w:tc>
        <w:tc>
          <w:tcPr>
            <w:tcW w:w="400" w:type="dxa"/>
            <w:vAlign w:val="bottom"/>
            <w:tcBorders>
              <w:top w:val="single" w:sz="8" w:color="E3E5F3"/>
              <w:right w:val="single" w:sz="8" w:color="E3E5F3"/>
            </w:tcBorders>
            <w:shd w:val="clear" w:color="auto" w:fill="E3E5F3"/>
          </w:tcPr>
          <w:p>
            <w:pPr>
              <w:spacing w:after="0"/>
              <w:rPr>
                <w:sz w:val="4"/>
                <w:szCs w:val="4"/>
                <w:color w:val="auto"/>
              </w:rPr>
            </w:pPr>
          </w:p>
        </w:tc>
        <w:tc>
          <w:tcPr>
            <w:tcW w:w="100" w:type="dxa"/>
            <w:vAlign w:val="bottom"/>
            <w:tcBorders>
              <w:top w:val="single" w:sz="8" w:color="E3E5F3"/>
            </w:tcBorders>
            <w:shd w:val="clear" w:color="auto" w:fill="E3E5F3"/>
          </w:tcPr>
          <w:p>
            <w:pPr>
              <w:spacing w:after="0"/>
              <w:rPr>
                <w:sz w:val="4"/>
                <w:szCs w:val="4"/>
                <w:color w:val="auto"/>
              </w:rPr>
            </w:pPr>
          </w:p>
        </w:tc>
        <w:tc>
          <w:tcPr>
            <w:tcW w:w="320" w:type="dxa"/>
            <w:vAlign w:val="bottom"/>
            <w:tcBorders>
              <w:top w:val="single" w:sz="8" w:color="E3E5F3"/>
            </w:tcBorders>
            <w:shd w:val="clear" w:color="auto" w:fill="E3E5F3"/>
          </w:tcPr>
          <w:p>
            <w:pPr>
              <w:spacing w:after="0"/>
              <w:rPr>
                <w:sz w:val="4"/>
                <w:szCs w:val="4"/>
                <w:color w:val="auto"/>
              </w:rPr>
            </w:pPr>
          </w:p>
        </w:tc>
        <w:tc>
          <w:tcPr>
            <w:tcW w:w="100" w:type="dxa"/>
            <w:vAlign w:val="bottom"/>
            <w:tcBorders>
              <w:top w:val="single" w:sz="8" w:color="E3E5F3"/>
            </w:tcBorders>
            <w:shd w:val="clear" w:color="auto" w:fill="E3E5F3"/>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860" w:type="dxa"/>
            <w:vAlign w:val="bottom"/>
            <w:tcBorders>
              <w:right w:val="single" w:sz="8" w:color="E3E5F3"/>
            </w:tcBorders>
            <w:gridSpan w:val="14"/>
            <w:shd w:val="clear" w:color="auto" w:fill="E3E5F3"/>
          </w:tcPr>
          <w:p>
            <w:pPr>
              <w:spacing w:after="0"/>
              <w:rPr>
                <w:sz w:val="20"/>
                <w:szCs w:val="20"/>
                <w:color w:val="auto"/>
              </w:rPr>
            </w:pPr>
            <w:r>
              <w:rPr>
                <w:rFonts w:ascii="Arial" w:cs="Arial" w:eastAsia="Arial" w:hAnsi="Arial"/>
                <w:sz w:val="16"/>
                <w:szCs w:val="16"/>
                <w:color w:val="0000EE"/>
              </w:rPr>
              <w:t>Sustainability Highlights and Practices</w:t>
            </w:r>
          </w:p>
        </w:tc>
        <w:tc>
          <w:tcPr>
            <w:tcW w:w="420" w:type="dxa"/>
            <w:vAlign w:val="bottom"/>
            <w:gridSpan w:val="2"/>
            <w:shd w:val="clear" w:color="auto" w:fill="E3E5F3"/>
          </w:tcPr>
          <w:p>
            <w:pPr>
              <w:spacing w:after="0"/>
              <w:rPr>
                <w:sz w:val="17"/>
                <w:szCs w:val="17"/>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right w:val="single" w:sz="8" w:color="E3E5F3"/>
            </w:tcBorders>
            <w:gridSpan w:val="3"/>
            <w:shd w:val="clear" w:color="auto" w:fill="E3E5F3"/>
          </w:tcPr>
          <w:p>
            <w:pPr>
              <w:jc w:val="right"/>
              <w:ind w:right="20"/>
              <w:spacing w:after="0"/>
              <w:rPr>
                <w:sz w:val="20"/>
                <w:szCs w:val="20"/>
                <w:color w:val="auto"/>
              </w:rPr>
            </w:pPr>
            <w:r>
              <w:rPr>
                <w:rFonts w:ascii="Arial" w:cs="Arial" w:eastAsia="Arial" w:hAnsi="Arial"/>
                <w:sz w:val="16"/>
                <w:szCs w:val="16"/>
                <w:color w:val="0000EE"/>
              </w:rPr>
              <w:t>5</w:t>
            </w:r>
          </w:p>
        </w:tc>
        <w:tc>
          <w:tcPr>
            <w:tcW w:w="80" w:type="dxa"/>
            <w:vAlign w:val="bottom"/>
            <w:shd w:val="clear" w:color="auto" w:fill="E3E5F3"/>
          </w:tcPr>
          <w:p>
            <w:pPr>
              <w:spacing w:after="0"/>
              <w:rPr>
                <w:sz w:val="17"/>
                <w:szCs w:val="17"/>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32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860" w:type="dxa"/>
            <w:vAlign w:val="bottom"/>
            <w:tcBorders>
              <w:right w:val="single" w:sz="8" w:color="E3E5F3"/>
            </w:tcBorders>
            <w:gridSpan w:val="14"/>
            <w:shd w:val="clear" w:color="auto" w:fill="E3E5F3"/>
          </w:tcPr>
          <w:p>
            <w:pPr>
              <w:spacing w:after="0"/>
              <w:rPr>
                <w:sz w:val="20"/>
                <w:szCs w:val="20"/>
                <w:color w:val="auto"/>
              </w:rPr>
            </w:pPr>
            <w:r>
              <w:rPr>
                <w:rFonts w:ascii="Arial" w:cs="Arial" w:eastAsia="Arial" w:hAnsi="Arial"/>
                <w:sz w:val="16"/>
                <w:szCs w:val="16"/>
                <w:color w:val="0000EE"/>
              </w:rPr>
              <w:t>What We Do and What We Don’t Do</w:t>
            </w:r>
          </w:p>
        </w:tc>
        <w:tc>
          <w:tcPr>
            <w:tcW w:w="420" w:type="dxa"/>
            <w:vAlign w:val="bottom"/>
            <w:gridSpan w:val="2"/>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right w:val="single" w:sz="8" w:color="E3E5F3"/>
            </w:tcBorders>
            <w:gridSpan w:val="3"/>
            <w:shd w:val="clear" w:color="auto" w:fill="E3E5F3"/>
          </w:tcPr>
          <w:p>
            <w:pPr>
              <w:jc w:val="right"/>
              <w:ind w:right="20"/>
              <w:spacing w:after="0"/>
              <w:rPr>
                <w:sz w:val="20"/>
                <w:szCs w:val="20"/>
                <w:color w:val="auto"/>
              </w:rPr>
            </w:pPr>
            <w:r>
              <w:rPr>
                <w:rFonts w:ascii="Arial" w:cs="Arial" w:eastAsia="Arial" w:hAnsi="Arial"/>
                <w:sz w:val="16"/>
                <w:szCs w:val="16"/>
                <w:color w:val="0000EE"/>
              </w:rPr>
              <w:t>6</w:t>
            </w:r>
          </w:p>
        </w:tc>
        <w:tc>
          <w:tcPr>
            <w:tcW w:w="80" w:type="dxa"/>
            <w:vAlign w:val="bottom"/>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860" w:type="dxa"/>
            <w:vAlign w:val="bottom"/>
            <w:tcBorders>
              <w:right w:val="single" w:sz="8" w:color="E3E5F3"/>
            </w:tcBorders>
            <w:gridSpan w:val="14"/>
            <w:shd w:val="clear" w:color="auto" w:fill="E3E5F3"/>
          </w:tcPr>
          <w:p>
            <w:pPr>
              <w:spacing w:after="0"/>
              <w:rPr>
                <w:sz w:val="20"/>
                <w:szCs w:val="20"/>
                <w:color w:val="auto"/>
              </w:rPr>
            </w:pPr>
            <w:r>
              <w:rPr>
                <w:rFonts w:ascii="Arial" w:cs="Arial" w:eastAsia="Arial" w:hAnsi="Arial"/>
                <w:sz w:val="16"/>
                <w:szCs w:val="16"/>
                <w:b w:val="1"/>
                <w:bCs w:val="1"/>
                <w:color w:val="0000EE"/>
              </w:rPr>
              <w:t>Proposal 1 – Election of Directors</w:t>
            </w:r>
          </w:p>
        </w:tc>
        <w:tc>
          <w:tcPr>
            <w:tcW w:w="420" w:type="dxa"/>
            <w:vAlign w:val="bottom"/>
            <w:gridSpan w:val="2"/>
            <w:shd w:val="clear" w:color="auto" w:fill="E3E5F3"/>
          </w:tcPr>
          <w:p>
            <w:pPr>
              <w:spacing w:after="0"/>
              <w:rPr>
                <w:sz w:val="24"/>
                <w:szCs w:val="24"/>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right w:val="single" w:sz="8" w:color="E3E5F3"/>
            </w:tcBorders>
            <w:gridSpan w:val="3"/>
            <w:shd w:val="clear" w:color="auto" w:fill="E3E5F3"/>
          </w:tcPr>
          <w:p>
            <w:pPr>
              <w:jc w:val="right"/>
              <w:ind w:right="20"/>
              <w:spacing w:after="0"/>
              <w:rPr>
                <w:sz w:val="20"/>
                <w:szCs w:val="20"/>
                <w:color w:val="auto"/>
              </w:rPr>
            </w:pPr>
            <w:r>
              <w:rPr>
                <w:rFonts w:ascii="Arial" w:cs="Arial" w:eastAsia="Arial" w:hAnsi="Arial"/>
                <w:sz w:val="16"/>
                <w:szCs w:val="16"/>
                <w:color w:val="0000EE"/>
              </w:rPr>
              <w:t>7</w:t>
            </w:r>
          </w:p>
        </w:tc>
        <w:tc>
          <w:tcPr>
            <w:tcW w:w="80" w:type="dxa"/>
            <w:vAlign w:val="bottom"/>
            <w:shd w:val="clear" w:color="auto" w:fill="E3E5F3"/>
          </w:tcPr>
          <w:p>
            <w:pPr>
              <w:spacing w:after="0"/>
              <w:rPr>
                <w:sz w:val="24"/>
                <w:szCs w:val="24"/>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E3E5F3"/>
            </w:tcBorders>
            <w:shd w:val="clear" w:color="auto" w:fill="0000EE"/>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860" w:type="dxa"/>
            <w:vAlign w:val="bottom"/>
            <w:tcBorders>
              <w:right w:val="single" w:sz="8" w:color="E3E5F3"/>
            </w:tcBorders>
            <w:gridSpan w:val="14"/>
            <w:shd w:val="clear" w:color="auto" w:fill="E3E5F3"/>
          </w:tcPr>
          <w:p>
            <w:pPr>
              <w:spacing w:after="0"/>
              <w:rPr>
                <w:sz w:val="20"/>
                <w:szCs w:val="20"/>
                <w:color w:val="auto"/>
              </w:rPr>
            </w:pPr>
            <w:r>
              <w:rPr>
                <w:rFonts w:ascii="Arial" w:cs="Arial" w:eastAsia="Arial" w:hAnsi="Arial"/>
                <w:sz w:val="16"/>
                <w:szCs w:val="16"/>
                <w:color w:val="0000EE"/>
              </w:rPr>
              <w:t>Class III Director Nominees</w:t>
            </w:r>
          </w:p>
        </w:tc>
        <w:tc>
          <w:tcPr>
            <w:tcW w:w="420" w:type="dxa"/>
            <w:vAlign w:val="bottom"/>
            <w:gridSpan w:val="2"/>
            <w:shd w:val="clear" w:color="auto" w:fill="E3E5F3"/>
          </w:tcPr>
          <w:p>
            <w:pPr>
              <w:spacing w:after="0"/>
              <w:rPr>
                <w:sz w:val="20"/>
                <w:szCs w:val="20"/>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right w:val="single" w:sz="8" w:color="E3E5F3"/>
            </w:tcBorders>
            <w:gridSpan w:val="3"/>
            <w:shd w:val="clear" w:color="auto" w:fill="E3E5F3"/>
          </w:tcPr>
          <w:p>
            <w:pPr>
              <w:jc w:val="right"/>
              <w:ind w:right="20"/>
              <w:spacing w:after="0"/>
              <w:rPr>
                <w:sz w:val="20"/>
                <w:szCs w:val="20"/>
                <w:color w:val="auto"/>
              </w:rPr>
            </w:pPr>
            <w:r>
              <w:rPr>
                <w:rFonts w:ascii="Arial" w:cs="Arial" w:eastAsia="Arial" w:hAnsi="Arial"/>
                <w:sz w:val="16"/>
                <w:szCs w:val="16"/>
                <w:color w:val="0000EE"/>
              </w:rPr>
              <w:t>8</w:t>
            </w:r>
          </w:p>
        </w:tc>
        <w:tc>
          <w:tcPr>
            <w:tcW w:w="80" w:type="dxa"/>
            <w:vAlign w:val="bottom"/>
            <w:shd w:val="clear" w:color="auto" w:fill="E3E5F3"/>
          </w:tcPr>
          <w:p>
            <w:pPr>
              <w:spacing w:after="0"/>
              <w:rPr>
                <w:sz w:val="20"/>
                <w:szCs w:val="20"/>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Borders>
              <w:right w:val="single" w:sz="8" w:color="E3E5F3"/>
            </w:tcBorders>
            <w:gridSpan w:val="3"/>
            <w:shd w:val="clear" w:color="auto" w:fill="E3E5F3"/>
          </w:tcPr>
          <w:p>
            <w:pPr>
              <w:spacing w:after="0"/>
              <w:rPr>
                <w:sz w:val="20"/>
                <w:szCs w:val="20"/>
                <w:color w:val="auto"/>
              </w:rPr>
            </w:pPr>
            <w:r>
              <w:rPr>
                <w:rFonts w:ascii="Arial" w:cs="Arial" w:eastAsia="Arial" w:hAnsi="Arial"/>
                <w:sz w:val="16"/>
                <w:szCs w:val="16"/>
                <w:color w:val="0000EE"/>
                <w:w w:val="97"/>
              </w:rPr>
              <w:t>Vote Required</w:t>
            </w:r>
          </w:p>
        </w:tc>
        <w:tc>
          <w:tcPr>
            <w:tcW w:w="920" w:type="dxa"/>
            <w:vAlign w:val="bottom"/>
            <w:tcBorders>
              <w:right w:val="single" w:sz="8" w:color="E3E5F3"/>
            </w:tcBorders>
            <w:gridSpan w:val="6"/>
            <w:shd w:val="clear" w:color="auto" w:fill="E3E5F3"/>
          </w:tcPr>
          <w:p>
            <w:pPr>
              <w:spacing w:after="0"/>
              <w:rPr>
                <w:sz w:val="21"/>
                <w:szCs w:val="21"/>
                <w:color w:val="auto"/>
              </w:rPr>
            </w:pPr>
          </w:p>
        </w:tc>
        <w:tc>
          <w:tcPr>
            <w:tcW w:w="1320" w:type="dxa"/>
            <w:vAlign w:val="bottom"/>
            <w:gridSpan w:val="7"/>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right w:val="single" w:sz="8" w:color="E3E5F3"/>
            </w:tcBorders>
            <w:gridSpan w:val="3"/>
            <w:shd w:val="clear" w:color="auto" w:fill="E3E5F3"/>
          </w:tcPr>
          <w:p>
            <w:pPr>
              <w:jc w:val="right"/>
              <w:ind w:right="20"/>
              <w:spacing w:after="0"/>
              <w:rPr>
                <w:sz w:val="20"/>
                <w:szCs w:val="20"/>
                <w:color w:val="auto"/>
              </w:rPr>
            </w:pPr>
            <w:r>
              <w:rPr>
                <w:rFonts w:ascii="Arial" w:cs="Arial" w:eastAsia="Arial" w:hAnsi="Arial"/>
                <w:sz w:val="16"/>
                <w:szCs w:val="16"/>
                <w:color w:val="0000EE"/>
              </w:rPr>
              <w:t>9</w:t>
            </w:r>
          </w:p>
        </w:tc>
        <w:tc>
          <w:tcPr>
            <w:tcW w:w="80" w:type="dxa"/>
            <w:vAlign w:val="bottom"/>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E3E5F3"/>
            </w:tcBorders>
            <w:shd w:val="clear" w:color="auto" w:fill="E3E5F3"/>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gridSpan w:val="5"/>
            <w:shd w:val="clear" w:color="auto" w:fill="E3E5F3"/>
          </w:tcPr>
          <w:p>
            <w:pPr>
              <w:spacing w:after="0"/>
              <w:rPr>
                <w:sz w:val="20"/>
                <w:szCs w:val="20"/>
                <w:color w:val="auto"/>
              </w:rPr>
            </w:pPr>
            <w:r>
              <w:rPr>
                <w:rFonts w:ascii="Arial" w:cs="Arial" w:eastAsia="Arial" w:hAnsi="Arial"/>
                <w:sz w:val="16"/>
                <w:szCs w:val="16"/>
                <w:color w:val="0000EE"/>
                <w:w w:val="98"/>
              </w:rPr>
              <w:t>Recommendation</w:t>
            </w:r>
          </w:p>
        </w:tc>
        <w:tc>
          <w:tcPr>
            <w:tcW w:w="2020" w:type="dxa"/>
            <w:vAlign w:val="bottom"/>
            <w:gridSpan w:val="11"/>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right w:val="single" w:sz="8" w:color="E3E5F3"/>
            </w:tcBorders>
            <w:gridSpan w:val="3"/>
            <w:shd w:val="clear" w:color="auto" w:fill="E3E5F3"/>
          </w:tcPr>
          <w:p>
            <w:pPr>
              <w:jc w:val="right"/>
              <w:ind w:right="20"/>
              <w:spacing w:after="0"/>
              <w:rPr>
                <w:sz w:val="20"/>
                <w:szCs w:val="20"/>
                <w:color w:val="auto"/>
              </w:rPr>
            </w:pPr>
            <w:r>
              <w:rPr>
                <w:rFonts w:ascii="Arial" w:cs="Arial" w:eastAsia="Arial" w:hAnsi="Arial"/>
                <w:sz w:val="16"/>
                <w:szCs w:val="16"/>
                <w:color w:val="0000EE"/>
              </w:rPr>
              <w:t>9</w:t>
            </w:r>
          </w:p>
        </w:tc>
        <w:tc>
          <w:tcPr>
            <w:tcW w:w="80" w:type="dxa"/>
            <w:vAlign w:val="bottom"/>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3280" w:type="dxa"/>
            <w:vAlign w:val="bottom"/>
            <w:gridSpan w:val="16"/>
            <w:shd w:val="clear" w:color="auto" w:fill="E3E5F3"/>
          </w:tcPr>
          <w:p>
            <w:pPr>
              <w:spacing w:after="0"/>
              <w:rPr>
                <w:sz w:val="20"/>
                <w:szCs w:val="20"/>
                <w:color w:val="auto"/>
              </w:rPr>
            </w:pPr>
            <w:r>
              <w:rPr>
                <w:rFonts w:ascii="Arial" w:cs="Arial" w:eastAsia="Arial" w:hAnsi="Arial"/>
                <w:sz w:val="16"/>
                <w:szCs w:val="16"/>
                <w:color w:val="0000EE"/>
              </w:rPr>
              <w:t>Continuing Directors</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10</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360" w:type="dxa"/>
            <w:vAlign w:val="bottom"/>
            <w:gridSpan w:val="12"/>
            <w:shd w:val="clear" w:color="auto" w:fill="E3E5F3"/>
          </w:tcPr>
          <w:p>
            <w:pPr>
              <w:spacing w:after="0"/>
              <w:rPr>
                <w:sz w:val="20"/>
                <w:szCs w:val="20"/>
                <w:color w:val="auto"/>
              </w:rPr>
            </w:pPr>
            <w:r>
              <w:rPr>
                <w:rFonts w:ascii="Arial" w:cs="Arial" w:eastAsia="Arial" w:hAnsi="Arial"/>
                <w:sz w:val="16"/>
                <w:szCs w:val="16"/>
                <w:b w:val="1"/>
                <w:bCs w:val="1"/>
                <w:color w:val="0000EE"/>
                <w:w w:val="99"/>
              </w:rPr>
              <w:t>Corporate Governance Matters</w:t>
            </w:r>
          </w:p>
        </w:tc>
        <w:tc>
          <w:tcPr>
            <w:tcW w:w="920" w:type="dxa"/>
            <w:vAlign w:val="bottom"/>
            <w:gridSpan w:val="4"/>
            <w:shd w:val="clear" w:color="auto" w:fill="E3E5F3"/>
          </w:tcPr>
          <w:p>
            <w:pPr>
              <w:spacing w:after="0"/>
              <w:rPr>
                <w:sz w:val="24"/>
                <w:szCs w:val="24"/>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13</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1360" w:type="dxa"/>
            <w:vAlign w:val="bottom"/>
            <w:gridSpan w:val="6"/>
            <w:shd w:val="clear" w:color="auto" w:fill="E3E5F3"/>
          </w:tcPr>
          <w:p>
            <w:pPr>
              <w:spacing w:after="0"/>
              <w:rPr>
                <w:sz w:val="20"/>
                <w:szCs w:val="20"/>
                <w:color w:val="auto"/>
              </w:rPr>
            </w:pPr>
            <w:r>
              <w:rPr>
                <w:rFonts w:ascii="Arial" w:cs="Arial" w:eastAsia="Arial" w:hAnsi="Arial"/>
                <w:sz w:val="16"/>
                <w:szCs w:val="16"/>
                <w:color w:val="0000EE"/>
                <w:w w:val="98"/>
              </w:rPr>
              <w:t>Board Composition</w:t>
            </w:r>
          </w:p>
        </w:tc>
        <w:tc>
          <w:tcPr>
            <w:tcW w:w="1000" w:type="dxa"/>
            <w:vAlign w:val="bottom"/>
            <w:gridSpan w:val="6"/>
            <w:shd w:val="clear" w:color="auto" w:fill="E3E5F3"/>
          </w:tcPr>
          <w:p>
            <w:pPr>
              <w:spacing w:after="0"/>
              <w:rPr>
                <w:sz w:val="20"/>
                <w:szCs w:val="20"/>
                <w:color w:val="auto"/>
              </w:rPr>
            </w:pPr>
          </w:p>
        </w:tc>
        <w:tc>
          <w:tcPr>
            <w:tcW w:w="920" w:type="dxa"/>
            <w:vAlign w:val="bottom"/>
            <w:gridSpan w:val="4"/>
            <w:shd w:val="clear" w:color="auto" w:fill="E3E5F3"/>
          </w:tcPr>
          <w:p>
            <w:pPr>
              <w:spacing w:after="0"/>
              <w:rPr>
                <w:sz w:val="20"/>
                <w:szCs w:val="20"/>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13</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E3E5F3"/>
            </w:tcBorders>
            <w:gridSpan w:val="2"/>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1960" w:type="dxa"/>
            <w:vAlign w:val="bottom"/>
            <w:tcBorders>
              <w:right w:val="single" w:sz="8" w:color="E3E5F3"/>
            </w:tcBorders>
            <w:gridSpan w:val="9"/>
            <w:shd w:val="clear" w:color="auto" w:fill="E3E5F3"/>
          </w:tcPr>
          <w:p>
            <w:pPr>
              <w:spacing w:after="0"/>
              <w:rPr>
                <w:sz w:val="20"/>
                <w:szCs w:val="20"/>
                <w:color w:val="auto"/>
              </w:rPr>
            </w:pPr>
            <w:r>
              <w:rPr>
                <w:rFonts w:ascii="Arial" w:cs="Arial" w:eastAsia="Arial" w:hAnsi="Arial"/>
                <w:sz w:val="16"/>
                <w:szCs w:val="16"/>
                <w:color w:val="0000EE"/>
                <w:w w:val="98"/>
              </w:rPr>
              <w:t>Board Leadership Structure</w:t>
            </w:r>
          </w:p>
        </w:tc>
        <w:tc>
          <w:tcPr>
            <w:tcW w:w="1320" w:type="dxa"/>
            <w:vAlign w:val="bottom"/>
            <w:gridSpan w:val="7"/>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13</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860" w:type="dxa"/>
            <w:vAlign w:val="bottom"/>
            <w:tcBorders>
              <w:right w:val="single" w:sz="8" w:color="E3E5F3"/>
            </w:tcBorders>
            <w:gridSpan w:val="14"/>
            <w:shd w:val="clear" w:color="auto" w:fill="E3E5F3"/>
          </w:tcPr>
          <w:p>
            <w:pPr>
              <w:spacing w:after="0"/>
              <w:rPr>
                <w:sz w:val="20"/>
                <w:szCs w:val="20"/>
                <w:color w:val="auto"/>
              </w:rPr>
            </w:pPr>
            <w:r>
              <w:rPr>
                <w:rFonts w:ascii="Arial" w:cs="Arial" w:eastAsia="Arial" w:hAnsi="Arial"/>
                <w:sz w:val="16"/>
                <w:szCs w:val="16"/>
                <w:color w:val="0000EE"/>
              </w:rPr>
              <w:t>Committees of the Board of Directors</w:t>
            </w:r>
          </w:p>
        </w:tc>
        <w:tc>
          <w:tcPr>
            <w:tcW w:w="420" w:type="dxa"/>
            <w:vAlign w:val="bottom"/>
            <w:gridSpan w:val="2"/>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13</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860" w:type="dxa"/>
            <w:vAlign w:val="bottom"/>
            <w:tcBorders>
              <w:right w:val="single" w:sz="8" w:color="E3E5F3"/>
            </w:tcBorders>
            <w:gridSpan w:val="14"/>
            <w:shd w:val="clear" w:color="auto" w:fill="E3E5F3"/>
          </w:tcPr>
          <w:p>
            <w:pPr>
              <w:spacing w:after="0"/>
              <w:rPr>
                <w:sz w:val="20"/>
                <w:szCs w:val="20"/>
                <w:color w:val="auto"/>
              </w:rPr>
            </w:pPr>
            <w:r>
              <w:rPr>
                <w:rFonts w:ascii="Arial" w:cs="Arial" w:eastAsia="Arial" w:hAnsi="Arial"/>
                <w:sz w:val="16"/>
                <w:szCs w:val="16"/>
                <w:color w:val="0000EE"/>
              </w:rPr>
              <w:t>Audit Committee</w:t>
            </w:r>
          </w:p>
        </w:tc>
        <w:tc>
          <w:tcPr>
            <w:tcW w:w="420" w:type="dxa"/>
            <w:vAlign w:val="bottom"/>
            <w:gridSpan w:val="2"/>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14</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E3E5F3"/>
            </w:tcBorders>
            <w:gridSpan w:val="4"/>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1960" w:type="dxa"/>
            <w:vAlign w:val="bottom"/>
            <w:tcBorders>
              <w:right w:val="single" w:sz="8" w:color="E3E5F3"/>
            </w:tcBorders>
            <w:gridSpan w:val="9"/>
            <w:shd w:val="clear" w:color="auto" w:fill="E3E5F3"/>
          </w:tcPr>
          <w:p>
            <w:pPr>
              <w:spacing w:after="0"/>
              <w:rPr>
                <w:sz w:val="20"/>
                <w:szCs w:val="20"/>
                <w:color w:val="auto"/>
              </w:rPr>
            </w:pPr>
            <w:r>
              <w:rPr>
                <w:rFonts w:ascii="Arial" w:cs="Arial" w:eastAsia="Arial" w:hAnsi="Arial"/>
                <w:sz w:val="16"/>
                <w:szCs w:val="16"/>
                <w:color w:val="0000EE"/>
              </w:rPr>
              <w:t>Compensation Committee</w:t>
            </w:r>
          </w:p>
        </w:tc>
        <w:tc>
          <w:tcPr>
            <w:tcW w:w="1320" w:type="dxa"/>
            <w:vAlign w:val="bottom"/>
            <w:gridSpan w:val="7"/>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15</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860" w:type="dxa"/>
            <w:vAlign w:val="bottom"/>
            <w:tcBorders>
              <w:bottom w:val="single" w:sz="8" w:color="0000EE"/>
              <w:right w:val="single" w:sz="8" w:color="E3E5F3"/>
            </w:tcBorders>
            <w:gridSpan w:val="14"/>
            <w:shd w:val="clear" w:color="auto" w:fill="E3E5F3"/>
          </w:tcPr>
          <w:p>
            <w:pPr>
              <w:spacing w:after="0"/>
              <w:rPr>
                <w:sz w:val="20"/>
                <w:szCs w:val="20"/>
                <w:color w:val="auto"/>
              </w:rPr>
            </w:pPr>
            <w:r>
              <w:rPr>
                <w:rFonts w:ascii="Arial" w:cs="Arial" w:eastAsia="Arial" w:hAnsi="Arial"/>
                <w:sz w:val="16"/>
                <w:szCs w:val="16"/>
                <w:color w:val="0000EE"/>
              </w:rPr>
              <w:t>Nominating and Corporate Governance</w:t>
            </w:r>
          </w:p>
        </w:tc>
        <w:tc>
          <w:tcPr>
            <w:tcW w:w="420" w:type="dxa"/>
            <w:vAlign w:val="bottom"/>
            <w:tcBorders>
              <w:bottom w:val="single" w:sz="8" w:color="E3E5F3"/>
            </w:tcBorders>
            <w:gridSpan w:val="2"/>
            <w:shd w:val="clear" w:color="auto" w:fill="E3E5F3"/>
          </w:tcPr>
          <w:p>
            <w:pPr>
              <w:spacing w:after="0"/>
              <w:rPr>
                <w:sz w:val="22"/>
                <w:szCs w:val="22"/>
                <w:color w:val="auto"/>
              </w:rPr>
            </w:pPr>
          </w:p>
        </w:tc>
        <w:tc>
          <w:tcPr>
            <w:tcW w:w="100" w:type="dxa"/>
            <w:vAlign w:val="bottom"/>
            <w:tcBorders>
              <w:bottom w:val="single" w:sz="8" w:color="E3E5F3"/>
            </w:tcBorders>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E3E5F3"/>
            </w:tcBorders>
            <w:gridSpan w:val="4"/>
            <w:vMerge w:val="restart"/>
            <w:shd w:val="clear" w:color="auto" w:fill="E3E5F3"/>
          </w:tcPr>
          <w:p>
            <w:pPr>
              <w:jc w:val="right"/>
              <w:ind w:right="80"/>
              <w:spacing w:after="0"/>
              <w:rPr>
                <w:sz w:val="20"/>
                <w:szCs w:val="20"/>
                <w:color w:val="auto"/>
              </w:rPr>
            </w:pPr>
            <w:r>
              <w:rPr>
                <w:rFonts w:ascii="Arial" w:cs="Arial" w:eastAsia="Arial" w:hAnsi="Arial"/>
                <w:sz w:val="16"/>
                <w:szCs w:val="16"/>
                <w:color w:val="0000EE"/>
              </w:rPr>
              <w:t>16</w:t>
            </w:r>
          </w:p>
        </w:tc>
        <w:tc>
          <w:tcPr>
            <w:tcW w:w="100" w:type="dxa"/>
            <w:vAlign w:val="bottom"/>
            <w:tcBorders>
              <w:bottom w:val="single" w:sz="8" w:color="E3E5F3"/>
            </w:tcBorders>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E3E5F3"/>
            </w:tcBorders>
            <w:shd w:val="clear" w:color="auto" w:fill="E3E5F3"/>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160" w:type="dxa"/>
            <w:vAlign w:val="bottom"/>
            <w:tcBorders>
              <w:right w:val="single" w:sz="8" w:color="E3E5F3"/>
            </w:tcBorders>
          </w:tcPr>
          <w:p>
            <w:pPr>
              <w:spacing w:after="0"/>
              <w:rPr>
                <w:sz w:val="13"/>
                <w:szCs w:val="13"/>
                <w:color w:val="auto"/>
              </w:rPr>
            </w:pPr>
          </w:p>
        </w:tc>
        <w:tc>
          <w:tcPr>
            <w:tcW w:w="260" w:type="dxa"/>
            <w:vAlign w:val="bottom"/>
            <w:shd w:val="clear" w:color="auto" w:fill="E3E5F3"/>
          </w:tcPr>
          <w:p>
            <w:pPr>
              <w:spacing w:after="0"/>
              <w:rPr>
                <w:sz w:val="13"/>
                <w:szCs w:val="13"/>
                <w:color w:val="auto"/>
              </w:rPr>
            </w:pPr>
          </w:p>
        </w:tc>
        <w:tc>
          <w:tcPr>
            <w:tcW w:w="780" w:type="dxa"/>
            <w:vAlign w:val="bottom"/>
            <w:tcBorders>
              <w:right w:val="single" w:sz="8" w:color="E3E5F3"/>
            </w:tcBorders>
            <w:gridSpan w:val="2"/>
            <w:shd w:val="clear" w:color="auto" w:fill="E3E5F3"/>
          </w:tcPr>
          <w:p>
            <w:pPr>
              <w:spacing w:after="0" w:line="161" w:lineRule="exact"/>
              <w:rPr>
                <w:sz w:val="20"/>
                <w:szCs w:val="20"/>
                <w:color w:val="auto"/>
              </w:rPr>
            </w:pPr>
            <w:r>
              <w:rPr>
                <w:rFonts w:ascii="Arial" w:cs="Arial" w:eastAsia="Arial" w:hAnsi="Arial"/>
                <w:sz w:val="16"/>
                <w:szCs w:val="16"/>
                <w:color w:val="0000EE"/>
                <w:w w:val="95"/>
              </w:rPr>
              <w:t>Committee</w:t>
            </w:r>
          </w:p>
        </w:tc>
        <w:tc>
          <w:tcPr>
            <w:tcW w:w="2240" w:type="dxa"/>
            <w:vAlign w:val="bottom"/>
            <w:gridSpan w:val="13"/>
            <w:shd w:val="clear" w:color="auto" w:fill="E3E5F3"/>
          </w:tcPr>
          <w:p>
            <w:pPr>
              <w:spacing w:after="0"/>
              <w:rPr>
                <w:sz w:val="13"/>
                <w:szCs w:val="13"/>
                <w:color w:val="auto"/>
              </w:rPr>
            </w:pPr>
          </w:p>
        </w:tc>
        <w:tc>
          <w:tcPr>
            <w:tcW w:w="100" w:type="dxa"/>
            <w:vAlign w:val="bottom"/>
            <w:shd w:val="clear" w:color="auto" w:fill="E3E5F3"/>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4"/>
            <w:vMerge w:val="continue"/>
            <w:shd w:val="clear" w:color="auto" w:fill="E3E5F3"/>
          </w:tcPr>
          <w:p>
            <w:pPr>
              <w:spacing w:after="0"/>
              <w:rPr>
                <w:sz w:val="13"/>
                <w:szCs w:val="13"/>
                <w:color w:val="auto"/>
              </w:rPr>
            </w:pPr>
          </w:p>
        </w:tc>
        <w:tc>
          <w:tcPr>
            <w:tcW w:w="100" w:type="dxa"/>
            <w:vAlign w:val="bottom"/>
            <w:shd w:val="clear" w:color="auto" w:fill="E3E5F3"/>
          </w:tcPr>
          <w:p>
            <w:pPr>
              <w:spacing w:after="0"/>
              <w:rPr>
                <w:sz w:val="13"/>
                <w:szCs w:val="13"/>
                <w:color w:val="auto"/>
              </w:rPr>
            </w:pPr>
          </w:p>
        </w:tc>
        <w:tc>
          <w:tcPr>
            <w:tcW w:w="100" w:type="dxa"/>
            <w:vAlign w:val="bottom"/>
            <w:shd w:val="clear" w:color="auto" w:fill="E3E5F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260" w:type="dxa"/>
            <w:vAlign w:val="bottom"/>
            <w:shd w:val="clear" w:color="auto" w:fill="E3E5F3"/>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E3E5F3"/>
            </w:tcBorders>
            <w:shd w:val="clear" w:color="auto" w:fill="E3E5F3"/>
          </w:tcPr>
          <w:p>
            <w:pPr>
              <w:spacing w:after="0" w:line="20" w:lineRule="exact"/>
              <w:rPr>
                <w:sz w:val="1"/>
                <w:szCs w:val="1"/>
                <w:color w:val="auto"/>
              </w:rPr>
            </w:pPr>
          </w:p>
        </w:tc>
        <w:tc>
          <w:tcPr>
            <w:tcW w:w="460" w:type="dxa"/>
            <w:vAlign w:val="bottom"/>
            <w:tcBorders>
              <w:right w:val="single" w:sz="8" w:color="E3E5F3"/>
            </w:tcBorders>
            <w:gridSpan w:val="4"/>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3280" w:type="dxa"/>
            <w:vAlign w:val="bottom"/>
            <w:tcBorders>
              <w:bottom w:val="single" w:sz="8" w:color="0000EE"/>
            </w:tcBorders>
            <w:gridSpan w:val="16"/>
            <w:shd w:val="clear" w:color="auto" w:fill="E3E5F3"/>
          </w:tcPr>
          <w:p>
            <w:pPr>
              <w:spacing w:after="0"/>
              <w:rPr>
                <w:sz w:val="20"/>
                <w:szCs w:val="20"/>
                <w:color w:val="auto"/>
              </w:rPr>
            </w:pPr>
            <w:r>
              <w:rPr>
                <w:rFonts w:ascii="Arial" w:cs="Arial" w:eastAsia="Arial" w:hAnsi="Arial"/>
                <w:sz w:val="16"/>
                <w:szCs w:val="16"/>
                <w:color w:val="0000EE"/>
                <w:w w:val="99"/>
              </w:rPr>
              <w:t>Health, Safety, Environment and Sustainability</w:t>
            </w:r>
          </w:p>
        </w:tc>
        <w:tc>
          <w:tcPr>
            <w:tcW w:w="100" w:type="dxa"/>
            <w:vAlign w:val="bottom"/>
            <w:tcBorders>
              <w:bottom w:val="single" w:sz="8" w:color="E3E5F3"/>
            </w:tcBorders>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E3E5F3"/>
            </w:tcBorders>
            <w:gridSpan w:val="4"/>
            <w:vMerge w:val="restart"/>
            <w:shd w:val="clear" w:color="auto" w:fill="E3E5F3"/>
          </w:tcPr>
          <w:p>
            <w:pPr>
              <w:jc w:val="right"/>
              <w:ind w:right="80"/>
              <w:spacing w:after="0"/>
              <w:rPr>
                <w:sz w:val="20"/>
                <w:szCs w:val="20"/>
                <w:color w:val="auto"/>
              </w:rPr>
            </w:pPr>
            <w:r>
              <w:rPr>
                <w:rFonts w:ascii="Arial" w:cs="Arial" w:eastAsia="Arial" w:hAnsi="Arial"/>
                <w:sz w:val="16"/>
                <w:szCs w:val="16"/>
                <w:color w:val="0000EE"/>
              </w:rPr>
              <w:t>17</w:t>
            </w:r>
          </w:p>
        </w:tc>
        <w:tc>
          <w:tcPr>
            <w:tcW w:w="100" w:type="dxa"/>
            <w:vAlign w:val="bottom"/>
            <w:tcBorders>
              <w:bottom w:val="single" w:sz="8" w:color="E3E5F3"/>
            </w:tcBorders>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E3E5F3"/>
            </w:tcBorders>
            <w:shd w:val="clear" w:color="auto" w:fill="E3E5F3"/>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160" w:type="dxa"/>
            <w:vAlign w:val="bottom"/>
            <w:tcBorders>
              <w:right w:val="single" w:sz="8" w:color="E3E5F3"/>
            </w:tcBorders>
          </w:tcPr>
          <w:p>
            <w:pPr>
              <w:spacing w:after="0"/>
              <w:rPr>
                <w:sz w:val="13"/>
                <w:szCs w:val="13"/>
                <w:color w:val="auto"/>
              </w:rPr>
            </w:pPr>
          </w:p>
        </w:tc>
        <w:tc>
          <w:tcPr>
            <w:tcW w:w="260" w:type="dxa"/>
            <w:vAlign w:val="bottom"/>
            <w:shd w:val="clear" w:color="auto" w:fill="E3E5F3"/>
          </w:tcPr>
          <w:p>
            <w:pPr>
              <w:spacing w:after="0"/>
              <w:rPr>
                <w:sz w:val="13"/>
                <w:szCs w:val="13"/>
                <w:color w:val="auto"/>
              </w:rPr>
            </w:pPr>
          </w:p>
        </w:tc>
        <w:tc>
          <w:tcPr>
            <w:tcW w:w="780" w:type="dxa"/>
            <w:vAlign w:val="bottom"/>
            <w:tcBorders>
              <w:right w:val="single" w:sz="8" w:color="E3E5F3"/>
            </w:tcBorders>
            <w:gridSpan w:val="2"/>
            <w:shd w:val="clear" w:color="auto" w:fill="E3E5F3"/>
          </w:tcPr>
          <w:p>
            <w:pPr>
              <w:spacing w:after="0" w:line="161" w:lineRule="exact"/>
              <w:rPr>
                <w:sz w:val="20"/>
                <w:szCs w:val="20"/>
                <w:color w:val="auto"/>
              </w:rPr>
            </w:pPr>
            <w:r>
              <w:rPr>
                <w:rFonts w:ascii="Arial" w:cs="Arial" w:eastAsia="Arial" w:hAnsi="Arial"/>
                <w:sz w:val="16"/>
                <w:szCs w:val="16"/>
                <w:color w:val="0000EE"/>
                <w:w w:val="95"/>
              </w:rPr>
              <w:t>Committee</w:t>
            </w:r>
          </w:p>
        </w:tc>
        <w:tc>
          <w:tcPr>
            <w:tcW w:w="2240" w:type="dxa"/>
            <w:vAlign w:val="bottom"/>
            <w:gridSpan w:val="13"/>
            <w:shd w:val="clear" w:color="auto" w:fill="E3E5F3"/>
          </w:tcPr>
          <w:p>
            <w:pPr>
              <w:spacing w:after="0"/>
              <w:rPr>
                <w:sz w:val="13"/>
                <w:szCs w:val="13"/>
                <w:color w:val="auto"/>
              </w:rPr>
            </w:pPr>
          </w:p>
        </w:tc>
        <w:tc>
          <w:tcPr>
            <w:tcW w:w="100" w:type="dxa"/>
            <w:vAlign w:val="bottom"/>
            <w:shd w:val="clear" w:color="auto" w:fill="E3E5F3"/>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4"/>
            <w:vMerge w:val="continue"/>
            <w:shd w:val="clear" w:color="auto" w:fill="E3E5F3"/>
          </w:tcPr>
          <w:p>
            <w:pPr>
              <w:spacing w:after="0"/>
              <w:rPr>
                <w:sz w:val="13"/>
                <w:szCs w:val="13"/>
                <w:color w:val="auto"/>
              </w:rPr>
            </w:pPr>
          </w:p>
        </w:tc>
        <w:tc>
          <w:tcPr>
            <w:tcW w:w="100" w:type="dxa"/>
            <w:vAlign w:val="bottom"/>
            <w:shd w:val="clear" w:color="auto" w:fill="E3E5F3"/>
          </w:tcPr>
          <w:p>
            <w:pPr>
              <w:spacing w:after="0"/>
              <w:rPr>
                <w:sz w:val="13"/>
                <w:szCs w:val="13"/>
                <w:color w:val="auto"/>
              </w:rPr>
            </w:pPr>
          </w:p>
        </w:tc>
        <w:tc>
          <w:tcPr>
            <w:tcW w:w="100" w:type="dxa"/>
            <w:vAlign w:val="bottom"/>
            <w:shd w:val="clear" w:color="auto" w:fill="E3E5F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260" w:type="dxa"/>
            <w:vAlign w:val="bottom"/>
            <w:shd w:val="clear" w:color="auto" w:fill="E3E5F3"/>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E3E5F3"/>
            </w:tcBorders>
            <w:shd w:val="clear" w:color="auto" w:fill="E3E5F3"/>
          </w:tcPr>
          <w:p>
            <w:pPr>
              <w:spacing w:after="0" w:line="20" w:lineRule="exact"/>
              <w:rPr>
                <w:sz w:val="1"/>
                <w:szCs w:val="1"/>
                <w:color w:val="auto"/>
              </w:rPr>
            </w:pPr>
          </w:p>
        </w:tc>
        <w:tc>
          <w:tcPr>
            <w:tcW w:w="460" w:type="dxa"/>
            <w:vAlign w:val="bottom"/>
            <w:tcBorders>
              <w:right w:val="single" w:sz="8" w:color="E3E5F3"/>
            </w:tcBorders>
            <w:gridSpan w:val="4"/>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860" w:type="dxa"/>
            <w:vAlign w:val="bottom"/>
            <w:tcBorders>
              <w:right w:val="single" w:sz="8" w:color="E3E5F3"/>
            </w:tcBorders>
            <w:gridSpan w:val="14"/>
            <w:shd w:val="clear" w:color="auto" w:fill="E3E5F3"/>
          </w:tcPr>
          <w:p>
            <w:pPr>
              <w:spacing w:after="0"/>
              <w:rPr>
                <w:sz w:val="20"/>
                <w:szCs w:val="20"/>
                <w:color w:val="auto"/>
              </w:rPr>
            </w:pPr>
            <w:r>
              <w:rPr>
                <w:rFonts w:ascii="Arial" w:cs="Arial" w:eastAsia="Arial" w:hAnsi="Arial"/>
                <w:sz w:val="16"/>
                <w:szCs w:val="16"/>
                <w:color w:val="0000EE"/>
              </w:rPr>
              <w:t>Meetings of the Board and Committees</w:t>
            </w:r>
          </w:p>
        </w:tc>
        <w:tc>
          <w:tcPr>
            <w:tcW w:w="420" w:type="dxa"/>
            <w:vAlign w:val="bottom"/>
            <w:gridSpan w:val="2"/>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18</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Borders>
              <w:right w:val="single" w:sz="8" w:color="E3E5F3"/>
            </w:tcBorders>
            <w:gridSpan w:val="8"/>
            <w:shd w:val="clear" w:color="auto" w:fill="E3E5F3"/>
          </w:tcPr>
          <w:p>
            <w:pPr>
              <w:spacing w:after="0"/>
              <w:rPr>
                <w:sz w:val="20"/>
                <w:szCs w:val="20"/>
                <w:color w:val="auto"/>
              </w:rPr>
            </w:pPr>
            <w:r>
              <w:rPr>
                <w:rFonts w:ascii="Arial" w:cs="Arial" w:eastAsia="Arial" w:hAnsi="Arial"/>
                <w:sz w:val="16"/>
                <w:szCs w:val="16"/>
                <w:color w:val="0000EE"/>
                <w:w w:val="98"/>
              </w:rPr>
              <w:t>Director Independence</w:t>
            </w:r>
          </w:p>
        </w:tc>
        <w:tc>
          <w:tcPr>
            <w:tcW w:w="1220" w:type="dxa"/>
            <w:vAlign w:val="bottom"/>
            <w:tcBorders>
              <w:right w:val="single" w:sz="8" w:color="E3E5F3"/>
            </w:tcBorders>
            <w:gridSpan w:val="6"/>
            <w:shd w:val="clear" w:color="auto" w:fill="E3E5F3"/>
          </w:tcPr>
          <w:p>
            <w:pPr>
              <w:spacing w:after="0"/>
              <w:rPr>
                <w:sz w:val="21"/>
                <w:szCs w:val="21"/>
                <w:color w:val="auto"/>
              </w:rPr>
            </w:pPr>
          </w:p>
        </w:tc>
        <w:tc>
          <w:tcPr>
            <w:tcW w:w="420" w:type="dxa"/>
            <w:vAlign w:val="bottom"/>
            <w:gridSpan w:val="2"/>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18</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E3E5F3"/>
            </w:tcBorders>
            <w:gridSpan w:val="4"/>
            <w:shd w:val="clear" w:color="auto" w:fill="0000EE"/>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3280" w:type="dxa"/>
            <w:vAlign w:val="bottom"/>
            <w:gridSpan w:val="16"/>
            <w:shd w:val="clear" w:color="auto" w:fill="E3E5F3"/>
          </w:tcPr>
          <w:p>
            <w:pPr>
              <w:spacing w:after="0"/>
              <w:rPr>
                <w:sz w:val="20"/>
                <w:szCs w:val="20"/>
                <w:color w:val="auto"/>
              </w:rPr>
            </w:pPr>
            <w:r>
              <w:rPr>
                <w:rFonts w:ascii="Arial" w:cs="Arial" w:eastAsia="Arial" w:hAnsi="Arial"/>
                <w:sz w:val="16"/>
                <w:szCs w:val="16"/>
                <w:color w:val="0000EE"/>
              </w:rPr>
              <w:t>Board’s Role in Risk Oversight</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18</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860" w:type="dxa"/>
            <w:vAlign w:val="bottom"/>
            <w:tcBorders>
              <w:right w:val="single" w:sz="8" w:color="E3E5F3"/>
            </w:tcBorders>
            <w:gridSpan w:val="14"/>
            <w:shd w:val="clear" w:color="auto" w:fill="E3E5F3"/>
          </w:tcPr>
          <w:p>
            <w:pPr>
              <w:spacing w:after="0"/>
              <w:rPr>
                <w:sz w:val="20"/>
                <w:szCs w:val="20"/>
                <w:color w:val="auto"/>
              </w:rPr>
            </w:pPr>
            <w:r>
              <w:rPr>
                <w:rFonts w:ascii="Arial" w:cs="Arial" w:eastAsia="Arial" w:hAnsi="Arial"/>
                <w:sz w:val="16"/>
                <w:szCs w:val="16"/>
                <w:color w:val="0000EE"/>
              </w:rPr>
              <w:t>Code of Business Conduct and Ethics</w:t>
            </w:r>
          </w:p>
        </w:tc>
        <w:tc>
          <w:tcPr>
            <w:tcW w:w="420" w:type="dxa"/>
            <w:vAlign w:val="bottom"/>
            <w:gridSpan w:val="2"/>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18</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460" w:type="dxa"/>
            <w:vAlign w:val="bottom"/>
            <w:tcBorders>
              <w:right w:val="single" w:sz="8" w:color="E3E5F3"/>
            </w:tcBorders>
            <w:gridSpan w:val="13"/>
            <w:shd w:val="clear" w:color="auto" w:fill="E3E5F3"/>
          </w:tcPr>
          <w:p>
            <w:pPr>
              <w:spacing w:after="0"/>
              <w:rPr>
                <w:sz w:val="20"/>
                <w:szCs w:val="20"/>
                <w:color w:val="auto"/>
              </w:rPr>
            </w:pPr>
            <w:r>
              <w:rPr>
                <w:rFonts w:ascii="Arial" w:cs="Arial" w:eastAsia="Arial" w:hAnsi="Arial"/>
                <w:sz w:val="16"/>
                <w:szCs w:val="16"/>
                <w:color w:val="0000EE"/>
                <w:w w:val="99"/>
              </w:rPr>
              <w:t>Corporate Governance Guidelines</w:t>
            </w:r>
          </w:p>
        </w:tc>
        <w:tc>
          <w:tcPr>
            <w:tcW w:w="400" w:type="dxa"/>
            <w:vAlign w:val="bottom"/>
            <w:tcBorders>
              <w:right w:val="single" w:sz="8" w:color="E3E5F3"/>
            </w:tcBorders>
            <w:shd w:val="clear" w:color="auto" w:fill="E3E5F3"/>
          </w:tcPr>
          <w:p>
            <w:pPr>
              <w:spacing w:after="0"/>
              <w:rPr>
                <w:sz w:val="21"/>
                <w:szCs w:val="21"/>
                <w:color w:val="auto"/>
              </w:rPr>
            </w:pPr>
          </w:p>
        </w:tc>
        <w:tc>
          <w:tcPr>
            <w:tcW w:w="420" w:type="dxa"/>
            <w:vAlign w:val="bottom"/>
            <w:gridSpan w:val="2"/>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19</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E3E5F3"/>
            </w:tcBorders>
            <w:shd w:val="clear" w:color="auto" w:fill="0000EE"/>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460" w:type="dxa"/>
            <w:vAlign w:val="bottom"/>
            <w:tcBorders>
              <w:right w:val="single" w:sz="8" w:color="E3E5F3"/>
            </w:tcBorders>
            <w:gridSpan w:val="13"/>
            <w:shd w:val="clear" w:color="auto" w:fill="E3E5F3"/>
          </w:tcPr>
          <w:p>
            <w:pPr>
              <w:spacing w:after="0"/>
              <w:rPr>
                <w:sz w:val="20"/>
                <w:szCs w:val="20"/>
                <w:color w:val="auto"/>
              </w:rPr>
            </w:pPr>
            <w:r>
              <w:rPr>
                <w:rFonts w:ascii="Arial" w:cs="Arial" w:eastAsia="Arial" w:hAnsi="Arial"/>
                <w:sz w:val="16"/>
                <w:szCs w:val="16"/>
                <w:color w:val="0000EE"/>
              </w:rPr>
              <w:t>Communications with the Board</w:t>
            </w:r>
          </w:p>
        </w:tc>
        <w:tc>
          <w:tcPr>
            <w:tcW w:w="820" w:type="dxa"/>
            <w:vAlign w:val="bottom"/>
            <w:gridSpan w:val="3"/>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19</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Borders>
              <w:right w:val="single" w:sz="8" w:color="E3E5F3"/>
            </w:tcBorders>
            <w:gridSpan w:val="8"/>
            <w:shd w:val="clear" w:color="auto" w:fill="E3E5F3"/>
          </w:tcPr>
          <w:p>
            <w:pPr>
              <w:spacing w:after="0"/>
              <w:rPr>
                <w:sz w:val="20"/>
                <w:szCs w:val="20"/>
                <w:color w:val="auto"/>
              </w:rPr>
            </w:pPr>
            <w:r>
              <w:rPr>
                <w:rFonts w:ascii="Arial" w:cs="Arial" w:eastAsia="Arial" w:hAnsi="Arial"/>
                <w:sz w:val="16"/>
                <w:szCs w:val="16"/>
                <w:color w:val="0000EE"/>
                <w:w w:val="97"/>
              </w:rPr>
              <w:t>Director Compensation</w:t>
            </w:r>
          </w:p>
        </w:tc>
        <w:tc>
          <w:tcPr>
            <w:tcW w:w="620" w:type="dxa"/>
            <w:vAlign w:val="bottom"/>
            <w:gridSpan w:val="3"/>
            <w:shd w:val="clear" w:color="auto" w:fill="E3E5F3"/>
          </w:tcPr>
          <w:p>
            <w:pPr>
              <w:spacing w:after="0"/>
              <w:rPr>
                <w:sz w:val="21"/>
                <w:szCs w:val="21"/>
                <w:color w:val="auto"/>
              </w:rPr>
            </w:pPr>
          </w:p>
        </w:tc>
        <w:tc>
          <w:tcPr>
            <w:tcW w:w="1020" w:type="dxa"/>
            <w:vAlign w:val="bottom"/>
            <w:gridSpan w:val="5"/>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20</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gridSpan w:val="2"/>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3280" w:type="dxa"/>
            <w:vAlign w:val="bottom"/>
            <w:gridSpan w:val="16"/>
            <w:shd w:val="clear" w:color="auto" w:fill="E3E5F3"/>
          </w:tcPr>
          <w:p>
            <w:pPr>
              <w:spacing w:after="0"/>
              <w:rPr>
                <w:sz w:val="20"/>
                <w:szCs w:val="20"/>
                <w:color w:val="auto"/>
              </w:rPr>
            </w:pPr>
            <w:r>
              <w:rPr>
                <w:rFonts w:ascii="Arial" w:cs="Arial" w:eastAsia="Arial" w:hAnsi="Arial"/>
                <w:sz w:val="16"/>
                <w:szCs w:val="16"/>
                <w:color w:val="0000EE"/>
              </w:rPr>
              <w:t>Director Share Ownership Guidelines</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21</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860" w:type="dxa"/>
            <w:vAlign w:val="bottom"/>
            <w:tcBorders>
              <w:right w:val="single" w:sz="8" w:color="E3E5F3"/>
            </w:tcBorders>
            <w:gridSpan w:val="14"/>
            <w:shd w:val="clear" w:color="auto" w:fill="E3E5F3"/>
          </w:tcPr>
          <w:p>
            <w:pPr>
              <w:spacing w:after="0"/>
              <w:rPr>
                <w:sz w:val="20"/>
                <w:szCs w:val="20"/>
                <w:color w:val="auto"/>
              </w:rPr>
            </w:pPr>
            <w:r>
              <w:rPr>
                <w:rFonts w:ascii="Arial" w:cs="Arial" w:eastAsia="Arial" w:hAnsi="Arial"/>
                <w:sz w:val="16"/>
                <w:szCs w:val="16"/>
                <w:b w:val="1"/>
                <w:bCs w:val="1"/>
                <w:color w:val="0000EE"/>
              </w:rPr>
              <w:t>Certain Relationships and Related</w:t>
            </w:r>
          </w:p>
        </w:tc>
        <w:tc>
          <w:tcPr>
            <w:tcW w:w="420" w:type="dxa"/>
            <w:vAlign w:val="bottom"/>
            <w:gridSpan w:val="2"/>
            <w:shd w:val="clear" w:color="auto" w:fill="E3E5F3"/>
          </w:tcPr>
          <w:p>
            <w:pPr>
              <w:spacing w:after="0"/>
              <w:rPr>
                <w:sz w:val="24"/>
                <w:szCs w:val="24"/>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vMerge w:val="restart"/>
            <w:shd w:val="clear" w:color="auto" w:fill="E3E5F3"/>
          </w:tcPr>
          <w:p>
            <w:pPr>
              <w:jc w:val="right"/>
              <w:ind w:right="80"/>
              <w:spacing w:after="0"/>
              <w:rPr>
                <w:sz w:val="20"/>
                <w:szCs w:val="20"/>
                <w:color w:val="auto"/>
              </w:rPr>
            </w:pPr>
            <w:r>
              <w:rPr>
                <w:rFonts w:ascii="Arial" w:cs="Arial" w:eastAsia="Arial" w:hAnsi="Arial"/>
                <w:sz w:val="16"/>
                <w:szCs w:val="16"/>
                <w:color w:val="0000EE"/>
              </w:rPr>
              <w:t>22</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60" w:type="dxa"/>
            <w:vAlign w:val="bottom"/>
            <w:tcBorders>
              <w:right w:val="single" w:sz="8" w:color="E3E5F3"/>
            </w:tcBorders>
          </w:tcPr>
          <w:p>
            <w:pPr>
              <w:spacing w:after="0"/>
              <w:rPr>
                <w:sz w:val="14"/>
                <w:szCs w:val="14"/>
                <w:color w:val="auto"/>
              </w:rPr>
            </w:pPr>
          </w:p>
        </w:tc>
        <w:tc>
          <w:tcPr>
            <w:tcW w:w="2860" w:type="dxa"/>
            <w:vAlign w:val="bottom"/>
            <w:tcBorders>
              <w:top w:val="single" w:sz="8" w:color="0000EE"/>
              <w:right w:val="single" w:sz="8" w:color="E3E5F3"/>
            </w:tcBorders>
            <w:gridSpan w:val="14"/>
            <w:shd w:val="clear" w:color="auto" w:fill="E3E5F3"/>
          </w:tcPr>
          <w:p>
            <w:pPr>
              <w:spacing w:after="0" w:line="168" w:lineRule="exact"/>
              <w:rPr>
                <w:sz w:val="20"/>
                <w:szCs w:val="20"/>
                <w:color w:val="auto"/>
              </w:rPr>
            </w:pPr>
            <w:r>
              <w:rPr>
                <w:rFonts w:ascii="Arial" w:cs="Arial" w:eastAsia="Arial" w:hAnsi="Arial"/>
                <w:sz w:val="16"/>
                <w:szCs w:val="16"/>
                <w:b w:val="1"/>
                <w:bCs w:val="1"/>
                <w:color w:val="0000EE"/>
              </w:rPr>
              <w:t>Transactions</w:t>
            </w:r>
          </w:p>
        </w:tc>
        <w:tc>
          <w:tcPr>
            <w:tcW w:w="420" w:type="dxa"/>
            <w:vAlign w:val="bottom"/>
            <w:tcBorders>
              <w:top w:val="single" w:sz="8" w:color="E3E5F3"/>
            </w:tcBorders>
            <w:gridSpan w:val="2"/>
            <w:shd w:val="clear" w:color="auto" w:fill="E3E5F3"/>
          </w:tcPr>
          <w:p>
            <w:pPr>
              <w:spacing w:after="0"/>
              <w:rPr>
                <w:sz w:val="14"/>
                <w:szCs w:val="14"/>
                <w:color w:val="auto"/>
              </w:rPr>
            </w:pPr>
          </w:p>
        </w:tc>
        <w:tc>
          <w:tcPr>
            <w:tcW w:w="100" w:type="dxa"/>
            <w:vAlign w:val="bottom"/>
            <w:tcBorders>
              <w:top w:val="single" w:sz="8" w:color="E3E5F3"/>
            </w:tcBorders>
            <w:shd w:val="clear" w:color="auto" w:fill="E3E5F3"/>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E3E5F3"/>
            </w:tcBorders>
            <w:gridSpan w:val="4"/>
            <w:vMerge w:val="continue"/>
            <w:shd w:val="clear" w:color="auto" w:fill="E3E5F3"/>
          </w:tcPr>
          <w:p>
            <w:pPr>
              <w:spacing w:after="0"/>
              <w:rPr>
                <w:sz w:val="14"/>
                <w:szCs w:val="14"/>
                <w:color w:val="auto"/>
              </w:rPr>
            </w:pPr>
          </w:p>
        </w:tc>
        <w:tc>
          <w:tcPr>
            <w:tcW w:w="100" w:type="dxa"/>
            <w:vAlign w:val="bottom"/>
            <w:tcBorders>
              <w:top w:val="single" w:sz="8" w:color="E3E5F3"/>
            </w:tcBorders>
            <w:shd w:val="clear" w:color="auto" w:fill="E3E5F3"/>
          </w:tcPr>
          <w:p>
            <w:pPr>
              <w:spacing w:after="0"/>
              <w:rPr>
                <w:sz w:val="14"/>
                <w:szCs w:val="14"/>
                <w:color w:val="auto"/>
              </w:rPr>
            </w:pPr>
          </w:p>
        </w:tc>
        <w:tc>
          <w:tcPr>
            <w:tcW w:w="100" w:type="dxa"/>
            <w:vAlign w:val="bottom"/>
            <w:tcBorders>
              <w:top w:val="single" w:sz="8" w:color="E3E5F3"/>
            </w:tcBorders>
            <w:shd w:val="clear" w:color="auto" w:fill="E3E5F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E3E5F3"/>
            </w:tcBorders>
            <w:gridSpan w:val="3"/>
            <w:shd w:val="clear" w:color="auto" w:fill="0000EE"/>
          </w:tcPr>
          <w:p>
            <w:pPr>
              <w:spacing w:after="0" w:line="20" w:lineRule="exact"/>
              <w:rPr>
                <w:sz w:val="1"/>
                <w:szCs w:val="1"/>
                <w:color w:val="auto"/>
              </w:rPr>
            </w:pPr>
          </w:p>
        </w:tc>
        <w:tc>
          <w:tcPr>
            <w:tcW w:w="140" w:type="dxa"/>
            <w:vAlign w:val="bottom"/>
            <w:tcBorders>
              <w:right w:val="single" w:sz="8" w:color="E3E5F3"/>
            </w:tcBorders>
            <w:shd w:val="clear" w:color="auto" w:fill="E3E5F3"/>
          </w:tcPr>
          <w:p>
            <w:pPr>
              <w:spacing w:after="0" w:line="20" w:lineRule="exact"/>
              <w:rPr>
                <w:sz w:val="1"/>
                <w:szCs w:val="1"/>
                <w:color w:val="auto"/>
              </w:rPr>
            </w:pPr>
          </w:p>
        </w:tc>
        <w:tc>
          <w:tcPr>
            <w:tcW w:w="780" w:type="dxa"/>
            <w:vAlign w:val="bottom"/>
            <w:tcBorders>
              <w:right w:val="single" w:sz="8" w:color="E3E5F3"/>
            </w:tcBorders>
            <w:gridSpan w:val="5"/>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gridSpan w:val="2"/>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3280" w:type="dxa"/>
            <w:vAlign w:val="bottom"/>
            <w:gridSpan w:val="16"/>
            <w:shd w:val="clear" w:color="auto" w:fill="E3E5F3"/>
          </w:tcPr>
          <w:p>
            <w:pPr>
              <w:spacing w:after="0"/>
              <w:rPr>
                <w:sz w:val="20"/>
                <w:szCs w:val="20"/>
                <w:color w:val="auto"/>
              </w:rPr>
            </w:pPr>
            <w:r>
              <w:rPr>
                <w:rFonts w:ascii="Arial" w:cs="Arial" w:eastAsia="Arial" w:hAnsi="Arial"/>
                <w:sz w:val="16"/>
                <w:szCs w:val="16"/>
                <w:b w:val="1"/>
                <w:bCs w:val="1"/>
                <w:color w:val="0000EE"/>
              </w:rPr>
              <w:t>Stock Ownership Matters</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23</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gridSpan w:val="2"/>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3280" w:type="dxa"/>
            <w:vAlign w:val="bottom"/>
            <w:gridSpan w:val="16"/>
            <w:shd w:val="clear" w:color="auto" w:fill="E3E5F3"/>
          </w:tcPr>
          <w:p>
            <w:pPr>
              <w:spacing w:after="0"/>
              <w:rPr>
                <w:sz w:val="20"/>
                <w:szCs w:val="20"/>
                <w:color w:val="auto"/>
              </w:rPr>
            </w:pPr>
            <w:r>
              <w:rPr>
                <w:rFonts w:ascii="Arial" w:cs="Arial" w:eastAsia="Arial" w:hAnsi="Arial"/>
                <w:sz w:val="16"/>
                <w:szCs w:val="16"/>
                <w:color w:val="0000EE"/>
              </w:rPr>
              <w:t>Delinquent Section 16(a) Reports</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23</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860" w:type="dxa"/>
            <w:vAlign w:val="bottom"/>
            <w:tcBorders>
              <w:bottom w:val="single" w:sz="8" w:color="0000EE"/>
              <w:right w:val="single" w:sz="8" w:color="E3E5F3"/>
            </w:tcBorders>
            <w:gridSpan w:val="14"/>
            <w:shd w:val="clear" w:color="auto" w:fill="E3E5F3"/>
          </w:tcPr>
          <w:p>
            <w:pPr>
              <w:spacing w:after="0"/>
              <w:rPr>
                <w:sz w:val="20"/>
                <w:szCs w:val="20"/>
                <w:color w:val="auto"/>
              </w:rPr>
            </w:pPr>
            <w:r>
              <w:rPr>
                <w:rFonts w:ascii="Arial" w:cs="Arial" w:eastAsia="Arial" w:hAnsi="Arial"/>
                <w:sz w:val="16"/>
                <w:szCs w:val="16"/>
                <w:color w:val="0000EE"/>
                <w:w w:val="98"/>
              </w:rPr>
              <w:t>Security Ownership of Management and</w:t>
            </w:r>
          </w:p>
        </w:tc>
        <w:tc>
          <w:tcPr>
            <w:tcW w:w="420" w:type="dxa"/>
            <w:vAlign w:val="bottom"/>
            <w:tcBorders>
              <w:bottom w:val="single" w:sz="8" w:color="E3E5F3"/>
            </w:tcBorders>
            <w:gridSpan w:val="2"/>
            <w:shd w:val="clear" w:color="auto" w:fill="E3E5F3"/>
          </w:tcPr>
          <w:p>
            <w:pPr>
              <w:spacing w:after="0"/>
              <w:rPr>
                <w:sz w:val="22"/>
                <w:szCs w:val="22"/>
                <w:color w:val="auto"/>
              </w:rPr>
            </w:pPr>
          </w:p>
        </w:tc>
        <w:tc>
          <w:tcPr>
            <w:tcW w:w="100" w:type="dxa"/>
            <w:vAlign w:val="bottom"/>
            <w:tcBorders>
              <w:bottom w:val="single" w:sz="8" w:color="E3E5F3"/>
            </w:tcBorders>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E3E5F3"/>
            </w:tcBorders>
            <w:gridSpan w:val="4"/>
            <w:vMerge w:val="restart"/>
            <w:shd w:val="clear" w:color="auto" w:fill="E3E5F3"/>
          </w:tcPr>
          <w:p>
            <w:pPr>
              <w:jc w:val="right"/>
              <w:ind w:right="80"/>
              <w:spacing w:after="0"/>
              <w:rPr>
                <w:sz w:val="20"/>
                <w:szCs w:val="20"/>
                <w:color w:val="auto"/>
              </w:rPr>
            </w:pPr>
            <w:r>
              <w:rPr>
                <w:rFonts w:ascii="Arial" w:cs="Arial" w:eastAsia="Arial" w:hAnsi="Arial"/>
                <w:sz w:val="16"/>
                <w:szCs w:val="16"/>
                <w:color w:val="0000EE"/>
              </w:rPr>
              <w:t>23</w:t>
            </w:r>
          </w:p>
        </w:tc>
        <w:tc>
          <w:tcPr>
            <w:tcW w:w="100" w:type="dxa"/>
            <w:vAlign w:val="bottom"/>
            <w:tcBorders>
              <w:bottom w:val="single" w:sz="8" w:color="E3E5F3"/>
            </w:tcBorders>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E3E5F3"/>
            </w:tcBorders>
            <w:shd w:val="clear" w:color="auto" w:fill="E3E5F3"/>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160" w:type="dxa"/>
            <w:vAlign w:val="bottom"/>
            <w:tcBorders>
              <w:right w:val="single" w:sz="8" w:color="E3E5F3"/>
            </w:tcBorders>
          </w:tcPr>
          <w:p>
            <w:pPr>
              <w:spacing w:after="0"/>
              <w:rPr>
                <w:sz w:val="13"/>
                <w:szCs w:val="13"/>
                <w:color w:val="auto"/>
              </w:rPr>
            </w:pPr>
          </w:p>
        </w:tc>
        <w:tc>
          <w:tcPr>
            <w:tcW w:w="260" w:type="dxa"/>
            <w:vAlign w:val="bottom"/>
            <w:shd w:val="clear" w:color="auto" w:fill="E3E5F3"/>
          </w:tcPr>
          <w:p>
            <w:pPr>
              <w:spacing w:after="0"/>
              <w:rPr>
                <w:sz w:val="13"/>
                <w:szCs w:val="13"/>
                <w:color w:val="auto"/>
              </w:rPr>
            </w:pPr>
          </w:p>
        </w:tc>
        <w:tc>
          <w:tcPr>
            <w:tcW w:w="1900" w:type="dxa"/>
            <w:vAlign w:val="bottom"/>
            <w:tcBorders>
              <w:right w:val="single" w:sz="8" w:color="E3E5F3"/>
            </w:tcBorders>
            <w:gridSpan w:val="9"/>
            <w:shd w:val="clear" w:color="auto" w:fill="E3E5F3"/>
          </w:tcPr>
          <w:p>
            <w:pPr>
              <w:spacing w:after="0" w:line="161" w:lineRule="exact"/>
              <w:rPr>
                <w:sz w:val="20"/>
                <w:szCs w:val="20"/>
                <w:color w:val="auto"/>
              </w:rPr>
            </w:pPr>
            <w:r>
              <w:rPr>
                <w:rFonts w:ascii="Arial" w:cs="Arial" w:eastAsia="Arial" w:hAnsi="Arial"/>
                <w:sz w:val="16"/>
                <w:szCs w:val="16"/>
                <w:color w:val="0000EE"/>
              </w:rPr>
              <w:t>Certain Beneficial Owners</w:t>
            </w:r>
          </w:p>
        </w:tc>
        <w:tc>
          <w:tcPr>
            <w:tcW w:w="1120" w:type="dxa"/>
            <w:vAlign w:val="bottom"/>
            <w:gridSpan w:val="6"/>
            <w:shd w:val="clear" w:color="auto" w:fill="E3E5F3"/>
          </w:tcPr>
          <w:p>
            <w:pPr>
              <w:spacing w:after="0"/>
              <w:rPr>
                <w:sz w:val="13"/>
                <w:szCs w:val="13"/>
                <w:color w:val="auto"/>
              </w:rPr>
            </w:pPr>
          </w:p>
        </w:tc>
        <w:tc>
          <w:tcPr>
            <w:tcW w:w="100" w:type="dxa"/>
            <w:vAlign w:val="bottom"/>
            <w:shd w:val="clear" w:color="auto" w:fill="E3E5F3"/>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4"/>
            <w:vMerge w:val="continue"/>
            <w:shd w:val="clear" w:color="auto" w:fill="E3E5F3"/>
          </w:tcPr>
          <w:p>
            <w:pPr>
              <w:spacing w:after="0"/>
              <w:rPr>
                <w:sz w:val="13"/>
                <w:szCs w:val="13"/>
                <w:color w:val="auto"/>
              </w:rPr>
            </w:pPr>
          </w:p>
        </w:tc>
        <w:tc>
          <w:tcPr>
            <w:tcW w:w="100" w:type="dxa"/>
            <w:vAlign w:val="bottom"/>
            <w:shd w:val="clear" w:color="auto" w:fill="E3E5F3"/>
          </w:tcPr>
          <w:p>
            <w:pPr>
              <w:spacing w:after="0"/>
              <w:rPr>
                <w:sz w:val="13"/>
                <w:szCs w:val="13"/>
                <w:color w:val="auto"/>
              </w:rPr>
            </w:pPr>
          </w:p>
        </w:tc>
        <w:tc>
          <w:tcPr>
            <w:tcW w:w="100" w:type="dxa"/>
            <w:vAlign w:val="bottom"/>
            <w:shd w:val="clear" w:color="auto" w:fill="E3E5F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260" w:type="dxa"/>
            <w:vAlign w:val="bottom"/>
            <w:shd w:val="clear" w:color="auto" w:fill="E3E5F3"/>
          </w:tcPr>
          <w:p>
            <w:pPr>
              <w:spacing w:after="0" w:line="20" w:lineRule="exact"/>
              <w:rPr>
                <w:sz w:val="1"/>
                <w:szCs w:val="1"/>
                <w:color w:val="auto"/>
              </w:rPr>
            </w:pPr>
          </w:p>
        </w:tc>
        <w:tc>
          <w:tcPr>
            <w:tcW w:w="920" w:type="dxa"/>
            <w:vAlign w:val="bottom"/>
            <w:tcBorders>
              <w:right w:val="single" w:sz="8" w:color="0000EE"/>
            </w:tcBorders>
            <w:gridSpan w:val="3"/>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tcBorders>
              <w:right w:val="single" w:sz="8" w:color="E3E5F3"/>
            </w:tcBorders>
            <w:shd w:val="clear" w:color="auto" w:fill="0000EE"/>
          </w:tcPr>
          <w:p>
            <w:pPr>
              <w:spacing w:after="0" w:line="20" w:lineRule="exact"/>
              <w:rPr>
                <w:sz w:val="1"/>
                <w:szCs w:val="1"/>
                <w:color w:val="auto"/>
              </w:rPr>
            </w:pPr>
          </w:p>
        </w:tc>
        <w:tc>
          <w:tcPr>
            <w:tcW w:w="300" w:type="dxa"/>
            <w:vAlign w:val="bottom"/>
            <w:tcBorders>
              <w:right w:val="single" w:sz="8" w:color="E3E5F3"/>
            </w:tcBorders>
            <w:gridSpan w:val="3"/>
            <w:shd w:val="clear" w:color="auto" w:fill="E3E5F3"/>
          </w:tcPr>
          <w:p>
            <w:pPr>
              <w:spacing w:after="0" w:line="20" w:lineRule="exact"/>
              <w:rPr>
                <w:sz w:val="1"/>
                <w:szCs w:val="1"/>
                <w:color w:val="auto"/>
              </w:rPr>
            </w:pPr>
          </w:p>
        </w:tc>
        <w:tc>
          <w:tcPr>
            <w:tcW w:w="400" w:type="dxa"/>
            <w:vAlign w:val="bottom"/>
            <w:tcBorders>
              <w:right w:val="single" w:sz="8" w:color="E3E5F3"/>
            </w:tcBorders>
            <w:shd w:val="clear" w:color="auto" w:fill="E3E5F3"/>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3380" w:type="dxa"/>
            <w:vAlign w:val="bottom"/>
            <w:gridSpan w:val="17"/>
            <w:shd w:val="clear" w:color="auto" w:fill="E3E5F3"/>
          </w:tcPr>
          <w:p>
            <w:pPr>
              <w:spacing w:after="0"/>
              <w:rPr>
                <w:sz w:val="20"/>
                <w:szCs w:val="20"/>
                <w:color w:val="auto"/>
              </w:rPr>
            </w:pPr>
            <w:r>
              <w:rPr>
                <w:rFonts w:ascii="Arial" w:cs="Arial" w:eastAsia="Arial" w:hAnsi="Arial"/>
                <w:sz w:val="16"/>
                <w:szCs w:val="16"/>
                <w:b w:val="1"/>
                <w:bCs w:val="1"/>
                <w:color w:val="0000EE"/>
              </w:rPr>
              <w:t xml:space="preserve">Proposal 2 – Appointment of Ernst &amp;Young </w:t>
            </w:r>
            <w:r>
              <w:rPr>
                <w:rFonts w:ascii="Times New Roman" w:cs="Times New Roman" w:eastAsia="Times New Roman" w:hAnsi="Times New Roman"/>
                <w:sz w:val="3"/>
                <w:szCs w:val="3"/>
                <w:color w:val="000000"/>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25</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860" w:type="dxa"/>
            <w:vAlign w:val="bottom"/>
            <w:tcBorders>
              <w:bottom w:val="single" w:sz="8" w:color="0000EE"/>
              <w:right w:val="single" w:sz="8" w:color="E3E5F3"/>
            </w:tcBorders>
            <w:gridSpan w:val="14"/>
            <w:shd w:val="clear" w:color="auto" w:fill="E3E5F3"/>
          </w:tcPr>
          <w:p>
            <w:pPr>
              <w:spacing w:after="0"/>
              <w:rPr>
                <w:sz w:val="20"/>
                <w:szCs w:val="20"/>
                <w:color w:val="auto"/>
              </w:rPr>
            </w:pPr>
            <w:r>
              <w:rPr>
                <w:rFonts w:ascii="Arial" w:cs="Arial" w:eastAsia="Arial" w:hAnsi="Arial"/>
                <w:sz w:val="16"/>
                <w:szCs w:val="16"/>
                <w:color w:val="0000EE"/>
              </w:rPr>
              <w:t>Changes in and Disagreements with</w:t>
            </w:r>
          </w:p>
        </w:tc>
        <w:tc>
          <w:tcPr>
            <w:tcW w:w="420" w:type="dxa"/>
            <w:vAlign w:val="bottom"/>
            <w:tcBorders>
              <w:bottom w:val="single" w:sz="8" w:color="E3E5F3"/>
            </w:tcBorders>
            <w:gridSpan w:val="2"/>
            <w:shd w:val="clear" w:color="auto" w:fill="E3E5F3"/>
          </w:tcPr>
          <w:p>
            <w:pPr>
              <w:spacing w:after="0"/>
              <w:rPr>
                <w:sz w:val="20"/>
                <w:szCs w:val="20"/>
                <w:color w:val="auto"/>
              </w:rPr>
            </w:pPr>
          </w:p>
        </w:tc>
        <w:tc>
          <w:tcPr>
            <w:tcW w:w="100" w:type="dxa"/>
            <w:vAlign w:val="bottom"/>
            <w:tcBorders>
              <w:bottom w:val="single" w:sz="8" w:color="E3E5F3"/>
            </w:tcBorders>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E3E5F3"/>
            </w:tcBorders>
            <w:gridSpan w:val="4"/>
            <w:vMerge w:val="restart"/>
            <w:shd w:val="clear" w:color="auto" w:fill="E3E5F3"/>
          </w:tcPr>
          <w:p>
            <w:pPr>
              <w:jc w:val="right"/>
              <w:ind w:right="80"/>
              <w:spacing w:after="0"/>
              <w:rPr>
                <w:sz w:val="20"/>
                <w:szCs w:val="20"/>
                <w:color w:val="auto"/>
              </w:rPr>
            </w:pPr>
            <w:r>
              <w:rPr>
                <w:rFonts w:ascii="Arial" w:cs="Arial" w:eastAsia="Arial" w:hAnsi="Arial"/>
                <w:sz w:val="16"/>
                <w:szCs w:val="16"/>
                <w:color w:val="0000EE"/>
              </w:rPr>
              <w:t>25</w:t>
            </w:r>
          </w:p>
        </w:tc>
        <w:tc>
          <w:tcPr>
            <w:tcW w:w="100" w:type="dxa"/>
            <w:vAlign w:val="bottom"/>
            <w:tcBorders>
              <w:bottom w:val="single" w:sz="8" w:color="E3E5F3"/>
            </w:tcBorders>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E3E5F3"/>
            </w:tcBorders>
            <w:shd w:val="clear" w:color="auto" w:fill="E3E5F3"/>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160" w:type="dxa"/>
            <w:vAlign w:val="bottom"/>
            <w:tcBorders>
              <w:right w:val="single" w:sz="8" w:color="E3E5F3"/>
            </w:tcBorders>
          </w:tcPr>
          <w:p>
            <w:pPr>
              <w:spacing w:after="0"/>
              <w:rPr>
                <w:sz w:val="13"/>
                <w:szCs w:val="13"/>
                <w:color w:val="auto"/>
              </w:rPr>
            </w:pPr>
          </w:p>
        </w:tc>
        <w:tc>
          <w:tcPr>
            <w:tcW w:w="260" w:type="dxa"/>
            <w:vAlign w:val="bottom"/>
            <w:shd w:val="clear" w:color="auto" w:fill="E3E5F3"/>
          </w:tcPr>
          <w:p>
            <w:pPr>
              <w:spacing w:after="0"/>
              <w:rPr>
                <w:sz w:val="13"/>
                <w:szCs w:val="13"/>
                <w:color w:val="auto"/>
              </w:rPr>
            </w:pPr>
          </w:p>
        </w:tc>
        <w:tc>
          <w:tcPr>
            <w:tcW w:w="3020" w:type="dxa"/>
            <w:vAlign w:val="bottom"/>
            <w:gridSpan w:val="15"/>
            <w:shd w:val="clear" w:color="auto" w:fill="E3E5F3"/>
          </w:tcPr>
          <w:p>
            <w:pPr>
              <w:spacing w:after="0" w:line="161" w:lineRule="exact"/>
              <w:rPr>
                <w:sz w:val="20"/>
                <w:szCs w:val="20"/>
                <w:color w:val="auto"/>
              </w:rPr>
            </w:pPr>
            <w:r>
              <w:rPr>
                <w:rFonts w:ascii="Arial" w:cs="Arial" w:eastAsia="Arial" w:hAnsi="Arial"/>
                <w:sz w:val="16"/>
                <w:szCs w:val="16"/>
                <w:color w:val="0000EE"/>
              </w:rPr>
              <w:t>Accountants</w:t>
            </w:r>
          </w:p>
        </w:tc>
        <w:tc>
          <w:tcPr>
            <w:tcW w:w="100" w:type="dxa"/>
            <w:vAlign w:val="bottom"/>
            <w:shd w:val="clear" w:color="auto" w:fill="E3E5F3"/>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4"/>
            <w:vMerge w:val="continue"/>
            <w:shd w:val="clear" w:color="auto" w:fill="E3E5F3"/>
          </w:tcPr>
          <w:p>
            <w:pPr>
              <w:spacing w:after="0"/>
              <w:rPr>
                <w:sz w:val="13"/>
                <w:szCs w:val="13"/>
                <w:color w:val="auto"/>
              </w:rPr>
            </w:pPr>
          </w:p>
        </w:tc>
        <w:tc>
          <w:tcPr>
            <w:tcW w:w="100" w:type="dxa"/>
            <w:vAlign w:val="bottom"/>
            <w:shd w:val="clear" w:color="auto" w:fill="E3E5F3"/>
          </w:tcPr>
          <w:p>
            <w:pPr>
              <w:spacing w:after="0"/>
              <w:rPr>
                <w:sz w:val="13"/>
                <w:szCs w:val="13"/>
                <w:color w:val="auto"/>
              </w:rPr>
            </w:pPr>
          </w:p>
        </w:tc>
        <w:tc>
          <w:tcPr>
            <w:tcW w:w="100" w:type="dxa"/>
            <w:vAlign w:val="bottom"/>
            <w:shd w:val="clear" w:color="auto" w:fill="E3E5F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260" w:type="dxa"/>
            <w:vAlign w:val="bottom"/>
            <w:shd w:val="clear" w:color="auto" w:fill="E3E5F3"/>
          </w:tcPr>
          <w:p>
            <w:pPr>
              <w:spacing w:after="0" w:line="20" w:lineRule="exact"/>
              <w:rPr>
                <w:sz w:val="1"/>
                <w:szCs w:val="1"/>
                <w:color w:val="auto"/>
              </w:rPr>
            </w:pPr>
          </w:p>
        </w:tc>
        <w:tc>
          <w:tcPr>
            <w:tcW w:w="920" w:type="dxa"/>
            <w:vAlign w:val="bottom"/>
            <w:tcBorders>
              <w:right w:val="single" w:sz="8" w:color="0000EE"/>
            </w:tcBorders>
            <w:gridSpan w:val="3"/>
            <w:shd w:val="clear" w:color="auto" w:fill="0000EE"/>
          </w:tcPr>
          <w:p>
            <w:pPr>
              <w:spacing w:after="0" w:line="20" w:lineRule="exact"/>
              <w:rPr>
                <w:sz w:val="1"/>
                <w:szCs w:val="1"/>
                <w:color w:val="auto"/>
              </w:rPr>
            </w:pPr>
          </w:p>
        </w:tc>
        <w:tc>
          <w:tcPr>
            <w:tcW w:w="780" w:type="dxa"/>
            <w:vAlign w:val="bottom"/>
            <w:tcBorders>
              <w:right w:val="single" w:sz="8" w:color="E3E5F3"/>
            </w:tcBorders>
            <w:gridSpan w:val="5"/>
            <w:shd w:val="clear" w:color="auto" w:fill="E3E5F3"/>
          </w:tcPr>
          <w:p>
            <w:pPr>
              <w:spacing w:after="0" w:line="20" w:lineRule="exact"/>
              <w:rPr>
                <w:sz w:val="1"/>
                <w:szCs w:val="1"/>
                <w:color w:val="auto"/>
              </w:rPr>
            </w:pPr>
          </w:p>
        </w:tc>
        <w:tc>
          <w:tcPr>
            <w:tcW w:w="500" w:type="dxa"/>
            <w:vAlign w:val="bottom"/>
            <w:tcBorders>
              <w:right w:val="single" w:sz="8" w:color="E3E5F3"/>
            </w:tcBorders>
            <w:gridSpan w:val="4"/>
            <w:shd w:val="clear" w:color="auto" w:fill="E3E5F3"/>
          </w:tcPr>
          <w:p>
            <w:pPr>
              <w:spacing w:after="0" w:line="20" w:lineRule="exact"/>
              <w:rPr>
                <w:sz w:val="1"/>
                <w:szCs w:val="1"/>
                <w:color w:val="auto"/>
              </w:rPr>
            </w:pPr>
          </w:p>
        </w:tc>
        <w:tc>
          <w:tcPr>
            <w:tcW w:w="820" w:type="dxa"/>
            <w:vAlign w:val="bottom"/>
            <w:gridSpan w:val="3"/>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3280" w:type="dxa"/>
            <w:vAlign w:val="bottom"/>
            <w:gridSpan w:val="16"/>
            <w:shd w:val="clear" w:color="auto" w:fill="E3E5F3"/>
          </w:tcPr>
          <w:p>
            <w:pPr>
              <w:spacing w:after="0"/>
              <w:rPr>
                <w:sz w:val="20"/>
                <w:szCs w:val="20"/>
                <w:color w:val="auto"/>
              </w:rPr>
            </w:pPr>
            <w:r>
              <w:rPr>
                <w:rFonts w:ascii="Arial" w:cs="Arial" w:eastAsia="Arial" w:hAnsi="Arial"/>
                <w:sz w:val="16"/>
                <w:szCs w:val="16"/>
                <w:color w:val="0000EE"/>
              </w:rPr>
              <w:t>Fees Paid to Independent Auditors</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25</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960" w:type="dxa"/>
            <w:vAlign w:val="bottom"/>
            <w:tcBorders>
              <w:right w:val="single" w:sz="8" w:color="0000EE"/>
            </w:tcBorders>
            <w:gridSpan w:val="9"/>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820" w:type="dxa"/>
            <w:vAlign w:val="bottom"/>
            <w:gridSpan w:val="3"/>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2860" w:type="dxa"/>
            <w:vAlign w:val="bottom"/>
            <w:tcBorders>
              <w:right w:val="single" w:sz="8" w:color="E3E5F3"/>
            </w:tcBorders>
            <w:gridSpan w:val="14"/>
            <w:shd w:val="clear" w:color="auto" w:fill="E3E5F3"/>
          </w:tcPr>
          <w:p>
            <w:pPr>
              <w:spacing w:after="0"/>
              <w:rPr>
                <w:sz w:val="20"/>
                <w:szCs w:val="20"/>
                <w:color w:val="auto"/>
              </w:rPr>
            </w:pPr>
            <w:r>
              <w:rPr>
                <w:rFonts w:ascii="Arial" w:cs="Arial" w:eastAsia="Arial" w:hAnsi="Arial"/>
                <w:sz w:val="16"/>
                <w:szCs w:val="16"/>
                <w:color w:val="0000EE"/>
              </w:rPr>
              <w:t>Pre-Approval Policies and Procedures</w:t>
            </w:r>
          </w:p>
        </w:tc>
        <w:tc>
          <w:tcPr>
            <w:tcW w:w="420" w:type="dxa"/>
            <w:vAlign w:val="bottom"/>
            <w:gridSpan w:val="2"/>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26</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960" w:type="dxa"/>
            <w:vAlign w:val="bottom"/>
            <w:tcBorders>
              <w:right w:val="single" w:sz="8" w:color="0000EE"/>
            </w:tcBorders>
            <w:gridSpan w:val="9"/>
            <w:shd w:val="clear" w:color="auto" w:fill="0000EE"/>
          </w:tcPr>
          <w:p>
            <w:pPr>
              <w:spacing w:after="0" w:line="20" w:lineRule="exact"/>
              <w:rPr>
                <w:sz w:val="1"/>
                <w:szCs w:val="1"/>
                <w:color w:val="auto"/>
              </w:rPr>
            </w:pPr>
          </w:p>
        </w:tc>
        <w:tc>
          <w:tcPr>
            <w:tcW w:w="900" w:type="dxa"/>
            <w:vAlign w:val="bottom"/>
            <w:tcBorders>
              <w:right w:val="single" w:sz="8" w:color="0000EE"/>
            </w:tcBorders>
            <w:gridSpan w:val="5"/>
            <w:shd w:val="clear" w:color="auto" w:fill="0000EE"/>
          </w:tcPr>
          <w:p>
            <w:pPr>
              <w:spacing w:after="0" w:line="20" w:lineRule="exact"/>
              <w:rPr>
                <w:sz w:val="1"/>
                <w:szCs w:val="1"/>
                <w:color w:val="auto"/>
              </w:rPr>
            </w:pPr>
          </w:p>
        </w:tc>
        <w:tc>
          <w:tcPr>
            <w:tcW w:w="420" w:type="dxa"/>
            <w:vAlign w:val="bottom"/>
            <w:gridSpan w:val="2"/>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Borders>
              <w:right w:val="single" w:sz="8" w:color="E3E5F3"/>
            </w:tcBorders>
            <w:gridSpan w:val="3"/>
            <w:shd w:val="clear" w:color="auto" w:fill="E3E5F3"/>
          </w:tcPr>
          <w:p>
            <w:pPr>
              <w:spacing w:after="0"/>
              <w:rPr>
                <w:sz w:val="20"/>
                <w:szCs w:val="20"/>
                <w:color w:val="auto"/>
              </w:rPr>
            </w:pPr>
            <w:r>
              <w:rPr>
                <w:rFonts w:ascii="Arial" w:cs="Arial" w:eastAsia="Arial" w:hAnsi="Arial"/>
                <w:sz w:val="16"/>
                <w:szCs w:val="16"/>
                <w:color w:val="0000EE"/>
                <w:w w:val="97"/>
              </w:rPr>
              <w:t>Vote Required</w:t>
            </w:r>
          </w:p>
        </w:tc>
        <w:tc>
          <w:tcPr>
            <w:tcW w:w="1820" w:type="dxa"/>
            <w:vAlign w:val="bottom"/>
            <w:tcBorders>
              <w:right w:val="single" w:sz="8" w:color="E3E5F3"/>
            </w:tcBorders>
            <w:gridSpan w:val="11"/>
            <w:shd w:val="clear" w:color="auto" w:fill="E3E5F3"/>
          </w:tcPr>
          <w:p>
            <w:pPr>
              <w:spacing w:after="0"/>
              <w:rPr>
                <w:sz w:val="21"/>
                <w:szCs w:val="21"/>
                <w:color w:val="auto"/>
              </w:rPr>
            </w:pPr>
          </w:p>
        </w:tc>
        <w:tc>
          <w:tcPr>
            <w:tcW w:w="420" w:type="dxa"/>
            <w:vAlign w:val="bottom"/>
            <w:gridSpan w:val="2"/>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26</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920" w:type="dxa"/>
            <w:vAlign w:val="bottom"/>
            <w:tcBorders>
              <w:right w:val="single" w:sz="8" w:color="E3E5F3"/>
            </w:tcBorders>
            <w:gridSpan w:val="6"/>
            <w:shd w:val="clear" w:color="auto" w:fill="E3E5F3"/>
          </w:tcPr>
          <w:p>
            <w:pPr>
              <w:spacing w:after="0" w:line="20" w:lineRule="exact"/>
              <w:rPr>
                <w:sz w:val="1"/>
                <w:szCs w:val="1"/>
                <w:color w:val="auto"/>
              </w:rPr>
            </w:pPr>
          </w:p>
        </w:tc>
        <w:tc>
          <w:tcPr>
            <w:tcW w:w="1320" w:type="dxa"/>
            <w:vAlign w:val="bottom"/>
            <w:gridSpan w:val="7"/>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gridSpan w:val="5"/>
            <w:shd w:val="clear" w:color="auto" w:fill="E3E5F3"/>
          </w:tcPr>
          <w:p>
            <w:pPr>
              <w:spacing w:after="0"/>
              <w:rPr>
                <w:sz w:val="20"/>
                <w:szCs w:val="20"/>
                <w:color w:val="auto"/>
              </w:rPr>
            </w:pPr>
            <w:r>
              <w:rPr>
                <w:rFonts w:ascii="Arial" w:cs="Arial" w:eastAsia="Arial" w:hAnsi="Arial"/>
                <w:sz w:val="16"/>
                <w:szCs w:val="16"/>
                <w:color w:val="0000EE"/>
                <w:w w:val="98"/>
              </w:rPr>
              <w:t>Recommendation</w:t>
            </w:r>
          </w:p>
        </w:tc>
        <w:tc>
          <w:tcPr>
            <w:tcW w:w="2020" w:type="dxa"/>
            <w:vAlign w:val="bottom"/>
            <w:gridSpan w:val="11"/>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26</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right w:val="single" w:sz="8" w:color="E3E5F3"/>
            </w:tcBorders>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700" w:type="dxa"/>
            <w:vAlign w:val="bottom"/>
            <w:tcBorders>
              <w:right w:val="single" w:sz="8" w:color="E3E5F3"/>
            </w:tcBorders>
            <w:gridSpan w:val="4"/>
            <w:shd w:val="clear" w:color="auto" w:fill="E3E5F3"/>
          </w:tcPr>
          <w:p>
            <w:pPr>
              <w:spacing w:after="0" w:line="20" w:lineRule="exact"/>
              <w:rPr>
                <w:sz w:val="1"/>
                <w:szCs w:val="1"/>
                <w:color w:val="auto"/>
              </w:rPr>
            </w:pPr>
          </w:p>
        </w:tc>
        <w:tc>
          <w:tcPr>
            <w:tcW w:w="1320" w:type="dxa"/>
            <w:vAlign w:val="bottom"/>
            <w:gridSpan w:val="7"/>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0" w:type="dxa"/>
            <w:vAlign w:val="bottom"/>
            <w:tcBorders>
              <w:right w:val="single" w:sz="8" w:color="E3E5F3"/>
            </w:tcBorders>
          </w:tcPr>
          <w:p>
            <w:pPr>
              <w:spacing w:after="0"/>
              <w:rPr>
                <w:sz w:val="20"/>
                <w:szCs w:val="20"/>
                <w:color w:val="auto"/>
              </w:rPr>
            </w:pPr>
            <w:r>
              <w:rPr>
                <w:rFonts w:ascii="Times New Roman" w:cs="Times New Roman" w:eastAsia="Times New Roman" w:hAnsi="Times New Roman"/>
                <w:sz w:val="4"/>
                <w:szCs w:val="4"/>
                <w:color w:val="auto"/>
              </w:rPr>
              <w:t>​</w:t>
            </w:r>
          </w:p>
        </w:tc>
        <w:tc>
          <w:tcPr>
            <w:tcW w:w="3280" w:type="dxa"/>
            <w:vAlign w:val="bottom"/>
            <w:gridSpan w:val="16"/>
            <w:shd w:val="clear" w:color="auto" w:fill="E3E5F3"/>
          </w:tcPr>
          <w:p>
            <w:pPr>
              <w:spacing w:after="0"/>
              <w:rPr>
                <w:sz w:val="20"/>
                <w:szCs w:val="20"/>
                <w:color w:val="auto"/>
              </w:rPr>
            </w:pPr>
            <w:r>
              <w:rPr>
                <w:rFonts w:ascii="Arial" w:cs="Arial" w:eastAsia="Arial" w:hAnsi="Arial"/>
                <w:sz w:val="16"/>
                <w:szCs w:val="16"/>
                <w:b w:val="1"/>
                <w:bCs w:val="1"/>
                <w:color w:val="0000EE"/>
              </w:rPr>
              <w:t>Audit Committee Report</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4"/>
            <w:shd w:val="clear" w:color="auto" w:fill="E3E5F3"/>
          </w:tcPr>
          <w:p>
            <w:pPr>
              <w:jc w:val="right"/>
              <w:ind w:right="80"/>
              <w:spacing w:after="0"/>
              <w:rPr>
                <w:sz w:val="20"/>
                <w:szCs w:val="20"/>
                <w:color w:val="auto"/>
              </w:rPr>
            </w:pPr>
            <w:r>
              <w:rPr>
                <w:rFonts w:ascii="Arial" w:cs="Arial" w:eastAsia="Arial" w:hAnsi="Arial"/>
                <w:sz w:val="16"/>
                <w:szCs w:val="16"/>
                <w:color w:val="0000EE"/>
              </w:rPr>
              <w:t>27</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E3E5F3"/>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60" w:type="dxa"/>
            <w:vAlign w:val="bottom"/>
            <w:tcBorders>
              <w:right w:val="single" w:sz="8" w:color="E3E5F3"/>
            </w:tcBorders>
          </w:tcPr>
          <w:p>
            <w:pPr>
              <w:spacing w:after="0"/>
              <w:rPr>
                <w:sz w:val="4"/>
                <w:szCs w:val="4"/>
                <w:color w:val="auto"/>
              </w:rPr>
            </w:pPr>
          </w:p>
        </w:tc>
        <w:tc>
          <w:tcPr>
            <w:tcW w:w="260" w:type="dxa"/>
            <w:vAlign w:val="bottom"/>
            <w:tcBorders>
              <w:top w:val="single" w:sz="8" w:color="0000EE"/>
            </w:tcBorders>
            <w:shd w:val="clear" w:color="auto" w:fill="E3E5F3"/>
          </w:tcPr>
          <w:p>
            <w:pPr>
              <w:spacing w:after="0"/>
              <w:rPr>
                <w:sz w:val="4"/>
                <w:szCs w:val="4"/>
                <w:color w:val="auto"/>
              </w:rPr>
            </w:pPr>
          </w:p>
        </w:tc>
        <w:tc>
          <w:tcPr>
            <w:tcW w:w="660" w:type="dxa"/>
            <w:vAlign w:val="bottom"/>
            <w:tcBorders>
              <w:top w:val="single" w:sz="8" w:color="0000EE"/>
            </w:tcBorders>
            <w:shd w:val="clear" w:color="auto" w:fill="E3E5F3"/>
          </w:tcPr>
          <w:p>
            <w:pPr>
              <w:spacing w:after="0"/>
              <w:rPr>
                <w:sz w:val="4"/>
                <w:szCs w:val="4"/>
                <w:color w:val="auto"/>
              </w:rPr>
            </w:pPr>
          </w:p>
        </w:tc>
        <w:tc>
          <w:tcPr>
            <w:tcW w:w="120" w:type="dxa"/>
            <w:vAlign w:val="bottom"/>
            <w:tcBorders>
              <w:top w:val="single" w:sz="8" w:color="0000EE"/>
              <w:right w:val="single" w:sz="8" w:color="E3E5F3"/>
            </w:tcBorders>
            <w:shd w:val="clear" w:color="auto" w:fill="E3E5F3"/>
          </w:tcPr>
          <w:p>
            <w:pPr>
              <w:spacing w:after="0"/>
              <w:rPr>
                <w:sz w:val="4"/>
                <w:szCs w:val="4"/>
                <w:color w:val="auto"/>
              </w:rPr>
            </w:pPr>
          </w:p>
        </w:tc>
        <w:tc>
          <w:tcPr>
            <w:tcW w:w="140" w:type="dxa"/>
            <w:vAlign w:val="bottom"/>
            <w:tcBorders>
              <w:top w:val="single" w:sz="8" w:color="0000EE"/>
              <w:right w:val="single" w:sz="8" w:color="E3E5F3"/>
            </w:tcBorders>
            <w:shd w:val="clear" w:color="auto" w:fill="E3E5F3"/>
          </w:tcPr>
          <w:p>
            <w:pPr>
              <w:spacing w:after="0"/>
              <w:rPr>
                <w:sz w:val="4"/>
                <w:szCs w:val="4"/>
                <w:color w:val="auto"/>
              </w:rPr>
            </w:pPr>
          </w:p>
        </w:tc>
        <w:tc>
          <w:tcPr>
            <w:tcW w:w="80" w:type="dxa"/>
            <w:vAlign w:val="bottom"/>
            <w:tcBorders>
              <w:top w:val="single" w:sz="8" w:color="0000EE"/>
            </w:tcBorders>
            <w:shd w:val="clear" w:color="auto" w:fill="E3E5F3"/>
          </w:tcPr>
          <w:p>
            <w:pPr>
              <w:spacing w:after="0"/>
              <w:rPr>
                <w:sz w:val="4"/>
                <w:szCs w:val="4"/>
                <w:color w:val="auto"/>
              </w:rPr>
            </w:pPr>
          </w:p>
        </w:tc>
        <w:tc>
          <w:tcPr>
            <w:tcW w:w="100" w:type="dxa"/>
            <w:vAlign w:val="bottom"/>
            <w:tcBorders>
              <w:top w:val="single" w:sz="8" w:color="0000EE"/>
            </w:tcBorders>
            <w:shd w:val="clear" w:color="auto" w:fill="E3E5F3"/>
          </w:tcPr>
          <w:p>
            <w:pPr>
              <w:spacing w:after="0"/>
              <w:rPr>
                <w:sz w:val="4"/>
                <w:szCs w:val="4"/>
                <w:color w:val="auto"/>
              </w:rPr>
            </w:pPr>
          </w:p>
        </w:tc>
        <w:tc>
          <w:tcPr>
            <w:tcW w:w="80" w:type="dxa"/>
            <w:vAlign w:val="bottom"/>
            <w:tcBorders>
              <w:top w:val="single" w:sz="8" w:color="0000EE"/>
            </w:tcBorders>
            <w:shd w:val="clear" w:color="auto" w:fill="E3E5F3"/>
          </w:tcPr>
          <w:p>
            <w:pPr>
              <w:spacing w:after="0"/>
              <w:rPr>
                <w:sz w:val="4"/>
                <w:szCs w:val="4"/>
                <w:color w:val="auto"/>
              </w:rPr>
            </w:pPr>
          </w:p>
        </w:tc>
        <w:tc>
          <w:tcPr>
            <w:tcW w:w="200" w:type="dxa"/>
            <w:vAlign w:val="bottom"/>
            <w:tcBorders>
              <w:top w:val="single" w:sz="8" w:color="0000EE"/>
              <w:right w:val="single" w:sz="8" w:color="E3E5F3"/>
            </w:tcBorders>
            <w:shd w:val="clear" w:color="auto" w:fill="E3E5F3"/>
          </w:tcPr>
          <w:p>
            <w:pPr>
              <w:spacing w:after="0"/>
              <w:rPr>
                <w:sz w:val="4"/>
                <w:szCs w:val="4"/>
                <w:color w:val="auto"/>
              </w:rPr>
            </w:pPr>
          </w:p>
        </w:tc>
        <w:tc>
          <w:tcPr>
            <w:tcW w:w="320" w:type="dxa"/>
            <w:vAlign w:val="bottom"/>
            <w:tcBorders>
              <w:top w:val="single" w:sz="8" w:color="0000EE"/>
              <w:right w:val="single" w:sz="8" w:color="E3E5F3"/>
            </w:tcBorders>
            <w:shd w:val="clear" w:color="auto" w:fill="E3E5F3"/>
          </w:tcPr>
          <w:p>
            <w:pPr>
              <w:spacing w:after="0"/>
              <w:rPr>
                <w:sz w:val="4"/>
                <w:szCs w:val="4"/>
                <w:color w:val="auto"/>
              </w:rPr>
            </w:pPr>
          </w:p>
        </w:tc>
        <w:tc>
          <w:tcPr>
            <w:tcW w:w="200" w:type="dxa"/>
            <w:vAlign w:val="bottom"/>
            <w:tcBorders>
              <w:top w:val="single" w:sz="8" w:color="E3E5F3"/>
              <w:right w:val="single" w:sz="8" w:color="E3E5F3"/>
            </w:tcBorders>
            <w:shd w:val="clear" w:color="auto" w:fill="E3E5F3"/>
          </w:tcPr>
          <w:p>
            <w:pPr>
              <w:spacing w:after="0"/>
              <w:rPr>
                <w:sz w:val="4"/>
                <w:szCs w:val="4"/>
                <w:color w:val="auto"/>
              </w:rPr>
            </w:pPr>
          </w:p>
        </w:tc>
        <w:tc>
          <w:tcPr>
            <w:tcW w:w="100" w:type="dxa"/>
            <w:vAlign w:val="bottom"/>
            <w:tcBorders>
              <w:top w:val="single" w:sz="8" w:color="E3E5F3"/>
            </w:tcBorders>
            <w:shd w:val="clear" w:color="auto" w:fill="E3E5F3"/>
          </w:tcPr>
          <w:p>
            <w:pPr>
              <w:spacing w:after="0"/>
              <w:rPr>
                <w:sz w:val="4"/>
                <w:szCs w:val="4"/>
                <w:color w:val="auto"/>
              </w:rPr>
            </w:pPr>
          </w:p>
        </w:tc>
        <w:tc>
          <w:tcPr>
            <w:tcW w:w="100" w:type="dxa"/>
            <w:vAlign w:val="bottom"/>
            <w:tcBorders>
              <w:top w:val="single" w:sz="8" w:color="E3E5F3"/>
            </w:tcBorders>
            <w:shd w:val="clear" w:color="auto" w:fill="E3E5F3"/>
          </w:tcPr>
          <w:p>
            <w:pPr>
              <w:spacing w:after="0"/>
              <w:rPr>
                <w:sz w:val="4"/>
                <w:szCs w:val="4"/>
                <w:color w:val="auto"/>
              </w:rPr>
            </w:pPr>
          </w:p>
        </w:tc>
        <w:tc>
          <w:tcPr>
            <w:tcW w:w="100" w:type="dxa"/>
            <w:vAlign w:val="bottom"/>
            <w:tcBorders>
              <w:top w:val="single" w:sz="8" w:color="E3E5F3"/>
              <w:right w:val="single" w:sz="8" w:color="E3E5F3"/>
            </w:tcBorders>
            <w:shd w:val="clear" w:color="auto" w:fill="E3E5F3"/>
          </w:tcPr>
          <w:p>
            <w:pPr>
              <w:spacing w:after="0"/>
              <w:rPr>
                <w:sz w:val="4"/>
                <w:szCs w:val="4"/>
                <w:color w:val="auto"/>
              </w:rPr>
            </w:pPr>
          </w:p>
        </w:tc>
        <w:tc>
          <w:tcPr>
            <w:tcW w:w="400" w:type="dxa"/>
            <w:vAlign w:val="bottom"/>
            <w:tcBorders>
              <w:top w:val="single" w:sz="8" w:color="E3E5F3"/>
              <w:right w:val="single" w:sz="8" w:color="E3E5F3"/>
            </w:tcBorders>
            <w:shd w:val="clear" w:color="auto" w:fill="E3E5F3"/>
          </w:tcPr>
          <w:p>
            <w:pPr>
              <w:spacing w:after="0"/>
              <w:rPr>
                <w:sz w:val="4"/>
                <w:szCs w:val="4"/>
                <w:color w:val="auto"/>
              </w:rPr>
            </w:pPr>
          </w:p>
        </w:tc>
        <w:tc>
          <w:tcPr>
            <w:tcW w:w="100" w:type="dxa"/>
            <w:vAlign w:val="bottom"/>
            <w:tcBorders>
              <w:top w:val="single" w:sz="8" w:color="E3E5F3"/>
            </w:tcBorders>
            <w:shd w:val="clear" w:color="auto" w:fill="E3E5F3"/>
          </w:tcPr>
          <w:p>
            <w:pPr>
              <w:spacing w:after="0"/>
              <w:rPr>
                <w:sz w:val="4"/>
                <w:szCs w:val="4"/>
                <w:color w:val="auto"/>
              </w:rPr>
            </w:pPr>
          </w:p>
        </w:tc>
        <w:tc>
          <w:tcPr>
            <w:tcW w:w="320" w:type="dxa"/>
            <w:vAlign w:val="bottom"/>
            <w:tcBorders>
              <w:top w:val="single" w:sz="8" w:color="E3E5F3"/>
            </w:tcBorders>
            <w:shd w:val="clear" w:color="auto" w:fill="E3E5F3"/>
          </w:tcPr>
          <w:p>
            <w:pPr>
              <w:spacing w:after="0"/>
              <w:rPr>
                <w:sz w:val="4"/>
                <w:szCs w:val="4"/>
                <w:color w:val="auto"/>
              </w:rPr>
            </w:pPr>
          </w:p>
        </w:tc>
        <w:tc>
          <w:tcPr>
            <w:tcW w:w="100" w:type="dxa"/>
            <w:vAlign w:val="bottom"/>
            <w:tcBorders>
              <w:top w:val="single" w:sz="8" w:color="E3E5F3"/>
            </w:tcBorders>
            <w:shd w:val="clear" w:color="auto" w:fill="E3E5F3"/>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E3E5F3"/>
            </w:tcBorders>
            <w:shd w:val="clear" w:color="auto" w:fill="E3E5F3"/>
          </w:tcPr>
          <w:p>
            <w:pPr>
              <w:spacing w:after="0"/>
              <w:rPr>
                <w:sz w:val="4"/>
                <w:szCs w:val="4"/>
                <w:color w:val="auto"/>
              </w:rPr>
            </w:pPr>
          </w:p>
        </w:tc>
        <w:tc>
          <w:tcPr>
            <w:tcW w:w="80" w:type="dxa"/>
            <w:vAlign w:val="bottom"/>
            <w:tcBorders>
              <w:top w:val="single" w:sz="8" w:color="0000EE"/>
            </w:tcBorders>
            <w:shd w:val="clear" w:color="auto" w:fill="E3E5F3"/>
          </w:tcPr>
          <w:p>
            <w:pPr>
              <w:spacing w:after="0"/>
              <w:rPr>
                <w:sz w:val="4"/>
                <w:szCs w:val="4"/>
                <w:color w:val="auto"/>
              </w:rPr>
            </w:pPr>
          </w:p>
        </w:tc>
        <w:tc>
          <w:tcPr>
            <w:tcW w:w="100" w:type="dxa"/>
            <w:vAlign w:val="bottom"/>
            <w:tcBorders>
              <w:top w:val="single" w:sz="8" w:color="0000EE"/>
              <w:right w:val="single" w:sz="8" w:color="E3E5F3"/>
            </w:tcBorders>
            <w:shd w:val="clear" w:color="auto" w:fill="E3E5F3"/>
          </w:tcPr>
          <w:p>
            <w:pPr>
              <w:spacing w:after="0"/>
              <w:rPr>
                <w:sz w:val="4"/>
                <w:szCs w:val="4"/>
                <w:color w:val="auto"/>
              </w:rPr>
            </w:pPr>
          </w:p>
        </w:tc>
        <w:tc>
          <w:tcPr>
            <w:tcW w:w="80" w:type="dxa"/>
            <w:vAlign w:val="bottom"/>
            <w:tcBorders>
              <w:top w:val="single" w:sz="8" w:color="E3E5F3"/>
            </w:tcBorders>
            <w:shd w:val="clear" w:color="auto" w:fill="E3E5F3"/>
          </w:tcPr>
          <w:p>
            <w:pPr>
              <w:spacing w:after="0"/>
              <w:rPr>
                <w:sz w:val="4"/>
                <w:szCs w:val="4"/>
                <w:color w:val="auto"/>
              </w:rPr>
            </w:pPr>
          </w:p>
        </w:tc>
        <w:tc>
          <w:tcPr>
            <w:tcW w:w="100" w:type="dxa"/>
            <w:vAlign w:val="bottom"/>
            <w:tcBorders>
              <w:top w:val="single" w:sz="8" w:color="E3E5F3"/>
            </w:tcBorders>
            <w:shd w:val="clear" w:color="auto" w:fill="E3E5F3"/>
          </w:tcPr>
          <w:p>
            <w:pPr>
              <w:spacing w:after="0"/>
              <w:rPr>
                <w:sz w:val="4"/>
                <w:szCs w:val="4"/>
                <w:color w:val="auto"/>
              </w:rPr>
            </w:pPr>
          </w:p>
        </w:tc>
        <w:tc>
          <w:tcPr>
            <w:tcW w:w="100" w:type="dxa"/>
            <w:vAlign w:val="bottom"/>
            <w:tcBorders>
              <w:top w:val="single" w:sz="8" w:color="E3E5F3"/>
            </w:tcBorders>
            <w:shd w:val="clear" w:color="auto" w:fill="E3E5F3"/>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8"/>
        </w:trPr>
        <w:tc>
          <w:tcPr>
            <w:tcW w:w="160" w:type="dxa"/>
            <w:vAlign w:val="bottom"/>
            <w:shd w:val="clear" w:color="auto" w:fill="E3E5F3"/>
          </w:tcPr>
          <w:p>
            <w:pPr>
              <w:spacing w:after="0"/>
              <w:rPr>
                <w:sz w:val="24"/>
                <w:szCs w:val="24"/>
                <w:color w:val="auto"/>
              </w:rPr>
            </w:pPr>
          </w:p>
        </w:tc>
        <w:tc>
          <w:tcPr>
            <w:tcW w:w="2520" w:type="dxa"/>
            <w:vAlign w:val="bottom"/>
            <w:tcBorders>
              <w:right w:val="single" w:sz="8" w:color="E3E5F3"/>
            </w:tcBorders>
            <w:gridSpan w:val="10"/>
            <w:shd w:val="clear" w:color="auto" w:fill="E3E5F3"/>
          </w:tcPr>
          <w:p>
            <w:pPr>
              <w:spacing w:after="0"/>
              <w:rPr>
                <w:sz w:val="20"/>
                <w:szCs w:val="20"/>
                <w:color w:val="auto"/>
              </w:rPr>
            </w:pPr>
            <w:r>
              <w:rPr>
                <w:rFonts w:ascii="Arial" w:cs="Arial" w:eastAsia="Arial" w:hAnsi="Arial"/>
                <w:sz w:val="16"/>
                <w:szCs w:val="16"/>
                <w:b w:val="1"/>
                <w:bCs w:val="1"/>
                <w:color w:val="0000EE"/>
                <w:w w:val="99"/>
              </w:rPr>
              <w:t>Proposal 3 – NEO Compensation</w:t>
            </w:r>
          </w:p>
        </w:tc>
        <w:tc>
          <w:tcPr>
            <w:tcW w:w="760" w:type="dxa"/>
            <w:vAlign w:val="bottom"/>
            <w:tcBorders>
              <w:right w:val="single" w:sz="8" w:color="E3E5F3"/>
            </w:tcBorders>
            <w:gridSpan w:val="5"/>
            <w:shd w:val="clear" w:color="auto" w:fill="E3E5F3"/>
          </w:tcPr>
          <w:p>
            <w:pPr>
              <w:spacing w:after="0"/>
              <w:rPr>
                <w:sz w:val="24"/>
                <w:szCs w:val="24"/>
                <w:color w:val="auto"/>
              </w:rPr>
            </w:pPr>
          </w:p>
        </w:tc>
        <w:tc>
          <w:tcPr>
            <w:tcW w:w="200" w:type="dxa"/>
            <w:vAlign w:val="bottom"/>
            <w:tcBorders>
              <w:right w:val="single" w:sz="8" w:color="E3E5F3"/>
            </w:tcBorders>
            <w:gridSpan w:val="2"/>
            <w:shd w:val="clear" w:color="auto" w:fill="E3E5F3"/>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380" w:type="dxa"/>
            <w:vAlign w:val="bottom"/>
            <w:gridSpan w:val="2"/>
            <w:shd w:val="clear" w:color="auto" w:fill="E3E5F3"/>
          </w:tcPr>
          <w:p>
            <w:pPr>
              <w:jc w:val="right"/>
              <w:spacing w:after="0"/>
              <w:rPr>
                <w:sz w:val="20"/>
                <w:szCs w:val="20"/>
                <w:color w:val="auto"/>
              </w:rPr>
            </w:pPr>
            <w:r>
              <w:rPr>
                <w:rFonts w:ascii="Arial" w:cs="Arial" w:eastAsia="Arial" w:hAnsi="Arial"/>
                <w:sz w:val="16"/>
                <w:szCs w:val="16"/>
                <w:color w:val="0000EE"/>
              </w:rPr>
              <w:t>28</w:t>
            </w:r>
          </w:p>
        </w:tc>
        <w:tc>
          <w:tcPr>
            <w:tcW w:w="80" w:type="dxa"/>
            <w:vAlign w:val="bottom"/>
            <w:shd w:val="clear" w:color="auto" w:fill="E3E5F3"/>
          </w:tcPr>
          <w:p>
            <w:pPr>
              <w:spacing w:after="0"/>
              <w:rPr>
                <w:sz w:val="24"/>
                <w:szCs w:val="24"/>
                <w:color w:val="auto"/>
              </w:rPr>
            </w:pPr>
          </w:p>
        </w:tc>
        <w:tc>
          <w:tcPr>
            <w:tcW w:w="180" w:type="dxa"/>
            <w:vAlign w:val="bottom"/>
            <w:shd w:val="clear" w:color="auto" w:fill="E3E5F3"/>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E3E5F3"/>
          </w:tcPr>
          <w:p>
            <w:pPr>
              <w:spacing w:after="0" w:line="20" w:lineRule="exact"/>
              <w:rPr>
                <w:sz w:val="1"/>
                <w:szCs w:val="1"/>
                <w:color w:val="auto"/>
              </w:rPr>
            </w:pPr>
          </w:p>
        </w:tc>
        <w:tc>
          <w:tcPr>
            <w:tcW w:w="160" w:type="dxa"/>
            <w:vAlign w:val="bottom"/>
            <w:shd w:val="clear" w:color="auto" w:fill="E3E5F3"/>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20" w:type="dxa"/>
            <w:vAlign w:val="bottom"/>
            <w:shd w:val="clear" w:color="auto" w:fill="E3E5F3"/>
          </w:tcPr>
          <w:p>
            <w:pPr>
              <w:spacing w:after="0" w:line="20" w:lineRule="exact"/>
              <w:rPr>
                <w:sz w:val="1"/>
                <w:szCs w:val="1"/>
                <w:color w:val="auto"/>
              </w:rPr>
            </w:pPr>
          </w:p>
        </w:tc>
        <w:tc>
          <w:tcPr>
            <w:tcW w:w="28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60" w:type="dxa"/>
            <w:vAlign w:val="bottom"/>
            <w:shd w:val="clear" w:color="auto" w:fill="E3E5F3"/>
          </w:tcPr>
          <w:p>
            <w:pPr>
              <w:spacing w:after="0"/>
              <w:rPr>
                <w:sz w:val="20"/>
                <w:szCs w:val="20"/>
                <w:color w:val="auto"/>
              </w:rPr>
            </w:pPr>
          </w:p>
        </w:tc>
        <w:tc>
          <w:tcPr>
            <w:tcW w:w="1060" w:type="dxa"/>
            <w:vAlign w:val="bottom"/>
            <w:tcBorders>
              <w:right w:val="single" w:sz="8" w:color="E3E5F3"/>
            </w:tcBorders>
            <w:gridSpan w:val="2"/>
            <w:shd w:val="clear" w:color="auto" w:fill="E3E5F3"/>
          </w:tcPr>
          <w:p>
            <w:pPr>
              <w:spacing w:after="0"/>
              <w:rPr>
                <w:sz w:val="20"/>
                <w:szCs w:val="20"/>
                <w:color w:val="auto"/>
              </w:rPr>
            </w:pPr>
            <w:r>
              <w:rPr>
                <w:rFonts w:ascii="Arial" w:cs="Arial" w:eastAsia="Arial" w:hAnsi="Arial"/>
                <w:sz w:val="16"/>
                <w:szCs w:val="16"/>
                <w:color w:val="0000EE"/>
                <w:w w:val="99"/>
              </w:rPr>
              <w:t>Vote Required</w:t>
            </w:r>
          </w:p>
        </w:tc>
        <w:tc>
          <w:tcPr>
            <w:tcW w:w="1460" w:type="dxa"/>
            <w:vAlign w:val="bottom"/>
            <w:tcBorders>
              <w:right w:val="single" w:sz="8" w:color="E3E5F3"/>
            </w:tcBorders>
            <w:gridSpan w:val="8"/>
            <w:shd w:val="clear" w:color="auto" w:fill="E3E5F3"/>
          </w:tcPr>
          <w:p>
            <w:pPr>
              <w:spacing w:after="0"/>
              <w:rPr>
                <w:sz w:val="20"/>
                <w:szCs w:val="20"/>
                <w:color w:val="auto"/>
              </w:rPr>
            </w:pPr>
          </w:p>
        </w:tc>
        <w:tc>
          <w:tcPr>
            <w:tcW w:w="760" w:type="dxa"/>
            <w:vAlign w:val="bottom"/>
            <w:tcBorders>
              <w:right w:val="single" w:sz="8" w:color="E3E5F3"/>
            </w:tcBorders>
            <w:gridSpan w:val="5"/>
            <w:shd w:val="clear" w:color="auto" w:fill="E3E5F3"/>
          </w:tcPr>
          <w:p>
            <w:pPr>
              <w:spacing w:after="0"/>
              <w:rPr>
                <w:sz w:val="20"/>
                <w:szCs w:val="20"/>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shd w:val="clear" w:color="auto" w:fill="E3E5F3"/>
          </w:tcPr>
          <w:p>
            <w:pPr>
              <w:jc w:val="right"/>
              <w:spacing w:after="0"/>
              <w:rPr>
                <w:sz w:val="20"/>
                <w:szCs w:val="20"/>
                <w:color w:val="auto"/>
              </w:rPr>
            </w:pPr>
            <w:r>
              <w:rPr>
                <w:rFonts w:ascii="Arial" w:cs="Arial" w:eastAsia="Arial" w:hAnsi="Arial"/>
                <w:sz w:val="16"/>
                <w:szCs w:val="16"/>
                <w:color w:val="0000EE"/>
              </w:rPr>
              <w:t>28</w:t>
            </w:r>
          </w:p>
        </w:tc>
        <w:tc>
          <w:tcPr>
            <w:tcW w:w="80" w:type="dxa"/>
            <w:vAlign w:val="bottom"/>
            <w:shd w:val="clear" w:color="auto" w:fill="E3E5F3"/>
          </w:tcPr>
          <w:p>
            <w:pPr>
              <w:spacing w:after="0"/>
              <w:rPr>
                <w:sz w:val="20"/>
                <w:szCs w:val="20"/>
                <w:color w:val="auto"/>
              </w:rPr>
            </w:pPr>
          </w:p>
        </w:tc>
        <w:tc>
          <w:tcPr>
            <w:tcW w:w="180" w:type="dxa"/>
            <w:vAlign w:val="bottom"/>
            <w:shd w:val="clear" w:color="auto" w:fill="E3E5F3"/>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E3E5F3"/>
            </w:tcBorders>
            <w:shd w:val="clear" w:color="auto" w:fill="E3E5F3"/>
          </w:tcPr>
          <w:p>
            <w:pPr>
              <w:spacing w:after="0" w:line="20" w:lineRule="exact"/>
              <w:rPr>
                <w:sz w:val="1"/>
                <w:szCs w:val="1"/>
                <w:color w:val="auto"/>
              </w:rPr>
            </w:pPr>
          </w:p>
        </w:tc>
        <w:tc>
          <w:tcPr>
            <w:tcW w:w="160" w:type="dxa"/>
            <w:vAlign w:val="bottom"/>
            <w:tcBorders>
              <w:right w:val="single" w:sz="8" w:color="E3E5F3"/>
            </w:tcBorders>
            <w:shd w:val="clear" w:color="auto" w:fill="E3E5F3"/>
          </w:tcPr>
          <w:p>
            <w:pPr>
              <w:spacing w:after="0" w:line="20" w:lineRule="exact"/>
              <w:rPr>
                <w:sz w:val="1"/>
                <w:szCs w:val="1"/>
                <w:color w:val="auto"/>
              </w:rPr>
            </w:pPr>
          </w:p>
        </w:tc>
        <w:tc>
          <w:tcPr>
            <w:tcW w:w="18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40" w:type="dxa"/>
            <w:vAlign w:val="bottom"/>
            <w:shd w:val="clear" w:color="auto" w:fill="E3E5F3"/>
          </w:tcPr>
          <w:p>
            <w:pPr>
              <w:spacing w:after="0" w:line="20" w:lineRule="exact"/>
              <w:rPr>
                <w:sz w:val="1"/>
                <w:szCs w:val="1"/>
                <w:color w:val="auto"/>
              </w:rPr>
            </w:pPr>
          </w:p>
        </w:tc>
        <w:tc>
          <w:tcPr>
            <w:tcW w:w="160" w:type="dxa"/>
            <w:vAlign w:val="bottom"/>
            <w:tcBorders>
              <w:right w:val="single" w:sz="8" w:color="E3E5F3"/>
            </w:tcBorders>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140" w:type="dxa"/>
            <w:vAlign w:val="bottom"/>
            <w:tcBorders>
              <w:right w:val="single" w:sz="8" w:color="E3E5F3"/>
            </w:tcBorders>
            <w:shd w:val="clear" w:color="auto" w:fill="E3E5F3"/>
          </w:tcPr>
          <w:p>
            <w:pPr>
              <w:spacing w:after="0" w:line="20" w:lineRule="exact"/>
              <w:rPr>
                <w:sz w:val="1"/>
                <w:szCs w:val="1"/>
                <w:color w:val="auto"/>
              </w:rPr>
            </w:pPr>
          </w:p>
        </w:tc>
        <w:tc>
          <w:tcPr>
            <w:tcW w:w="120" w:type="dxa"/>
            <w:vAlign w:val="bottom"/>
            <w:shd w:val="clear" w:color="auto" w:fill="E3E5F3"/>
          </w:tcPr>
          <w:p>
            <w:pPr>
              <w:spacing w:after="0" w:line="20" w:lineRule="exact"/>
              <w:rPr>
                <w:sz w:val="1"/>
                <w:szCs w:val="1"/>
                <w:color w:val="auto"/>
              </w:rPr>
            </w:pPr>
          </w:p>
        </w:tc>
        <w:tc>
          <w:tcPr>
            <w:tcW w:w="160" w:type="dxa"/>
            <w:vAlign w:val="bottom"/>
            <w:shd w:val="clear" w:color="auto" w:fill="E3E5F3"/>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20" w:type="dxa"/>
            <w:vAlign w:val="bottom"/>
            <w:shd w:val="clear" w:color="auto" w:fill="E3E5F3"/>
          </w:tcPr>
          <w:p>
            <w:pPr>
              <w:spacing w:after="0" w:line="20" w:lineRule="exact"/>
              <w:rPr>
                <w:sz w:val="1"/>
                <w:szCs w:val="1"/>
                <w:color w:val="auto"/>
              </w:rPr>
            </w:pPr>
          </w:p>
        </w:tc>
        <w:tc>
          <w:tcPr>
            <w:tcW w:w="28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shd w:val="clear" w:color="auto" w:fill="E3E5F3"/>
          </w:tcPr>
          <w:p>
            <w:pPr>
              <w:spacing w:after="0"/>
              <w:rPr>
                <w:sz w:val="21"/>
                <w:szCs w:val="21"/>
                <w:color w:val="auto"/>
              </w:rPr>
            </w:pPr>
          </w:p>
        </w:tc>
        <w:tc>
          <w:tcPr>
            <w:tcW w:w="1320" w:type="dxa"/>
            <w:vAlign w:val="bottom"/>
            <w:tcBorders>
              <w:right w:val="single" w:sz="8" w:color="E3E5F3"/>
            </w:tcBorders>
            <w:gridSpan w:val="3"/>
            <w:shd w:val="clear" w:color="auto" w:fill="E3E5F3"/>
          </w:tcPr>
          <w:p>
            <w:pPr>
              <w:spacing w:after="0"/>
              <w:rPr>
                <w:sz w:val="20"/>
                <w:szCs w:val="20"/>
                <w:color w:val="auto"/>
              </w:rPr>
            </w:pPr>
            <w:r>
              <w:rPr>
                <w:rFonts w:ascii="Arial" w:cs="Arial" w:eastAsia="Arial" w:hAnsi="Arial"/>
                <w:sz w:val="16"/>
                <w:szCs w:val="16"/>
                <w:color w:val="0000EE"/>
              </w:rPr>
              <w:t>Recommendation</w:t>
            </w:r>
          </w:p>
        </w:tc>
        <w:tc>
          <w:tcPr>
            <w:tcW w:w="1960" w:type="dxa"/>
            <w:vAlign w:val="bottom"/>
            <w:tcBorders>
              <w:right w:val="single" w:sz="8" w:color="E3E5F3"/>
            </w:tcBorders>
            <w:gridSpan w:val="12"/>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shd w:val="clear" w:color="auto" w:fill="E3E5F3"/>
          </w:tcPr>
          <w:p>
            <w:pPr>
              <w:jc w:val="right"/>
              <w:spacing w:after="0"/>
              <w:rPr>
                <w:sz w:val="20"/>
                <w:szCs w:val="20"/>
                <w:color w:val="auto"/>
              </w:rPr>
            </w:pPr>
            <w:r>
              <w:rPr>
                <w:rFonts w:ascii="Arial" w:cs="Arial" w:eastAsia="Arial" w:hAnsi="Arial"/>
                <w:sz w:val="16"/>
                <w:szCs w:val="16"/>
                <w:color w:val="0000EE"/>
              </w:rPr>
              <w:t>28</w:t>
            </w:r>
          </w:p>
        </w:tc>
        <w:tc>
          <w:tcPr>
            <w:tcW w:w="80" w:type="dxa"/>
            <w:vAlign w:val="bottom"/>
            <w:shd w:val="clear" w:color="auto" w:fill="E3E5F3"/>
          </w:tcPr>
          <w:p>
            <w:pPr>
              <w:spacing w:after="0"/>
              <w:rPr>
                <w:sz w:val="21"/>
                <w:szCs w:val="21"/>
                <w:color w:val="auto"/>
              </w:rPr>
            </w:pPr>
          </w:p>
        </w:tc>
        <w:tc>
          <w:tcPr>
            <w:tcW w:w="180" w:type="dxa"/>
            <w:vAlign w:val="bottom"/>
            <w:shd w:val="clear" w:color="auto" w:fill="E3E5F3"/>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E3E5F3"/>
            </w:tcBorders>
            <w:shd w:val="clear" w:color="auto" w:fill="E3E5F3"/>
          </w:tcPr>
          <w:p>
            <w:pPr>
              <w:spacing w:after="0" w:line="20" w:lineRule="exact"/>
              <w:rPr>
                <w:sz w:val="1"/>
                <w:szCs w:val="1"/>
                <w:color w:val="auto"/>
              </w:rPr>
            </w:pPr>
          </w:p>
        </w:tc>
        <w:tc>
          <w:tcPr>
            <w:tcW w:w="18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40" w:type="dxa"/>
            <w:vAlign w:val="bottom"/>
            <w:shd w:val="clear" w:color="auto" w:fill="E3E5F3"/>
          </w:tcPr>
          <w:p>
            <w:pPr>
              <w:spacing w:after="0" w:line="20" w:lineRule="exact"/>
              <w:rPr>
                <w:sz w:val="1"/>
                <w:szCs w:val="1"/>
                <w:color w:val="auto"/>
              </w:rPr>
            </w:pPr>
          </w:p>
        </w:tc>
        <w:tc>
          <w:tcPr>
            <w:tcW w:w="160" w:type="dxa"/>
            <w:vAlign w:val="bottom"/>
            <w:tcBorders>
              <w:right w:val="single" w:sz="8" w:color="E3E5F3"/>
            </w:tcBorders>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140" w:type="dxa"/>
            <w:vAlign w:val="bottom"/>
            <w:tcBorders>
              <w:right w:val="single" w:sz="8" w:color="E3E5F3"/>
            </w:tcBorders>
            <w:shd w:val="clear" w:color="auto" w:fill="E3E5F3"/>
          </w:tcPr>
          <w:p>
            <w:pPr>
              <w:spacing w:after="0" w:line="20" w:lineRule="exact"/>
              <w:rPr>
                <w:sz w:val="1"/>
                <w:szCs w:val="1"/>
                <w:color w:val="auto"/>
              </w:rPr>
            </w:pPr>
          </w:p>
        </w:tc>
        <w:tc>
          <w:tcPr>
            <w:tcW w:w="120" w:type="dxa"/>
            <w:vAlign w:val="bottom"/>
            <w:shd w:val="clear" w:color="auto" w:fill="E3E5F3"/>
          </w:tcPr>
          <w:p>
            <w:pPr>
              <w:spacing w:after="0" w:line="20" w:lineRule="exact"/>
              <w:rPr>
                <w:sz w:val="1"/>
                <w:szCs w:val="1"/>
                <w:color w:val="auto"/>
              </w:rPr>
            </w:pPr>
          </w:p>
        </w:tc>
        <w:tc>
          <w:tcPr>
            <w:tcW w:w="160" w:type="dxa"/>
            <w:vAlign w:val="bottom"/>
            <w:shd w:val="clear" w:color="auto" w:fill="E3E5F3"/>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20" w:type="dxa"/>
            <w:vAlign w:val="bottom"/>
            <w:shd w:val="clear" w:color="auto" w:fill="E3E5F3"/>
          </w:tcPr>
          <w:p>
            <w:pPr>
              <w:spacing w:after="0" w:line="20" w:lineRule="exact"/>
              <w:rPr>
                <w:sz w:val="1"/>
                <w:szCs w:val="1"/>
                <w:color w:val="auto"/>
              </w:rPr>
            </w:pPr>
          </w:p>
        </w:tc>
        <w:tc>
          <w:tcPr>
            <w:tcW w:w="28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0" w:type="dxa"/>
            <w:vAlign w:val="bottom"/>
            <w:shd w:val="clear" w:color="auto" w:fill="E3E5F3"/>
          </w:tcPr>
          <w:p>
            <w:pPr>
              <w:spacing w:after="0"/>
              <w:rPr>
                <w:sz w:val="24"/>
                <w:szCs w:val="24"/>
                <w:color w:val="auto"/>
              </w:rPr>
            </w:pPr>
          </w:p>
        </w:tc>
        <w:tc>
          <w:tcPr>
            <w:tcW w:w="1480" w:type="dxa"/>
            <w:vAlign w:val="bottom"/>
            <w:tcBorders>
              <w:right w:val="single" w:sz="8" w:color="E3E5F3"/>
            </w:tcBorders>
            <w:gridSpan w:val="4"/>
            <w:shd w:val="clear" w:color="auto" w:fill="E3E5F3"/>
          </w:tcPr>
          <w:p>
            <w:pPr>
              <w:spacing w:after="0"/>
              <w:rPr>
                <w:sz w:val="20"/>
                <w:szCs w:val="20"/>
                <w:color w:val="auto"/>
              </w:rPr>
            </w:pPr>
            <w:r>
              <w:rPr>
                <w:rFonts w:ascii="Arial" w:cs="Arial" w:eastAsia="Arial" w:hAnsi="Arial"/>
                <w:sz w:val="16"/>
                <w:szCs w:val="16"/>
                <w:b w:val="1"/>
                <w:bCs w:val="1"/>
                <w:color w:val="0000EE"/>
              </w:rPr>
              <w:t>Executive Officers</w:t>
            </w:r>
          </w:p>
        </w:tc>
        <w:tc>
          <w:tcPr>
            <w:tcW w:w="1800" w:type="dxa"/>
            <w:vAlign w:val="bottom"/>
            <w:tcBorders>
              <w:right w:val="single" w:sz="8" w:color="E3E5F3"/>
            </w:tcBorders>
            <w:gridSpan w:val="11"/>
            <w:shd w:val="clear" w:color="auto" w:fill="E3E5F3"/>
          </w:tcPr>
          <w:p>
            <w:pPr>
              <w:spacing w:after="0"/>
              <w:rPr>
                <w:sz w:val="24"/>
                <w:szCs w:val="24"/>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shd w:val="clear" w:color="auto" w:fill="E3E5F3"/>
          </w:tcPr>
          <w:p>
            <w:pPr>
              <w:jc w:val="right"/>
              <w:spacing w:after="0"/>
              <w:rPr>
                <w:sz w:val="20"/>
                <w:szCs w:val="20"/>
                <w:color w:val="auto"/>
              </w:rPr>
            </w:pPr>
            <w:r>
              <w:rPr>
                <w:rFonts w:ascii="Arial" w:cs="Arial" w:eastAsia="Arial" w:hAnsi="Arial"/>
                <w:sz w:val="16"/>
                <w:szCs w:val="16"/>
                <w:color w:val="0000EE"/>
              </w:rPr>
              <w:t>29</w:t>
            </w:r>
          </w:p>
        </w:tc>
        <w:tc>
          <w:tcPr>
            <w:tcW w:w="80" w:type="dxa"/>
            <w:vAlign w:val="bottom"/>
            <w:shd w:val="clear" w:color="auto" w:fill="E3E5F3"/>
          </w:tcPr>
          <w:p>
            <w:pPr>
              <w:spacing w:after="0"/>
              <w:rPr>
                <w:sz w:val="24"/>
                <w:szCs w:val="24"/>
                <w:color w:val="auto"/>
              </w:rPr>
            </w:pPr>
          </w:p>
        </w:tc>
        <w:tc>
          <w:tcPr>
            <w:tcW w:w="180" w:type="dxa"/>
            <w:vAlign w:val="bottom"/>
            <w:shd w:val="clear" w:color="auto" w:fill="E3E5F3"/>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E3E5F3"/>
            </w:tcBorders>
            <w:shd w:val="clear" w:color="auto" w:fill="0000EE"/>
          </w:tcPr>
          <w:p>
            <w:pPr>
              <w:spacing w:after="0" w:line="20" w:lineRule="exact"/>
              <w:rPr>
                <w:sz w:val="1"/>
                <w:szCs w:val="1"/>
                <w:color w:val="auto"/>
              </w:rPr>
            </w:pPr>
          </w:p>
        </w:tc>
        <w:tc>
          <w:tcPr>
            <w:tcW w:w="18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40" w:type="dxa"/>
            <w:vAlign w:val="bottom"/>
            <w:shd w:val="clear" w:color="auto" w:fill="E3E5F3"/>
          </w:tcPr>
          <w:p>
            <w:pPr>
              <w:spacing w:after="0" w:line="20" w:lineRule="exact"/>
              <w:rPr>
                <w:sz w:val="1"/>
                <w:szCs w:val="1"/>
                <w:color w:val="auto"/>
              </w:rPr>
            </w:pPr>
          </w:p>
        </w:tc>
        <w:tc>
          <w:tcPr>
            <w:tcW w:w="160" w:type="dxa"/>
            <w:vAlign w:val="bottom"/>
            <w:tcBorders>
              <w:right w:val="single" w:sz="8" w:color="E3E5F3"/>
            </w:tcBorders>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140" w:type="dxa"/>
            <w:vAlign w:val="bottom"/>
            <w:tcBorders>
              <w:right w:val="single" w:sz="8" w:color="E3E5F3"/>
            </w:tcBorders>
            <w:shd w:val="clear" w:color="auto" w:fill="E3E5F3"/>
          </w:tcPr>
          <w:p>
            <w:pPr>
              <w:spacing w:after="0" w:line="20" w:lineRule="exact"/>
              <w:rPr>
                <w:sz w:val="1"/>
                <w:szCs w:val="1"/>
                <w:color w:val="auto"/>
              </w:rPr>
            </w:pPr>
          </w:p>
        </w:tc>
        <w:tc>
          <w:tcPr>
            <w:tcW w:w="120" w:type="dxa"/>
            <w:vAlign w:val="bottom"/>
            <w:shd w:val="clear" w:color="auto" w:fill="E3E5F3"/>
          </w:tcPr>
          <w:p>
            <w:pPr>
              <w:spacing w:after="0" w:line="20" w:lineRule="exact"/>
              <w:rPr>
                <w:sz w:val="1"/>
                <w:szCs w:val="1"/>
                <w:color w:val="auto"/>
              </w:rPr>
            </w:pPr>
          </w:p>
        </w:tc>
        <w:tc>
          <w:tcPr>
            <w:tcW w:w="160" w:type="dxa"/>
            <w:vAlign w:val="bottom"/>
            <w:shd w:val="clear" w:color="auto" w:fill="E3E5F3"/>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20" w:type="dxa"/>
            <w:vAlign w:val="bottom"/>
            <w:shd w:val="clear" w:color="auto" w:fill="E3E5F3"/>
          </w:tcPr>
          <w:p>
            <w:pPr>
              <w:spacing w:after="0" w:line="20" w:lineRule="exact"/>
              <w:rPr>
                <w:sz w:val="1"/>
                <w:szCs w:val="1"/>
                <w:color w:val="auto"/>
              </w:rPr>
            </w:pPr>
          </w:p>
        </w:tc>
        <w:tc>
          <w:tcPr>
            <w:tcW w:w="28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E3E5F3"/>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60" w:type="dxa"/>
            <w:vAlign w:val="bottom"/>
            <w:shd w:val="clear" w:color="auto" w:fill="E3E5F3"/>
          </w:tcPr>
          <w:p>
            <w:pPr>
              <w:spacing w:after="0"/>
              <w:rPr>
                <w:sz w:val="24"/>
                <w:szCs w:val="24"/>
                <w:color w:val="auto"/>
              </w:rPr>
            </w:pPr>
          </w:p>
        </w:tc>
        <w:tc>
          <w:tcPr>
            <w:tcW w:w="3280" w:type="dxa"/>
            <w:vAlign w:val="bottom"/>
            <w:tcBorders>
              <w:right w:val="single" w:sz="8" w:color="E3E5F3"/>
            </w:tcBorders>
            <w:gridSpan w:val="15"/>
            <w:shd w:val="clear" w:color="auto" w:fill="E3E5F3"/>
          </w:tcPr>
          <w:p>
            <w:pPr>
              <w:spacing w:after="0"/>
              <w:rPr>
                <w:sz w:val="20"/>
                <w:szCs w:val="20"/>
                <w:color w:val="auto"/>
              </w:rPr>
            </w:pPr>
            <w:r>
              <w:rPr>
                <w:rFonts w:ascii="Arial" w:cs="Arial" w:eastAsia="Arial" w:hAnsi="Arial"/>
                <w:sz w:val="16"/>
                <w:szCs w:val="16"/>
                <w:b w:val="1"/>
                <w:bCs w:val="1"/>
                <w:color w:val="0000EE"/>
              </w:rPr>
              <w:t>Executive Compensation</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shd w:val="clear" w:color="auto" w:fill="E3E5F3"/>
          </w:tcPr>
          <w:p>
            <w:pPr>
              <w:jc w:val="right"/>
              <w:spacing w:after="0"/>
              <w:rPr>
                <w:sz w:val="20"/>
                <w:szCs w:val="20"/>
                <w:color w:val="auto"/>
              </w:rPr>
            </w:pPr>
            <w:r>
              <w:rPr>
                <w:rFonts w:ascii="Arial" w:cs="Arial" w:eastAsia="Arial" w:hAnsi="Arial"/>
                <w:sz w:val="16"/>
                <w:szCs w:val="16"/>
                <w:color w:val="0000EE"/>
              </w:rPr>
              <w:t>31</w:t>
            </w:r>
          </w:p>
        </w:tc>
        <w:tc>
          <w:tcPr>
            <w:tcW w:w="80" w:type="dxa"/>
            <w:vAlign w:val="bottom"/>
            <w:shd w:val="clear" w:color="auto" w:fill="E3E5F3"/>
          </w:tcPr>
          <w:p>
            <w:pPr>
              <w:spacing w:after="0"/>
              <w:rPr>
                <w:sz w:val="24"/>
                <w:szCs w:val="24"/>
                <w:color w:val="auto"/>
              </w:rPr>
            </w:pPr>
          </w:p>
        </w:tc>
        <w:tc>
          <w:tcPr>
            <w:tcW w:w="180" w:type="dxa"/>
            <w:vAlign w:val="bottom"/>
            <w:shd w:val="clear" w:color="auto" w:fill="E3E5F3"/>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4"/>
        </w:trPr>
        <w:tc>
          <w:tcPr>
            <w:tcW w:w="160" w:type="dxa"/>
            <w:vAlign w:val="bottom"/>
            <w:tcBorders>
              <w:top w:val="single" w:sz="8" w:color="E3E5F3"/>
            </w:tcBorders>
            <w:shd w:val="clear" w:color="auto" w:fill="E3E5F3"/>
          </w:tcPr>
          <w:p>
            <w:pPr>
              <w:spacing w:after="0"/>
              <w:rPr>
                <w:sz w:val="2"/>
                <w:szCs w:val="2"/>
                <w:color w:val="auto"/>
              </w:rPr>
            </w:pPr>
          </w:p>
        </w:tc>
        <w:tc>
          <w:tcPr>
            <w:tcW w:w="260" w:type="dxa"/>
            <w:vAlign w:val="bottom"/>
            <w:tcBorders>
              <w:top w:val="single" w:sz="8" w:color="0000EE"/>
            </w:tcBorders>
            <w:shd w:val="clear" w:color="auto" w:fill="E3E5F3"/>
          </w:tcPr>
          <w:p>
            <w:pPr>
              <w:spacing w:after="0"/>
              <w:rPr>
                <w:sz w:val="2"/>
                <w:szCs w:val="2"/>
                <w:color w:val="auto"/>
              </w:rPr>
            </w:pPr>
          </w:p>
        </w:tc>
        <w:tc>
          <w:tcPr>
            <w:tcW w:w="800" w:type="dxa"/>
            <w:vAlign w:val="bottom"/>
            <w:tcBorders>
              <w:top w:val="single" w:sz="8" w:color="0000EE"/>
              <w:right w:val="single" w:sz="8" w:color="E3E5F3"/>
            </w:tcBorders>
            <w:shd w:val="clear" w:color="auto" w:fill="E3E5F3"/>
          </w:tcPr>
          <w:p>
            <w:pPr>
              <w:spacing w:after="0"/>
              <w:rPr>
                <w:sz w:val="2"/>
                <w:szCs w:val="2"/>
                <w:color w:val="auto"/>
              </w:rPr>
            </w:pPr>
          </w:p>
        </w:tc>
        <w:tc>
          <w:tcPr>
            <w:tcW w:w="260" w:type="dxa"/>
            <w:vAlign w:val="bottom"/>
            <w:tcBorders>
              <w:top w:val="single" w:sz="8" w:color="0000EE"/>
              <w:right w:val="single" w:sz="8" w:color="E3E5F3"/>
            </w:tcBorders>
            <w:shd w:val="clear" w:color="auto" w:fill="E3E5F3"/>
          </w:tcPr>
          <w:p>
            <w:pPr>
              <w:spacing w:after="0"/>
              <w:rPr>
                <w:sz w:val="2"/>
                <w:szCs w:val="2"/>
                <w:color w:val="auto"/>
              </w:rPr>
            </w:pPr>
          </w:p>
        </w:tc>
        <w:tc>
          <w:tcPr>
            <w:tcW w:w="160" w:type="dxa"/>
            <w:vAlign w:val="bottom"/>
            <w:tcBorders>
              <w:top w:val="single" w:sz="8" w:color="0000EE"/>
              <w:right w:val="single" w:sz="8" w:color="E3E5F3"/>
            </w:tcBorders>
            <w:shd w:val="clear" w:color="auto" w:fill="E3E5F3"/>
          </w:tcPr>
          <w:p>
            <w:pPr>
              <w:spacing w:after="0"/>
              <w:rPr>
                <w:sz w:val="2"/>
                <w:szCs w:val="2"/>
                <w:color w:val="auto"/>
              </w:rPr>
            </w:pPr>
          </w:p>
        </w:tc>
        <w:tc>
          <w:tcPr>
            <w:tcW w:w="180" w:type="dxa"/>
            <w:vAlign w:val="bottom"/>
            <w:tcBorders>
              <w:top w:val="single" w:sz="8" w:color="0000EE"/>
              <w:right w:val="single" w:sz="8" w:color="E3E5F3"/>
            </w:tcBorders>
            <w:shd w:val="clear" w:color="auto" w:fill="E3E5F3"/>
          </w:tcPr>
          <w:p>
            <w:pPr>
              <w:spacing w:after="0"/>
              <w:rPr>
                <w:sz w:val="2"/>
                <w:szCs w:val="2"/>
                <w:color w:val="auto"/>
              </w:rPr>
            </w:pPr>
          </w:p>
        </w:tc>
        <w:tc>
          <w:tcPr>
            <w:tcW w:w="200" w:type="dxa"/>
            <w:vAlign w:val="bottom"/>
            <w:tcBorders>
              <w:top w:val="single" w:sz="8" w:color="0000EE"/>
              <w:right w:val="single" w:sz="8" w:color="E3E5F3"/>
            </w:tcBorders>
            <w:shd w:val="clear" w:color="auto" w:fill="E3E5F3"/>
          </w:tcPr>
          <w:p>
            <w:pPr>
              <w:spacing w:after="0"/>
              <w:rPr>
                <w:sz w:val="2"/>
                <w:szCs w:val="2"/>
                <w:color w:val="auto"/>
              </w:rPr>
            </w:pPr>
          </w:p>
        </w:tc>
        <w:tc>
          <w:tcPr>
            <w:tcW w:w="40" w:type="dxa"/>
            <w:vAlign w:val="bottom"/>
            <w:tcBorders>
              <w:top w:val="single" w:sz="8" w:color="0000EE"/>
            </w:tcBorders>
            <w:shd w:val="clear" w:color="auto" w:fill="E3E5F3"/>
          </w:tcPr>
          <w:p>
            <w:pPr>
              <w:spacing w:after="0"/>
              <w:rPr>
                <w:sz w:val="2"/>
                <w:szCs w:val="2"/>
                <w:color w:val="auto"/>
              </w:rPr>
            </w:pPr>
          </w:p>
        </w:tc>
        <w:tc>
          <w:tcPr>
            <w:tcW w:w="160" w:type="dxa"/>
            <w:vAlign w:val="bottom"/>
            <w:tcBorders>
              <w:top w:val="single" w:sz="8" w:color="E3E5F3"/>
              <w:right w:val="single" w:sz="8" w:color="E3E5F3"/>
            </w:tcBorders>
            <w:shd w:val="clear" w:color="auto" w:fill="E3E5F3"/>
          </w:tcPr>
          <w:p>
            <w:pPr>
              <w:spacing w:after="0"/>
              <w:rPr>
                <w:sz w:val="2"/>
                <w:szCs w:val="2"/>
                <w:color w:val="auto"/>
              </w:rPr>
            </w:pPr>
          </w:p>
        </w:tc>
        <w:tc>
          <w:tcPr>
            <w:tcW w:w="320" w:type="dxa"/>
            <w:vAlign w:val="bottom"/>
            <w:tcBorders>
              <w:top w:val="single" w:sz="8" w:color="E3E5F3"/>
              <w:right w:val="single" w:sz="8" w:color="E3E5F3"/>
            </w:tcBorders>
            <w:shd w:val="clear" w:color="auto" w:fill="E3E5F3"/>
          </w:tcPr>
          <w:p>
            <w:pPr>
              <w:spacing w:after="0"/>
              <w:rPr>
                <w:sz w:val="2"/>
                <w:szCs w:val="2"/>
                <w:color w:val="auto"/>
              </w:rPr>
            </w:pPr>
          </w:p>
        </w:tc>
        <w:tc>
          <w:tcPr>
            <w:tcW w:w="140" w:type="dxa"/>
            <w:vAlign w:val="bottom"/>
            <w:tcBorders>
              <w:top w:val="single" w:sz="8" w:color="E3E5F3"/>
              <w:right w:val="single" w:sz="8" w:color="E3E5F3"/>
            </w:tcBorders>
            <w:shd w:val="clear" w:color="auto" w:fill="E3E5F3"/>
          </w:tcPr>
          <w:p>
            <w:pPr>
              <w:spacing w:after="0"/>
              <w:rPr>
                <w:sz w:val="2"/>
                <w:szCs w:val="2"/>
                <w:color w:val="auto"/>
              </w:rPr>
            </w:pPr>
          </w:p>
        </w:tc>
        <w:tc>
          <w:tcPr>
            <w:tcW w:w="120" w:type="dxa"/>
            <w:vAlign w:val="bottom"/>
            <w:tcBorders>
              <w:top w:val="single" w:sz="8" w:color="E3E5F3"/>
            </w:tcBorders>
            <w:shd w:val="clear" w:color="auto" w:fill="E3E5F3"/>
          </w:tcPr>
          <w:p>
            <w:pPr>
              <w:spacing w:after="0"/>
              <w:rPr>
                <w:sz w:val="2"/>
                <w:szCs w:val="2"/>
                <w:color w:val="auto"/>
              </w:rPr>
            </w:pPr>
          </w:p>
        </w:tc>
        <w:tc>
          <w:tcPr>
            <w:tcW w:w="160" w:type="dxa"/>
            <w:vAlign w:val="bottom"/>
            <w:tcBorders>
              <w:top w:val="single" w:sz="8" w:color="E3E5F3"/>
            </w:tcBorders>
            <w:shd w:val="clear" w:color="auto" w:fill="E3E5F3"/>
          </w:tcPr>
          <w:p>
            <w:pPr>
              <w:spacing w:after="0"/>
              <w:rPr>
                <w:sz w:val="2"/>
                <w:szCs w:val="2"/>
                <w:color w:val="auto"/>
              </w:rPr>
            </w:pPr>
          </w:p>
        </w:tc>
        <w:tc>
          <w:tcPr>
            <w:tcW w:w="180" w:type="dxa"/>
            <w:vAlign w:val="bottom"/>
            <w:tcBorders>
              <w:top w:val="single" w:sz="8" w:color="E3E5F3"/>
            </w:tcBorders>
            <w:shd w:val="clear" w:color="auto" w:fill="E3E5F3"/>
          </w:tcPr>
          <w:p>
            <w:pPr>
              <w:spacing w:after="0"/>
              <w:rPr>
                <w:sz w:val="2"/>
                <w:szCs w:val="2"/>
                <w:color w:val="auto"/>
              </w:rPr>
            </w:pPr>
          </w:p>
        </w:tc>
        <w:tc>
          <w:tcPr>
            <w:tcW w:w="20" w:type="dxa"/>
            <w:vAlign w:val="bottom"/>
            <w:tcBorders>
              <w:top w:val="single" w:sz="8" w:color="E3E5F3"/>
            </w:tcBorders>
            <w:shd w:val="clear" w:color="auto" w:fill="E3E5F3"/>
          </w:tcPr>
          <w:p>
            <w:pPr>
              <w:spacing w:after="0"/>
              <w:rPr>
                <w:sz w:val="2"/>
                <w:szCs w:val="2"/>
                <w:color w:val="auto"/>
              </w:rPr>
            </w:pPr>
          </w:p>
        </w:tc>
        <w:tc>
          <w:tcPr>
            <w:tcW w:w="280" w:type="dxa"/>
            <w:vAlign w:val="bottom"/>
            <w:tcBorders>
              <w:top w:val="single" w:sz="8" w:color="E3E5F3"/>
              <w:right w:val="single" w:sz="8" w:color="E3E5F3"/>
            </w:tcBorders>
            <w:shd w:val="clear" w:color="auto" w:fill="E3E5F3"/>
          </w:tcPr>
          <w:p>
            <w:pPr>
              <w:spacing w:after="0"/>
              <w:rPr>
                <w:sz w:val="2"/>
                <w:szCs w:val="2"/>
                <w:color w:val="auto"/>
              </w:rPr>
            </w:pPr>
          </w:p>
        </w:tc>
        <w:tc>
          <w:tcPr>
            <w:tcW w:w="100" w:type="dxa"/>
            <w:vAlign w:val="bottom"/>
            <w:tcBorders>
              <w:top w:val="single" w:sz="8" w:color="E3E5F3"/>
            </w:tcBorders>
            <w:shd w:val="clear" w:color="auto" w:fill="E3E5F3"/>
          </w:tcPr>
          <w:p>
            <w:pPr>
              <w:spacing w:after="0"/>
              <w:rPr>
                <w:sz w:val="2"/>
                <w:szCs w:val="2"/>
                <w:color w:val="auto"/>
              </w:rPr>
            </w:pPr>
          </w:p>
        </w:tc>
        <w:tc>
          <w:tcPr>
            <w:tcW w:w="100" w:type="dxa"/>
            <w:vAlign w:val="bottom"/>
            <w:tcBorders>
              <w:top w:val="single" w:sz="8" w:color="E3E5F3"/>
              <w:right w:val="single" w:sz="8" w:color="E3E5F3"/>
            </w:tcBorders>
            <w:shd w:val="clear" w:color="auto" w:fill="E3E5F3"/>
          </w:tcPr>
          <w:p>
            <w:pPr>
              <w:spacing w:after="0"/>
              <w:rPr>
                <w:sz w:val="2"/>
                <w:szCs w:val="2"/>
                <w:color w:val="auto"/>
              </w:rPr>
            </w:pPr>
          </w:p>
        </w:tc>
        <w:tc>
          <w:tcPr>
            <w:tcW w:w="200" w:type="dxa"/>
            <w:vAlign w:val="bottom"/>
            <w:tcBorders>
              <w:top w:val="single" w:sz="8" w:color="E3E5F3"/>
              <w:right w:val="single" w:sz="8" w:color="E3E5F3"/>
            </w:tcBorders>
            <w:shd w:val="clear" w:color="auto" w:fill="E3E5F3"/>
          </w:tcPr>
          <w:p>
            <w:pPr>
              <w:spacing w:after="0"/>
              <w:rPr>
                <w:sz w:val="2"/>
                <w:szCs w:val="2"/>
                <w:color w:val="auto"/>
              </w:rPr>
            </w:pPr>
          </w:p>
        </w:tc>
        <w:tc>
          <w:tcPr>
            <w:tcW w:w="180" w:type="dxa"/>
            <w:vAlign w:val="bottom"/>
            <w:tcBorders>
              <w:top w:val="single" w:sz="8" w:color="0000EE"/>
            </w:tcBorders>
            <w:shd w:val="clear" w:color="auto" w:fill="E3E5F3"/>
          </w:tcPr>
          <w:p>
            <w:pPr>
              <w:spacing w:after="0"/>
              <w:rPr>
                <w:sz w:val="2"/>
                <w:szCs w:val="2"/>
                <w:color w:val="auto"/>
              </w:rPr>
            </w:pPr>
          </w:p>
        </w:tc>
        <w:tc>
          <w:tcPr>
            <w:tcW w:w="80" w:type="dxa"/>
            <w:vAlign w:val="bottom"/>
            <w:tcBorders>
              <w:top w:val="single" w:sz="8" w:color="E3E5F3"/>
            </w:tcBorders>
            <w:shd w:val="clear" w:color="auto" w:fill="E3E5F3"/>
          </w:tcPr>
          <w:p>
            <w:pPr>
              <w:spacing w:after="0"/>
              <w:rPr>
                <w:sz w:val="2"/>
                <w:szCs w:val="2"/>
                <w:color w:val="auto"/>
              </w:rPr>
            </w:pPr>
          </w:p>
        </w:tc>
        <w:tc>
          <w:tcPr>
            <w:tcW w:w="180" w:type="dxa"/>
            <w:vAlign w:val="bottom"/>
            <w:tcBorders>
              <w:top w:val="single" w:sz="8" w:color="E3E5F3"/>
            </w:tcBorders>
            <w:shd w:val="clear" w:color="auto" w:fill="E3E5F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60" w:type="dxa"/>
            <w:vAlign w:val="bottom"/>
            <w:shd w:val="clear" w:color="auto" w:fill="E3E5F3"/>
          </w:tcPr>
          <w:p>
            <w:pPr>
              <w:spacing w:after="0"/>
              <w:rPr>
                <w:sz w:val="17"/>
                <w:szCs w:val="17"/>
                <w:color w:val="auto"/>
              </w:rPr>
            </w:pPr>
          </w:p>
        </w:tc>
        <w:tc>
          <w:tcPr>
            <w:tcW w:w="3280" w:type="dxa"/>
            <w:vAlign w:val="bottom"/>
            <w:tcBorders>
              <w:right w:val="single" w:sz="8" w:color="E3E5F3"/>
            </w:tcBorders>
            <w:gridSpan w:val="15"/>
            <w:shd w:val="clear" w:color="auto" w:fill="E3E5F3"/>
          </w:tcPr>
          <w:p>
            <w:pPr>
              <w:spacing w:after="0"/>
              <w:rPr>
                <w:sz w:val="20"/>
                <w:szCs w:val="20"/>
                <w:color w:val="auto"/>
              </w:rPr>
            </w:pPr>
            <w:r>
              <w:rPr>
                <w:rFonts w:ascii="Arial" w:cs="Arial" w:eastAsia="Arial" w:hAnsi="Arial"/>
                <w:sz w:val="16"/>
                <w:szCs w:val="16"/>
                <w:color w:val="0000EE"/>
              </w:rPr>
              <w:t>Compensation Discussion and Analysis</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31</w:t>
            </w:r>
          </w:p>
        </w:tc>
        <w:tc>
          <w:tcPr>
            <w:tcW w:w="80" w:type="dxa"/>
            <w:vAlign w:val="bottom"/>
          </w:tcPr>
          <w:p>
            <w:pPr>
              <w:spacing w:after="0"/>
              <w:rPr>
                <w:sz w:val="17"/>
                <w:szCs w:val="17"/>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E3E5F3"/>
          </w:tcPr>
          <w:p>
            <w:pPr>
              <w:spacing w:after="0" w:line="20" w:lineRule="exact"/>
              <w:rPr>
                <w:sz w:val="1"/>
                <w:szCs w:val="1"/>
                <w:color w:val="auto"/>
              </w:rPr>
            </w:pPr>
          </w:p>
        </w:tc>
        <w:tc>
          <w:tcPr>
            <w:tcW w:w="20" w:type="dxa"/>
            <w:vAlign w:val="bottom"/>
            <w:shd w:val="clear" w:color="auto" w:fill="E3E5F3"/>
          </w:tcPr>
          <w:p>
            <w:pPr>
              <w:spacing w:after="0" w:line="20" w:lineRule="exact"/>
              <w:rPr>
                <w:sz w:val="1"/>
                <w:szCs w:val="1"/>
                <w:color w:val="auto"/>
              </w:rPr>
            </w:pPr>
          </w:p>
        </w:tc>
        <w:tc>
          <w:tcPr>
            <w:tcW w:w="28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shd w:val="clear" w:color="auto" w:fill="E3E5F3"/>
          </w:tcPr>
          <w:p>
            <w:pPr>
              <w:spacing w:after="0"/>
              <w:rPr>
                <w:sz w:val="21"/>
                <w:szCs w:val="21"/>
                <w:color w:val="auto"/>
              </w:rPr>
            </w:pPr>
          </w:p>
        </w:tc>
        <w:tc>
          <w:tcPr>
            <w:tcW w:w="2800" w:type="dxa"/>
            <w:vAlign w:val="bottom"/>
            <w:gridSpan w:val="12"/>
            <w:shd w:val="clear" w:color="auto" w:fill="E3E5F3"/>
          </w:tcPr>
          <w:p>
            <w:pPr>
              <w:spacing w:after="0"/>
              <w:rPr>
                <w:sz w:val="20"/>
                <w:szCs w:val="20"/>
                <w:color w:val="auto"/>
              </w:rPr>
            </w:pPr>
            <w:r>
              <w:rPr>
                <w:rFonts w:ascii="Arial" w:cs="Arial" w:eastAsia="Arial" w:hAnsi="Arial"/>
                <w:sz w:val="16"/>
                <w:szCs w:val="16"/>
                <w:color w:val="0000EE"/>
              </w:rPr>
              <w:t>Executive Summary</w:t>
            </w:r>
          </w:p>
        </w:tc>
        <w:tc>
          <w:tcPr>
            <w:tcW w:w="480" w:type="dxa"/>
            <w:vAlign w:val="bottom"/>
            <w:tcBorders>
              <w:right w:val="single" w:sz="8" w:color="E3E5F3"/>
            </w:tcBorders>
            <w:gridSpan w:val="3"/>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31</w:t>
            </w:r>
          </w:p>
        </w:tc>
        <w:tc>
          <w:tcPr>
            <w:tcW w:w="8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Borders>
              <w:right w:val="single" w:sz="8" w:color="E3E5F3"/>
            </w:tcBorders>
            <w:gridSpan w:val="2"/>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140" w:type="dxa"/>
            <w:vAlign w:val="bottom"/>
            <w:tcBorders>
              <w:right w:val="single" w:sz="8" w:color="E3E5F3"/>
            </w:tcBorders>
            <w:shd w:val="clear" w:color="auto" w:fill="E3E5F3"/>
          </w:tcPr>
          <w:p>
            <w:pPr>
              <w:spacing w:after="0" w:line="20" w:lineRule="exact"/>
              <w:rPr>
                <w:sz w:val="1"/>
                <w:szCs w:val="1"/>
                <w:color w:val="auto"/>
              </w:rPr>
            </w:pPr>
          </w:p>
        </w:tc>
        <w:tc>
          <w:tcPr>
            <w:tcW w:w="120" w:type="dxa"/>
            <w:vAlign w:val="bottom"/>
            <w:shd w:val="clear" w:color="auto" w:fill="E3E5F3"/>
          </w:tcPr>
          <w:p>
            <w:pPr>
              <w:spacing w:after="0" w:line="20" w:lineRule="exact"/>
              <w:rPr>
                <w:sz w:val="1"/>
                <w:szCs w:val="1"/>
                <w:color w:val="auto"/>
              </w:rPr>
            </w:pPr>
          </w:p>
        </w:tc>
        <w:tc>
          <w:tcPr>
            <w:tcW w:w="340" w:type="dxa"/>
            <w:vAlign w:val="bottom"/>
            <w:gridSpan w:val="2"/>
            <w:shd w:val="clear" w:color="auto" w:fill="E3E5F3"/>
          </w:tcPr>
          <w:p>
            <w:pPr>
              <w:spacing w:after="0" w:line="20" w:lineRule="exact"/>
              <w:rPr>
                <w:sz w:val="1"/>
                <w:szCs w:val="1"/>
                <w:color w:val="auto"/>
              </w:rPr>
            </w:pPr>
          </w:p>
        </w:tc>
        <w:tc>
          <w:tcPr>
            <w:tcW w:w="20" w:type="dxa"/>
            <w:vAlign w:val="bottom"/>
            <w:shd w:val="clear" w:color="auto" w:fill="E3E5F3"/>
          </w:tcPr>
          <w:p>
            <w:pPr>
              <w:spacing w:after="0" w:line="20" w:lineRule="exact"/>
              <w:rPr>
                <w:sz w:val="1"/>
                <w:szCs w:val="1"/>
                <w:color w:val="auto"/>
              </w:rPr>
            </w:pPr>
          </w:p>
        </w:tc>
        <w:tc>
          <w:tcPr>
            <w:tcW w:w="28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shd w:val="clear" w:color="auto" w:fill="E3E5F3"/>
          </w:tcPr>
          <w:p>
            <w:pPr>
              <w:spacing w:after="0"/>
              <w:rPr>
                <w:sz w:val="21"/>
                <w:szCs w:val="21"/>
                <w:color w:val="auto"/>
              </w:rPr>
            </w:pPr>
          </w:p>
        </w:tc>
        <w:tc>
          <w:tcPr>
            <w:tcW w:w="1860" w:type="dxa"/>
            <w:vAlign w:val="bottom"/>
            <w:tcBorders>
              <w:right w:val="single" w:sz="8" w:color="E3E5F3"/>
            </w:tcBorders>
            <w:gridSpan w:val="6"/>
            <w:shd w:val="clear" w:color="auto" w:fill="E3E5F3"/>
          </w:tcPr>
          <w:p>
            <w:pPr>
              <w:spacing w:after="0"/>
              <w:rPr>
                <w:sz w:val="20"/>
                <w:szCs w:val="20"/>
                <w:color w:val="auto"/>
              </w:rPr>
            </w:pPr>
            <w:r>
              <w:rPr>
                <w:rFonts w:ascii="Arial" w:cs="Arial" w:eastAsia="Arial" w:hAnsi="Arial"/>
                <w:sz w:val="16"/>
                <w:szCs w:val="16"/>
                <w:color w:val="0000EE"/>
              </w:rPr>
              <w:t>2021 Business Highlights</w:t>
            </w:r>
          </w:p>
        </w:tc>
        <w:tc>
          <w:tcPr>
            <w:tcW w:w="1420" w:type="dxa"/>
            <w:vAlign w:val="bottom"/>
            <w:tcBorders>
              <w:right w:val="single" w:sz="8" w:color="E3E5F3"/>
            </w:tcBorders>
            <w:gridSpan w:val="9"/>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32</w:t>
            </w:r>
          </w:p>
        </w:tc>
        <w:tc>
          <w:tcPr>
            <w:tcW w:w="8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E3E5F3"/>
            </w:tcBorders>
            <w:shd w:val="clear" w:color="auto" w:fill="0000EE"/>
          </w:tcPr>
          <w:p>
            <w:pPr>
              <w:spacing w:after="0" w:line="20" w:lineRule="exact"/>
              <w:rPr>
                <w:sz w:val="1"/>
                <w:szCs w:val="1"/>
                <w:color w:val="auto"/>
              </w:rPr>
            </w:pPr>
          </w:p>
        </w:tc>
        <w:tc>
          <w:tcPr>
            <w:tcW w:w="200" w:type="dxa"/>
            <w:vAlign w:val="bottom"/>
            <w:tcBorders>
              <w:right w:val="single" w:sz="8" w:color="E3E5F3"/>
            </w:tcBorders>
            <w:gridSpan w:val="2"/>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140" w:type="dxa"/>
            <w:vAlign w:val="bottom"/>
            <w:tcBorders>
              <w:right w:val="single" w:sz="8" w:color="E3E5F3"/>
            </w:tcBorders>
            <w:shd w:val="clear" w:color="auto" w:fill="E3E5F3"/>
          </w:tcPr>
          <w:p>
            <w:pPr>
              <w:spacing w:after="0" w:line="20" w:lineRule="exact"/>
              <w:rPr>
                <w:sz w:val="1"/>
                <w:szCs w:val="1"/>
                <w:color w:val="auto"/>
              </w:rPr>
            </w:pPr>
          </w:p>
        </w:tc>
        <w:tc>
          <w:tcPr>
            <w:tcW w:w="120" w:type="dxa"/>
            <w:vAlign w:val="bottom"/>
            <w:shd w:val="clear" w:color="auto" w:fill="E3E5F3"/>
          </w:tcPr>
          <w:p>
            <w:pPr>
              <w:spacing w:after="0" w:line="20" w:lineRule="exact"/>
              <w:rPr>
                <w:sz w:val="1"/>
                <w:szCs w:val="1"/>
                <w:color w:val="auto"/>
              </w:rPr>
            </w:pPr>
          </w:p>
        </w:tc>
        <w:tc>
          <w:tcPr>
            <w:tcW w:w="340" w:type="dxa"/>
            <w:vAlign w:val="bottom"/>
            <w:gridSpan w:val="2"/>
            <w:shd w:val="clear" w:color="auto" w:fill="E3E5F3"/>
          </w:tcPr>
          <w:p>
            <w:pPr>
              <w:spacing w:after="0" w:line="20" w:lineRule="exact"/>
              <w:rPr>
                <w:sz w:val="1"/>
                <w:szCs w:val="1"/>
                <w:color w:val="auto"/>
              </w:rPr>
            </w:pPr>
          </w:p>
        </w:tc>
        <w:tc>
          <w:tcPr>
            <w:tcW w:w="20" w:type="dxa"/>
            <w:vAlign w:val="bottom"/>
            <w:shd w:val="clear" w:color="auto" w:fill="E3E5F3"/>
          </w:tcPr>
          <w:p>
            <w:pPr>
              <w:spacing w:after="0" w:line="20" w:lineRule="exact"/>
              <w:rPr>
                <w:sz w:val="1"/>
                <w:szCs w:val="1"/>
                <w:color w:val="auto"/>
              </w:rPr>
            </w:pPr>
          </w:p>
        </w:tc>
        <w:tc>
          <w:tcPr>
            <w:tcW w:w="28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shd w:val="clear" w:color="auto" w:fill="E3E5F3"/>
          </w:tcPr>
          <w:p>
            <w:pPr>
              <w:spacing w:after="0"/>
              <w:rPr>
                <w:sz w:val="21"/>
                <w:szCs w:val="21"/>
                <w:color w:val="auto"/>
              </w:rPr>
            </w:pPr>
          </w:p>
        </w:tc>
        <w:tc>
          <w:tcPr>
            <w:tcW w:w="2520" w:type="dxa"/>
            <w:vAlign w:val="bottom"/>
            <w:tcBorders>
              <w:right w:val="single" w:sz="8" w:color="E3E5F3"/>
            </w:tcBorders>
            <w:gridSpan w:val="10"/>
            <w:shd w:val="clear" w:color="auto" w:fill="E3E5F3"/>
          </w:tcPr>
          <w:p>
            <w:pPr>
              <w:spacing w:after="0"/>
              <w:rPr>
                <w:sz w:val="20"/>
                <w:szCs w:val="20"/>
                <w:color w:val="auto"/>
              </w:rPr>
            </w:pPr>
            <w:r>
              <w:rPr>
                <w:rFonts w:ascii="Arial" w:cs="Arial" w:eastAsia="Arial" w:hAnsi="Arial"/>
                <w:sz w:val="16"/>
                <w:szCs w:val="16"/>
                <w:color w:val="0000EE"/>
                <w:w w:val="99"/>
              </w:rPr>
              <w:t>2021 Key Compensation Decisions</w:t>
            </w:r>
          </w:p>
        </w:tc>
        <w:tc>
          <w:tcPr>
            <w:tcW w:w="760" w:type="dxa"/>
            <w:vAlign w:val="bottom"/>
            <w:tcBorders>
              <w:right w:val="single" w:sz="8" w:color="E3E5F3"/>
            </w:tcBorders>
            <w:gridSpan w:val="5"/>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33</w:t>
            </w:r>
          </w:p>
        </w:tc>
        <w:tc>
          <w:tcPr>
            <w:tcW w:w="8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E3E5F3"/>
            </w:tcBorders>
            <w:shd w:val="clear" w:color="auto" w:fill="0000EE"/>
          </w:tcPr>
          <w:p>
            <w:pPr>
              <w:spacing w:after="0" w:line="20" w:lineRule="exact"/>
              <w:rPr>
                <w:sz w:val="1"/>
                <w:szCs w:val="1"/>
                <w:color w:val="auto"/>
              </w:rPr>
            </w:pPr>
          </w:p>
        </w:tc>
        <w:tc>
          <w:tcPr>
            <w:tcW w:w="120" w:type="dxa"/>
            <w:vAlign w:val="bottom"/>
            <w:shd w:val="clear" w:color="auto" w:fill="E3E5F3"/>
          </w:tcPr>
          <w:p>
            <w:pPr>
              <w:spacing w:after="0" w:line="20" w:lineRule="exact"/>
              <w:rPr>
                <w:sz w:val="1"/>
                <w:szCs w:val="1"/>
                <w:color w:val="auto"/>
              </w:rPr>
            </w:pPr>
          </w:p>
        </w:tc>
        <w:tc>
          <w:tcPr>
            <w:tcW w:w="340" w:type="dxa"/>
            <w:vAlign w:val="bottom"/>
            <w:gridSpan w:val="2"/>
            <w:shd w:val="clear" w:color="auto" w:fill="E3E5F3"/>
          </w:tcPr>
          <w:p>
            <w:pPr>
              <w:spacing w:after="0" w:line="20" w:lineRule="exact"/>
              <w:rPr>
                <w:sz w:val="1"/>
                <w:szCs w:val="1"/>
                <w:color w:val="auto"/>
              </w:rPr>
            </w:pPr>
          </w:p>
        </w:tc>
        <w:tc>
          <w:tcPr>
            <w:tcW w:w="20" w:type="dxa"/>
            <w:vAlign w:val="bottom"/>
            <w:shd w:val="clear" w:color="auto" w:fill="E3E5F3"/>
          </w:tcPr>
          <w:p>
            <w:pPr>
              <w:spacing w:after="0" w:line="20" w:lineRule="exact"/>
              <w:rPr>
                <w:sz w:val="1"/>
                <w:szCs w:val="1"/>
                <w:color w:val="auto"/>
              </w:rPr>
            </w:pPr>
          </w:p>
        </w:tc>
        <w:tc>
          <w:tcPr>
            <w:tcW w:w="28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shd w:val="clear" w:color="auto" w:fill="E3E5F3"/>
          </w:tcPr>
          <w:p>
            <w:pPr>
              <w:spacing w:after="0"/>
              <w:rPr>
                <w:sz w:val="21"/>
                <w:szCs w:val="21"/>
                <w:color w:val="auto"/>
              </w:rPr>
            </w:pPr>
          </w:p>
        </w:tc>
        <w:tc>
          <w:tcPr>
            <w:tcW w:w="1860" w:type="dxa"/>
            <w:vAlign w:val="bottom"/>
            <w:tcBorders>
              <w:right w:val="single" w:sz="8" w:color="E3E5F3"/>
            </w:tcBorders>
            <w:gridSpan w:val="6"/>
            <w:shd w:val="clear" w:color="auto" w:fill="E3E5F3"/>
          </w:tcPr>
          <w:p>
            <w:pPr>
              <w:spacing w:after="0"/>
              <w:rPr>
                <w:sz w:val="20"/>
                <w:szCs w:val="20"/>
                <w:color w:val="auto"/>
              </w:rPr>
            </w:pPr>
            <w:r>
              <w:rPr>
                <w:rFonts w:ascii="Arial" w:cs="Arial" w:eastAsia="Arial" w:hAnsi="Arial"/>
                <w:sz w:val="16"/>
                <w:szCs w:val="16"/>
                <w:color w:val="0000EE"/>
                <w:w w:val="97"/>
              </w:rPr>
              <w:t>Compensation Philosophy</w:t>
            </w:r>
          </w:p>
        </w:tc>
        <w:tc>
          <w:tcPr>
            <w:tcW w:w="660" w:type="dxa"/>
            <w:vAlign w:val="bottom"/>
            <w:tcBorders>
              <w:right w:val="single" w:sz="8" w:color="E3E5F3"/>
            </w:tcBorders>
            <w:gridSpan w:val="4"/>
            <w:shd w:val="clear" w:color="auto" w:fill="E3E5F3"/>
          </w:tcPr>
          <w:p>
            <w:pPr>
              <w:spacing w:after="0"/>
              <w:rPr>
                <w:sz w:val="21"/>
                <w:szCs w:val="21"/>
                <w:color w:val="auto"/>
              </w:rPr>
            </w:pPr>
          </w:p>
        </w:tc>
        <w:tc>
          <w:tcPr>
            <w:tcW w:w="760" w:type="dxa"/>
            <w:vAlign w:val="bottom"/>
            <w:tcBorders>
              <w:right w:val="single" w:sz="8" w:color="E3E5F3"/>
            </w:tcBorders>
            <w:gridSpan w:val="5"/>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34</w:t>
            </w:r>
          </w:p>
        </w:tc>
        <w:tc>
          <w:tcPr>
            <w:tcW w:w="8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E3E5F3"/>
            </w:tcBorders>
            <w:gridSpan w:val="2"/>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260" w:type="dxa"/>
            <w:vAlign w:val="bottom"/>
            <w:gridSpan w:val="2"/>
            <w:shd w:val="clear" w:color="auto" w:fill="E3E5F3"/>
          </w:tcPr>
          <w:p>
            <w:pPr>
              <w:spacing w:after="0" w:line="20" w:lineRule="exact"/>
              <w:rPr>
                <w:sz w:val="1"/>
                <w:szCs w:val="1"/>
                <w:color w:val="auto"/>
              </w:rPr>
            </w:pPr>
          </w:p>
        </w:tc>
        <w:tc>
          <w:tcPr>
            <w:tcW w:w="340" w:type="dxa"/>
            <w:vAlign w:val="bottom"/>
            <w:gridSpan w:val="2"/>
            <w:shd w:val="clear" w:color="auto" w:fill="E3E5F3"/>
          </w:tcPr>
          <w:p>
            <w:pPr>
              <w:spacing w:after="0" w:line="20" w:lineRule="exact"/>
              <w:rPr>
                <w:sz w:val="1"/>
                <w:szCs w:val="1"/>
                <w:color w:val="auto"/>
              </w:rPr>
            </w:pPr>
          </w:p>
        </w:tc>
        <w:tc>
          <w:tcPr>
            <w:tcW w:w="20" w:type="dxa"/>
            <w:vAlign w:val="bottom"/>
            <w:shd w:val="clear" w:color="auto" w:fill="E3E5F3"/>
          </w:tcPr>
          <w:p>
            <w:pPr>
              <w:spacing w:after="0" w:line="20" w:lineRule="exact"/>
              <w:rPr>
                <w:sz w:val="1"/>
                <w:szCs w:val="1"/>
                <w:color w:val="auto"/>
              </w:rPr>
            </w:pPr>
          </w:p>
        </w:tc>
        <w:tc>
          <w:tcPr>
            <w:tcW w:w="28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tcBorders>
              <w:bottom w:val="single" w:sz="8" w:color="E3E5F3"/>
            </w:tcBorders>
            <w:shd w:val="clear" w:color="auto" w:fill="E3E5F3"/>
          </w:tcPr>
          <w:p>
            <w:pPr>
              <w:spacing w:after="0"/>
              <w:rPr>
                <w:sz w:val="21"/>
                <w:szCs w:val="21"/>
                <w:color w:val="auto"/>
              </w:rPr>
            </w:pPr>
          </w:p>
        </w:tc>
        <w:tc>
          <w:tcPr>
            <w:tcW w:w="2980" w:type="dxa"/>
            <w:vAlign w:val="bottom"/>
            <w:tcBorders>
              <w:bottom w:val="single" w:sz="8" w:color="0000EE"/>
            </w:tcBorders>
            <w:gridSpan w:val="13"/>
            <w:shd w:val="clear" w:color="auto" w:fill="E3E5F3"/>
          </w:tcPr>
          <w:p>
            <w:pPr>
              <w:spacing w:after="0"/>
              <w:rPr>
                <w:sz w:val="20"/>
                <w:szCs w:val="20"/>
                <w:color w:val="auto"/>
              </w:rPr>
            </w:pPr>
            <w:r>
              <w:rPr>
                <w:rFonts w:ascii="Arial" w:cs="Arial" w:eastAsia="Arial" w:hAnsi="Arial"/>
                <w:sz w:val="16"/>
                <w:szCs w:val="16"/>
                <w:color w:val="0000EE"/>
                <w:w w:val="99"/>
              </w:rPr>
              <w:t>Elements of Our Executive Compensation</w:t>
            </w:r>
          </w:p>
        </w:tc>
        <w:tc>
          <w:tcPr>
            <w:tcW w:w="20" w:type="dxa"/>
            <w:vAlign w:val="bottom"/>
            <w:tcBorders>
              <w:bottom w:val="single" w:sz="8" w:color="E3E5F3"/>
            </w:tcBorders>
            <w:shd w:val="clear" w:color="auto" w:fill="E3E5F3"/>
          </w:tcPr>
          <w:p>
            <w:pPr>
              <w:spacing w:after="0"/>
              <w:rPr>
                <w:sz w:val="21"/>
                <w:szCs w:val="21"/>
                <w:color w:val="auto"/>
              </w:rPr>
            </w:pPr>
          </w:p>
        </w:tc>
        <w:tc>
          <w:tcPr>
            <w:tcW w:w="280" w:type="dxa"/>
            <w:vAlign w:val="bottom"/>
            <w:tcBorders>
              <w:bottom w:val="single" w:sz="8" w:color="E3E5F3"/>
              <w:right w:val="single" w:sz="8" w:color="E3E5F3"/>
            </w:tcBorders>
            <w:shd w:val="clear" w:color="auto" w:fill="E3E5F3"/>
          </w:tcPr>
          <w:p>
            <w:pPr>
              <w:spacing w:after="0"/>
              <w:rPr>
                <w:sz w:val="21"/>
                <w:szCs w:val="21"/>
                <w:color w:val="auto"/>
              </w:rPr>
            </w:pPr>
          </w:p>
        </w:tc>
        <w:tc>
          <w:tcPr>
            <w:tcW w:w="100" w:type="dxa"/>
            <w:vAlign w:val="bottom"/>
            <w:tcBorders>
              <w:bottom w:val="single" w:sz="8" w:color="E3E5F3"/>
            </w:tcBorders>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E3E5F3"/>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67"/>
        </w:trPr>
        <w:tc>
          <w:tcPr>
            <w:tcW w:w="160" w:type="dxa"/>
            <w:vAlign w:val="bottom"/>
            <w:shd w:val="clear" w:color="auto" w:fill="E3E5F3"/>
          </w:tcPr>
          <w:p>
            <w:pPr>
              <w:spacing w:after="0"/>
              <w:rPr>
                <w:sz w:val="14"/>
                <w:szCs w:val="14"/>
                <w:color w:val="auto"/>
              </w:rPr>
            </w:pPr>
          </w:p>
        </w:tc>
        <w:tc>
          <w:tcPr>
            <w:tcW w:w="260" w:type="dxa"/>
            <w:vAlign w:val="bottom"/>
            <w:shd w:val="clear" w:color="auto" w:fill="E3E5F3"/>
          </w:tcPr>
          <w:p>
            <w:pPr>
              <w:spacing w:after="0"/>
              <w:rPr>
                <w:sz w:val="14"/>
                <w:szCs w:val="14"/>
                <w:color w:val="auto"/>
              </w:rPr>
            </w:pPr>
          </w:p>
        </w:tc>
        <w:tc>
          <w:tcPr>
            <w:tcW w:w="800" w:type="dxa"/>
            <w:vAlign w:val="bottom"/>
            <w:tcBorders>
              <w:right w:val="single" w:sz="8" w:color="E3E5F3"/>
            </w:tcBorders>
            <w:shd w:val="clear" w:color="auto" w:fill="E3E5F3"/>
          </w:tcPr>
          <w:p>
            <w:pPr>
              <w:spacing w:after="0" w:line="168" w:lineRule="exact"/>
              <w:rPr>
                <w:sz w:val="20"/>
                <w:szCs w:val="20"/>
                <w:color w:val="auto"/>
              </w:rPr>
            </w:pPr>
            <w:r>
              <w:rPr>
                <w:rFonts w:ascii="Arial" w:cs="Arial" w:eastAsia="Arial" w:hAnsi="Arial"/>
                <w:sz w:val="16"/>
                <w:szCs w:val="16"/>
                <w:color w:val="0000EE"/>
              </w:rPr>
              <w:t>Program</w:t>
            </w:r>
          </w:p>
        </w:tc>
        <w:tc>
          <w:tcPr>
            <w:tcW w:w="2220" w:type="dxa"/>
            <w:vAlign w:val="bottom"/>
            <w:tcBorders>
              <w:right w:val="single" w:sz="8" w:color="E3E5F3"/>
            </w:tcBorders>
            <w:gridSpan w:val="13"/>
            <w:shd w:val="clear" w:color="auto" w:fill="E3E5F3"/>
          </w:tcPr>
          <w:p>
            <w:pPr>
              <w:spacing w:after="0"/>
              <w:rPr>
                <w:sz w:val="14"/>
                <w:szCs w:val="14"/>
                <w:color w:val="auto"/>
              </w:rPr>
            </w:pPr>
          </w:p>
        </w:tc>
        <w:tc>
          <w:tcPr>
            <w:tcW w:w="100" w:type="dxa"/>
            <w:vAlign w:val="bottom"/>
            <w:shd w:val="clear" w:color="auto" w:fill="E3E5F3"/>
          </w:tcPr>
          <w:p>
            <w:pPr>
              <w:spacing w:after="0"/>
              <w:rPr>
                <w:sz w:val="14"/>
                <w:szCs w:val="14"/>
                <w:color w:val="auto"/>
              </w:rPr>
            </w:pPr>
          </w:p>
        </w:tc>
        <w:tc>
          <w:tcPr>
            <w:tcW w:w="100" w:type="dxa"/>
            <w:vAlign w:val="bottom"/>
            <w:tcBorders>
              <w:right w:val="single" w:sz="8" w:color="E3E5F3"/>
            </w:tcBorders>
            <w:shd w:val="clear" w:color="auto" w:fill="E3E5F3"/>
          </w:tcPr>
          <w:p>
            <w:pPr>
              <w:spacing w:after="0"/>
              <w:rPr>
                <w:sz w:val="14"/>
                <w:szCs w:val="14"/>
                <w:color w:val="auto"/>
              </w:rPr>
            </w:pPr>
          </w:p>
        </w:tc>
        <w:tc>
          <w:tcPr>
            <w:tcW w:w="380" w:type="dxa"/>
            <w:vAlign w:val="bottom"/>
            <w:gridSpan w:val="2"/>
          </w:tcPr>
          <w:p>
            <w:pPr>
              <w:jc w:val="right"/>
              <w:spacing w:after="0" w:line="168" w:lineRule="exact"/>
              <w:rPr>
                <w:sz w:val="20"/>
                <w:szCs w:val="20"/>
                <w:color w:val="auto"/>
              </w:rPr>
            </w:pPr>
            <w:r>
              <w:rPr>
                <w:rFonts w:ascii="Arial" w:cs="Arial" w:eastAsia="Arial" w:hAnsi="Arial"/>
                <w:sz w:val="16"/>
                <w:szCs w:val="16"/>
                <w:color w:val="0000EE"/>
              </w:rPr>
              <w:t>35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260" w:type="dxa"/>
            <w:vAlign w:val="bottom"/>
            <w:shd w:val="clear" w:color="auto" w:fill="E3E5F3"/>
          </w:tcPr>
          <w:p>
            <w:pPr>
              <w:spacing w:after="0" w:line="20" w:lineRule="exact"/>
              <w:rPr>
                <w:sz w:val="1"/>
                <w:szCs w:val="1"/>
                <w:color w:val="auto"/>
              </w:rPr>
            </w:pPr>
          </w:p>
        </w:tc>
        <w:tc>
          <w:tcPr>
            <w:tcW w:w="800" w:type="dxa"/>
            <w:vAlign w:val="bottom"/>
            <w:tcBorders>
              <w:right w:val="single" w:sz="8" w:color="E3E5F3"/>
            </w:tcBorders>
            <w:shd w:val="clear" w:color="auto" w:fill="0000EE"/>
          </w:tcPr>
          <w:p>
            <w:pPr>
              <w:spacing w:after="0" w:line="20" w:lineRule="exact"/>
              <w:rPr>
                <w:sz w:val="1"/>
                <w:szCs w:val="1"/>
                <w:color w:val="auto"/>
              </w:rPr>
            </w:pPr>
          </w:p>
        </w:tc>
        <w:tc>
          <w:tcPr>
            <w:tcW w:w="260" w:type="dxa"/>
            <w:vAlign w:val="bottom"/>
            <w:tcBorders>
              <w:right w:val="single" w:sz="8" w:color="E3E5F3"/>
            </w:tcBorders>
            <w:shd w:val="clear" w:color="auto" w:fill="E3E5F3"/>
          </w:tcPr>
          <w:p>
            <w:pPr>
              <w:spacing w:after="0" w:line="20" w:lineRule="exact"/>
              <w:rPr>
                <w:sz w:val="1"/>
                <w:szCs w:val="1"/>
                <w:color w:val="auto"/>
              </w:rPr>
            </w:pPr>
          </w:p>
        </w:tc>
        <w:tc>
          <w:tcPr>
            <w:tcW w:w="160" w:type="dxa"/>
            <w:vAlign w:val="bottom"/>
            <w:tcBorders>
              <w:right w:val="single" w:sz="8" w:color="E3E5F3"/>
            </w:tcBorders>
            <w:shd w:val="clear" w:color="auto" w:fill="E3E5F3"/>
          </w:tcPr>
          <w:p>
            <w:pPr>
              <w:spacing w:after="0" w:line="20" w:lineRule="exact"/>
              <w:rPr>
                <w:sz w:val="1"/>
                <w:szCs w:val="1"/>
                <w:color w:val="auto"/>
              </w:rPr>
            </w:pPr>
          </w:p>
        </w:tc>
        <w:tc>
          <w:tcPr>
            <w:tcW w:w="18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gridSpan w:val="3"/>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260" w:type="dxa"/>
            <w:vAlign w:val="bottom"/>
            <w:gridSpan w:val="2"/>
            <w:shd w:val="clear" w:color="auto" w:fill="E3E5F3"/>
          </w:tcPr>
          <w:p>
            <w:pPr>
              <w:spacing w:after="0" w:line="20" w:lineRule="exact"/>
              <w:rPr>
                <w:sz w:val="1"/>
                <w:szCs w:val="1"/>
                <w:color w:val="auto"/>
              </w:rPr>
            </w:pPr>
          </w:p>
        </w:tc>
        <w:tc>
          <w:tcPr>
            <w:tcW w:w="360" w:type="dxa"/>
            <w:vAlign w:val="bottom"/>
            <w:gridSpan w:val="3"/>
            <w:shd w:val="clear" w:color="auto" w:fill="E3E5F3"/>
          </w:tcPr>
          <w:p>
            <w:pPr>
              <w:spacing w:after="0" w:line="20" w:lineRule="exact"/>
              <w:rPr>
                <w:sz w:val="1"/>
                <w:szCs w:val="1"/>
                <w:color w:val="auto"/>
              </w:rPr>
            </w:pPr>
          </w:p>
        </w:tc>
        <w:tc>
          <w:tcPr>
            <w:tcW w:w="28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shd w:val="clear" w:color="auto" w:fill="E3E5F3"/>
          </w:tcPr>
          <w:p>
            <w:pPr>
              <w:spacing w:after="0"/>
              <w:rPr>
                <w:sz w:val="21"/>
                <w:szCs w:val="21"/>
                <w:color w:val="auto"/>
              </w:rPr>
            </w:pPr>
          </w:p>
        </w:tc>
        <w:tc>
          <w:tcPr>
            <w:tcW w:w="2640" w:type="dxa"/>
            <w:vAlign w:val="bottom"/>
            <w:gridSpan w:val="11"/>
            <w:shd w:val="clear" w:color="auto" w:fill="E3E5F3"/>
          </w:tcPr>
          <w:p>
            <w:pPr>
              <w:spacing w:after="0"/>
              <w:rPr>
                <w:sz w:val="20"/>
                <w:szCs w:val="20"/>
                <w:color w:val="auto"/>
              </w:rPr>
            </w:pPr>
            <w:r>
              <w:rPr>
                <w:rFonts w:ascii="Arial" w:cs="Arial" w:eastAsia="Arial" w:hAnsi="Arial"/>
                <w:sz w:val="16"/>
                <w:szCs w:val="16"/>
                <w:color w:val="0000EE"/>
                <w:w w:val="99"/>
              </w:rPr>
              <w:t>Executive Compensation Procedures</w:t>
            </w:r>
          </w:p>
        </w:tc>
        <w:tc>
          <w:tcPr>
            <w:tcW w:w="640" w:type="dxa"/>
            <w:vAlign w:val="bottom"/>
            <w:tcBorders>
              <w:right w:val="single" w:sz="8" w:color="E3E5F3"/>
            </w:tcBorders>
            <w:gridSpan w:val="4"/>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36</w:t>
            </w:r>
          </w:p>
        </w:tc>
        <w:tc>
          <w:tcPr>
            <w:tcW w:w="8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E3E5F3"/>
          </w:tcPr>
          <w:p>
            <w:pPr>
              <w:spacing w:after="0" w:line="20" w:lineRule="exact"/>
              <w:rPr>
                <w:sz w:val="1"/>
                <w:szCs w:val="1"/>
                <w:color w:val="auto"/>
              </w:rPr>
            </w:pPr>
          </w:p>
        </w:tc>
        <w:tc>
          <w:tcPr>
            <w:tcW w:w="280" w:type="dxa"/>
            <w:vAlign w:val="bottom"/>
            <w:tcBorders>
              <w:right w:val="single" w:sz="8" w:color="E3E5F3"/>
            </w:tcBorders>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shd w:val="clear" w:color="auto" w:fill="E3E5F3"/>
          </w:tcPr>
          <w:p>
            <w:pPr>
              <w:spacing w:after="0"/>
              <w:rPr>
                <w:sz w:val="21"/>
                <w:szCs w:val="21"/>
                <w:color w:val="auto"/>
              </w:rPr>
            </w:pPr>
          </w:p>
        </w:tc>
        <w:tc>
          <w:tcPr>
            <w:tcW w:w="3280" w:type="dxa"/>
            <w:vAlign w:val="bottom"/>
            <w:tcBorders>
              <w:right w:val="single" w:sz="8" w:color="E3E5F3"/>
            </w:tcBorders>
            <w:gridSpan w:val="15"/>
            <w:shd w:val="clear" w:color="auto" w:fill="E3E5F3"/>
          </w:tcPr>
          <w:p>
            <w:pPr>
              <w:spacing w:after="0"/>
              <w:rPr>
                <w:sz w:val="20"/>
                <w:szCs w:val="20"/>
                <w:color w:val="auto"/>
              </w:rPr>
            </w:pPr>
            <w:r>
              <w:rPr>
                <w:rFonts w:ascii="Arial" w:cs="Arial" w:eastAsia="Arial" w:hAnsi="Arial"/>
                <w:sz w:val="16"/>
                <w:szCs w:val="16"/>
                <w:color w:val="0000EE"/>
                <w:w w:val="98"/>
              </w:rPr>
              <w:t>Advisory Vote to Approve NEO Compensation</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37</w:t>
            </w:r>
          </w:p>
        </w:tc>
        <w:tc>
          <w:tcPr>
            <w:tcW w:w="8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80" w:type="dxa"/>
            <w:vAlign w:val="bottom"/>
            <w:tcBorders>
              <w:right w:val="single" w:sz="8" w:color="E3E5F3"/>
            </w:tcBorders>
            <w:shd w:val="clear" w:color="auto" w:fill="0000EE"/>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60" w:type="dxa"/>
            <w:vAlign w:val="bottom"/>
            <w:tcBorders>
              <w:bottom w:val="single" w:sz="8" w:color="E3E5F3"/>
            </w:tcBorders>
            <w:shd w:val="clear" w:color="auto" w:fill="E3E5F3"/>
          </w:tcPr>
          <w:p>
            <w:pPr>
              <w:spacing w:after="0"/>
              <w:rPr>
                <w:sz w:val="22"/>
                <w:szCs w:val="22"/>
                <w:color w:val="auto"/>
              </w:rPr>
            </w:pPr>
          </w:p>
        </w:tc>
        <w:tc>
          <w:tcPr>
            <w:tcW w:w="3000" w:type="dxa"/>
            <w:vAlign w:val="bottom"/>
            <w:tcBorders>
              <w:bottom w:val="single" w:sz="8" w:color="0000EE"/>
            </w:tcBorders>
            <w:gridSpan w:val="14"/>
            <w:shd w:val="clear" w:color="auto" w:fill="E3E5F3"/>
          </w:tcPr>
          <w:p>
            <w:pPr>
              <w:spacing w:after="0"/>
              <w:rPr>
                <w:sz w:val="20"/>
                <w:szCs w:val="20"/>
                <w:color w:val="auto"/>
              </w:rPr>
            </w:pPr>
            <w:r>
              <w:rPr>
                <w:rFonts w:ascii="Arial" w:cs="Arial" w:eastAsia="Arial" w:hAnsi="Arial"/>
                <w:sz w:val="16"/>
                <w:szCs w:val="16"/>
                <w:color w:val="0000EE"/>
                <w:w w:val="99"/>
              </w:rPr>
              <w:t>Analysis of 2021 Executive Compensation</w:t>
            </w:r>
          </w:p>
        </w:tc>
        <w:tc>
          <w:tcPr>
            <w:tcW w:w="280" w:type="dxa"/>
            <w:vAlign w:val="bottom"/>
            <w:tcBorders>
              <w:bottom w:val="single" w:sz="8" w:color="E3E5F3"/>
              <w:right w:val="single" w:sz="8" w:color="E3E5F3"/>
            </w:tcBorders>
            <w:shd w:val="clear" w:color="auto" w:fill="E3E5F3"/>
          </w:tcPr>
          <w:p>
            <w:pPr>
              <w:spacing w:after="0"/>
              <w:rPr>
                <w:sz w:val="22"/>
                <w:szCs w:val="22"/>
                <w:color w:val="auto"/>
              </w:rPr>
            </w:pPr>
          </w:p>
        </w:tc>
        <w:tc>
          <w:tcPr>
            <w:tcW w:w="100" w:type="dxa"/>
            <w:vAlign w:val="bottom"/>
            <w:tcBorders>
              <w:bottom w:val="single" w:sz="8" w:color="E3E5F3"/>
            </w:tcBorders>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E3E5F3"/>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vMerge w:val="restart"/>
          </w:tcPr>
          <w:p>
            <w:pPr>
              <w:jc w:val="right"/>
              <w:spacing w:after="0"/>
              <w:rPr>
                <w:sz w:val="20"/>
                <w:szCs w:val="20"/>
                <w:color w:val="auto"/>
              </w:rPr>
            </w:pPr>
            <w:r>
              <w:rPr>
                <w:rFonts w:ascii="Arial" w:cs="Arial" w:eastAsia="Arial" w:hAnsi="Arial"/>
                <w:sz w:val="16"/>
                <w:szCs w:val="16"/>
                <w:color w:val="0000EE"/>
              </w:rPr>
              <w:t>38</w:t>
            </w:r>
          </w:p>
        </w:tc>
        <w:tc>
          <w:tcPr>
            <w:tcW w:w="80" w:type="dxa"/>
            <w:vAlign w:val="bottom"/>
          </w:tcPr>
          <w:p>
            <w:pPr>
              <w:spacing w:after="0"/>
              <w:rPr>
                <w:sz w:val="22"/>
                <w:szCs w:val="22"/>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61"/>
        </w:trPr>
        <w:tc>
          <w:tcPr>
            <w:tcW w:w="160" w:type="dxa"/>
            <w:vAlign w:val="bottom"/>
            <w:shd w:val="clear" w:color="auto" w:fill="E3E5F3"/>
          </w:tcPr>
          <w:p>
            <w:pPr>
              <w:spacing w:after="0"/>
              <w:rPr>
                <w:sz w:val="13"/>
                <w:szCs w:val="13"/>
                <w:color w:val="auto"/>
              </w:rPr>
            </w:pPr>
          </w:p>
        </w:tc>
        <w:tc>
          <w:tcPr>
            <w:tcW w:w="260" w:type="dxa"/>
            <w:vAlign w:val="bottom"/>
            <w:shd w:val="clear" w:color="auto" w:fill="E3E5F3"/>
          </w:tcPr>
          <w:p>
            <w:pPr>
              <w:spacing w:after="0"/>
              <w:rPr>
                <w:sz w:val="13"/>
                <w:szCs w:val="13"/>
                <w:color w:val="auto"/>
              </w:rPr>
            </w:pPr>
          </w:p>
        </w:tc>
        <w:tc>
          <w:tcPr>
            <w:tcW w:w="800" w:type="dxa"/>
            <w:vAlign w:val="bottom"/>
            <w:tcBorders>
              <w:right w:val="single" w:sz="8" w:color="E3E5F3"/>
            </w:tcBorders>
            <w:shd w:val="clear" w:color="auto" w:fill="E3E5F3"/>
          </w:tcPr>
          <w:p>
            <w:pPr>
              <w:spacing w:after="0" w:line="161" w:lineRule="exact"/>
              <w:rPr>
                <w:sz w:val="20"/>
                <w:szCs w:val="20"/>
                <w:color w:val="auto"/>
              </w:rPr>
            </w:pPr>
            <w:r>
              <w:rPr>
                <w:rFonts w:ascii="Arial" w:cs="Arial" w:eastAsia="Arial" w:hAnsi="Arial"/>
                <w:sz w:val="16"/>
                <w:szCs w:val="16"/>
                <w:color w:val="0000EE"/>
              </w:rPr>
              <w:t>Decisions</w:t>
            </w:r>
          </w:p>
        </w:tc>
        <w:tc>
          <w:tcPr>
            <w:tcW w:w="2220" w:type="dxa"/>
            <w:vAlign w:val="bottom"/>
            <w:tcBorders>
              <w:right w:val="single" w:sz="8" w:color="E3E5F3"/>
            </w:tcBorders>
            <w:gridSpan w:val="13"/>
            <w:shd w:val="clear" w:color="auto" w:fill="E3E5F3"/>
          </w:tcPr>
          <w:p>
            <w:pPr>
              <w:spacing w:after="0"/>
              <w:rPr>
                <w:sz w:val="13"/>
                <w:szCs w:val="13"/>
                <w:color w:val="auto"/>
              </w:rPr>
            </w:pPr>
          </w:p>
        </w:tc>
        <w:tc>
          <w:tcPr>
            <w:tcW w:w="100" w:type="dxa"/>
            <w:vAlign w:val="bottom"/>
            <w:shd w:val="clear" w:color="auto" w:fill="E3E5F3"/>
          </w:tcPr>
          <w:p>
            <w:pPr>
              <w:spacing w:after="0"/>
              <w:rPr>
                <w:sz w:val="13"/>
                <w:szCs w:val="13"/>
                <w:color w:val="auto"/>
              </w:rPr>
            </w:pPr>
          </w:p>
        </w:tc>
        <w:tc>
          <w:tcPr>
            <w:tcW w:w="100" w:type="dxa"/>
            <w:vAlign w:val="bottom"/>
            <w:tcBorders>
              <w:right w:val="single" w:sz="8" w:color="E3E5F3"/>
            </w:tcBorders>
            <w:shd w:val="clear" w:color="auto" w:fill="E3E5F3"/>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260" w:type="dxa"/>
            <w:vAlign w:val="bottom"/>
            <w:shd w:val="clear" w:color="auto" w:fill="E3E5F3"/>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E3E5F3"/>
            </w:tcBorders>
            <w:shd w:val="clear" w:color="auto" w:fill="E3E5F3"/>
          </w:tcPr>
          <w:p>
            <w:pPr>
              <w:spacing w:after="0" w:line="20" w:lineRule="exact"/>
              <w:rPr>
                <w:sz w:val="1"/>
                <w:szCs w:val="1"/>
                <w:color w:val="auto"/>
              </w:rPr>
            </w:pPr>
          </w:p>
        </w:tc>
        <w:tc>
          <w:tcPr>
            <w:tcW w:w="160" w:type="dxa"/>
            <w:vAlign w:val="bottom"/>
            <w:tcBorders>
              <w:right w:val="single" w:sz="8" w:color="E3E5F3"/>
            </w:tcBorders>
            <w:shd w:val="clear" w:color="auto" w:fill="E3E5F3"/>
          </w:tcPr>
          <w:p>
            <w:pPr>
              <w:spacing w:after="0" w:line="20" w:lineRule="exact"/>
              <w:rPr>
                <w:sz w:val="1"/>
                <w:szCs w:val="1"/>
                <w:color w:val="auto"/>
              </w:rPr>
            </w:pPr>
          </w:p>
        </w:tc>
        <w:tc>
          <w:tcPr>
            <w:tcW w:w="18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gridSpan w:val="3"/>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900" w:type="dxa"/>
            <w:vAlign w:val="bottom"/>
            <w:tcBorders>
              <w:right w:val="single" w:sz="8" w:color="E3E5F3"/>
            </w:tcBorders>
            <w:gridSpan w:val="6"/>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shd w:val="clear" w:color="auto" w:fill="E3E5F3"/>
          </w:tcPr>
          <w:p>
            <w:pPr>
              <w:spacing w:after="0"/>
              <w:rPr>
                <w:sz w:val="21"/>
                <w:szCs w:val="21"/>
                <w:color w:val="auto"/>
              </w:rPr>
            </w:pPr>
          </w:p>
        </w:tc>
        <w:tc>
          <w:tcPr>
            <w:tcW w:w="2380" w:type="dxa"/>
            <w:vAlign w:val="bottom"/>
            <w:tcBorders>
              <w:right w:val="single" w:sz="8" w:color="E3E5F3"/>
            </w:tcBorders>
            <w:gridSpan w:val="9"/>
            <w:shd w:val="clear" w:color="auto" w:fill="E3E5F3"/>
          </w:tcPr>
          <w:p>
            <w:pPr>
              <w:spacing w:after="0"/>
              <w:rPr>
                <w:sz w:val="20"/>
                <w:szCs w:val="20"/>
                <w:color w:val="auto"/>
              </w:rPr>
            </w:pPr>
            <w:r>
              <w:rPr>
                <w:rFonts w:ascii="Arial" w:cs="Arial" w:eastAsia="Arial" w:hAnsi="Arial"/>
                <w:sz w:val="16"/>
                <w:szCs w:val="16"/>
                <w:color w:val="0000EE"/>
                <w:w w:val="98"/>
              </w:rPr>
              <w:t>Compensation Committee Report</w:t>
            </w:r>
          </w:p>
        </w:tc>
        <w:tc>
          <w:tcPr>
            <w:tcW w:w="900" w:type="dxa"/>
            <w:vAlign w:val="bottom"/>
            <w:tcBorders>
              <w:right w:val="single" w:sz="8" w:color="E3E5F3"/>
            </w:tcBorders>
            <w:gridSpan w:val="6"/>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48</w:t>
            </w:r>
          </w:p>
        </w:tc>
        <w:tc>
          <w:tcPr>
            <w:tcW w:w="8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right w:val="single" w:sz="8" w:color="E3E5F3"/>
            </w:tcBorders>
            <w:gridSpan w:val="6"/>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0" w:type="dxa"/>
            <w:vAlign w:val="bottom"/>
            <w:shd w:val="clear" w:color="auto" w:fill="E3E5F3"/>
          </w:tcPr>
          <w:p>
            <w:pPr>
              <w:spacing w:after="0"/>
              <w:rPr>
                <w:sz w:val="24"/>
                <w:szCs w:val="24"/>
                <w:color w:val="auto"/>
              </w:rPr>
            </w:pPr>
          </w:p>
        </w:tc>
        <w:tc>
          <w:tcPr>
            <w:tcW w:w="2060" w:type="dxa"/>
            <w:vAlign w:val="bottom"/>
            <w:tcBorders>
              <w:right w:val="single" w:sz="8" w:color="E3E5F3"/>
            </w:tcBorders>
            <w:gridSpan w:val="8"/>
            <w:shd w:val="clear" w:color="auto" w:fill="E3E5F3"/>
          </w:tcPr>
          <w:p>
            <w:pPr>
              <w:spacing w:after="0"/>
              <w:rPr>
                <w:sz w:val="20"/>
                <w:szCs w:val="20"/>
                <w:color w:val="auto"/>
              </w:rPr>
            </w:pPr>
            <w:r>
              <w:rPr>
                <w:rFonts w:ascii="Arial" w:cs="Arial" w:eastAsia="Arial" w:hAnsi="Arial"/>
                <w:sz w:val="16"/>
                <w:szCs w:val="16"/>
                <w:b w:val="1"/>
                <w:bCs w:val="1"/>
                <w:color w:val="0000EE"/>
                <w:w w:val="97"/>
              </w:rPr>
              <w:t>2021 Compensation Tables</w:t>
            </w:r>
          </w:p>
        </w:tc>
        <w:tc>
          <w:tcPr>
            <w:tcW w:w="320" w:type="dxa"/>
            <w:vAlign w:val="bottom"/>
            <w:tcBorders>
              <w:right w:val="single" w:sz="8" w:color="E3E5F3"/>
            </w:tcBorders>
            <w:shd w:val="clear" w:color="auto" w:fill="E3E5F3"/>
          </w:tcPr>
          <w:p>
            <w:pPr>
              <w:spacing w:after="0"/>
              <w:rPr>
                <w:sz w:val="24"/>
                <w:szCs w:val="24"/>
                <w:color w:val="auto"/>
              </w:rPr>
            </w:pPr>
          </w:p>
        </w:tc>
        <w:tc>
          <w:tcPr>
            <w:tcW w:w="900" w:type="dxa"/>
            <w:vAlign w:val="bottom"/>
            <w:tcBorders>
              <w:right w:val="single" w:sz="8" w:color="E3E5F3"/>
            </w:tcBorders>
            <w:gridSpan w:val="6"/>
            <w:shd w:val="clear" w:color="auto" w:fill="E3E5F3"/>
          </w:tcPr>
          <w:p>
            <w:pPr>
              <w:spacing w:after="0"/>
              <w:rPr>
                <w:sz w:val="24"/>
                <w:szCs w:val="24"/>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49</w:t>
            </w:r>
          </w:p>
        </w:tc>
        <w:tc>
          <w:tcPr>
            <w:tcW w:w="8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900" w:type="dxa"/>
            <w:vAlign w:val="bottom"/>
            <w:tcBorders>
              <w:right w:val="single" w:sz="8" w:color="E3E5F3"/>
            </w:tcBorders>
            <w:gridSpan w:val="6"/>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60" w:type="dxa"/>
            <w:vAlign w:val="bottom"/>
            <w:shd w:val="clear" w:color="auto" w:fill="E3E5F3"/>
          </w:tcPr>
          <w:p>
            <w:pPr>
              <w:spacing w:after="0"/>
              <w:rPr>
                <w:sz w:val="20"/>
                <w:szCs w:val="20"/>
                <w:color w:val="auto"/>
              </w:rPr>
            </w:pPr>
          </w:p>
        </w:tc>
        <w:tc>
          <w:tcPr>
            <w:tcW w:w="2380" w:type="dxa"/>
            <w:vAlign w:val="bottom"/>
            <w:tcBorders>
              <w:right w:val="single" w:sz="8" w:color="E3E5F3"/>
            </w:tcBorders>
            <w:gridSpan w:val="9"/>
            <w:shd w:val="clear" w:color="auto" w:fill="E3E5F3"/>
          </w:tcPr>
          <w:p>
            <w:pPr>
              <w:spacing w:after="0"/>
              <w:rPr>
                <w:sz w:val="20"/>
                <w:szCs w:val="20"/>
                <w:color w:val="auto"/>
              </w:rPr>
            </w:pPr>
            <w:r>
              <w:rPr>
                <w:rFonts w:ascii="Arial" w:cs="Arial" w:eastAsia="Arial" w:hAnsi="Arial"/>
                <w:sz w:val="16"/>
                <w:szCs w:val="16"/>
                <w:color w:val="0000EE"/>
              </w:rPr>
              <w:t>2021 CEO Pay Ratio Disclosure</w:t>
            </w:r>
          </w:p>
        </w:tc>
        <w:tc>
          <w:tcPr>
            <w:tcW w:w="900" w:type="dxa"/>
            <w:vAlign w:val="bottom"/>
            <w:tcBorders>
              <w:right w:val="single" w:sz="8" w:color="E3E5F3"/>
            </w:tcBorders>
            <w:gridSpan w:val="6"/>
            <w:shd w:val="clear" w:color="auto" w:fill="E3E5F3"/>
          </w:tcPr>
          <w:p>
            <w:pPr>
              <w:spacing w:after="0"/>
              <w:rPr>
                <w:sz w:val="20"/>
                <w:szCs w:val="20"/>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59</w:t>
            </w:r>
          </w:p>
        </w:tc>
        <w:tc>
          <w:tcPr>
            <w:tcW w:w="80" w:type="dxa"/>
            <w:vAlign w:val="bottom"/>
          </w:tcPr>
          <w:p>
            <w:pPr>
              <w:spacing w:after="0"/>
              <w:rPr>
                <w:sz w:val="20"/>
                <w:szCs w:val="20"/>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right w:val="single" w:sz="8" w:color="E3E5F3"/>
            </w:tcBorders>
            <w:shd w:val="clear" w:color="auto" w:fill="0000EE"/>
          </w:tcPr>
          <w:p>
            <w:pPr>
              <w:spacing w:after="0" w:line="20" w:lineRule="exact"/>
              <w:rPr>
                <w:sz w:val="1"/>
                <w:szCs w:val="1"/>
                <w:color w:val="auto"/>
              </w:rPr>
            </w:pPr>
          </w:p>
        </w:tc>
        <w:tc>
          <w:tcPr>
            <w:tcW w:w="900" w:type="dxa"/>
            <w:vAlign w:val="bottom"/>
            <w:tcBorders>
              <w:right w:val="single" w:sz="8" w:color="E3E5F3"/>
            </w:tcBorders>
            <w:gridSpan w:val="6"/>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0" w:type="dxa"/>
            <w:vAlign w:val="bottom"/>
            <w:shd w:val="clear" w:color="auto" w:fill="E3E5F3"/>
          </w:tcPr>
          <w:p>
            <w:pPr>
              <w:spacing w:after="0"/>
              <w:rPr>
                <w:sz w:val="24"/>
                <w:szCs w:val="24"/>
                <w:color w:val="auto"/>
              </w:rPr>
            </w:pPr>
          </w:p>
        </w:tc>
        <w:tc>
          <w:tcPr>
            <w:tcW w:w="2380" w:type="dxa"/>
            <w:vAlign w:val="bottom"/>
            <w:tcBorders>
              <w:right w:val="single" w:sz="8" w:color="E3E5F3"/>
            </w:tcBorders>
            <w:gridSpan w:val="9"/>
            <w:shd w:val="clear" w:color="auto" w:fill="E3E5F3"/>
          </w:tcPr>
          <w:p>
            <w:pPr>
              <w:spacing w:after="0"/>
              <w:rPr>
                <w:sz w:val="20"/>
                <w:szCs w:val="20"/>
                <w:color w:val="auto"/>
              </w:rPr>
            </w:pPr>
            <w:r>
              <w:rPr>
                <w:rFonts w:ascii="Arial" w:cs="Arial" w:eastAsia="Arial" w:hAnsi="Arial"/>
                <w:sz w:val="16"/>
                <w:szCs w:val="16"/>
                <w:b w:val="1"/>
                <w:bCs w:val="1"/>
                <w:color w:val="0000EE"/>
              </w:rPr>
              <w:t>General Matters</w:t>
            </w:r>
          </w:p>
        </w:tc>
        <w:tc>
          <w:tcPr>
            <w:tcW w:w="900" w:type="dxa"/>
            <w:vAlign w:val="bottom"/>
            <w:tcBorders>
              <w:right w:val="single" w:sz="8" w:color="E3E5F3"/>
            </w:tcBorders>
            <w:gridSpan w:val="6"/>
            <w:shd w:val="clear" w:color="auto" w:fill="E3E5F3"/>
          </w:tcPr>
          <w:p>
            <w:pPr>
              <w:spacing w:after="0"/>
              <w:rPr>
                <w:sz w:val="24"/>
                <w:szCs w:val="24"/>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61</w:t>
            </w:r>
          </w:p>
        </w:tc>
        <w:tc>
          <w:tcPr>
            <w:tcW w:w="8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E3E5F3"/>
            </w:tcBorders>
            <w:shd w:val="clear" w:color="auto" w:fill="0000EE"/>
          </w:tcPr>
          <w:p>
            <w:pPr>
              <w:spacing w:after="0" w:line="20" w:lineRule="exact"/>
              <w:rPr>
                <w:sz w:val="1"/>
                <w:szCs w:val="1"/>
                <w:color w:val="auto"/>
              </w:rPr>
            </w:pPr>
          </w:p>
        </w:tc>
        <w:tc>
          <w:tcPr>
            <w:tcW w:w="160" w:type="dxa"/>
            <w:vAlign w:val="bottom"/>
            <w:tcBorders>
              <w:right w:val="single" w:sz="8" w:color="E3E5F3"/>
            </w:tcBorders>
            <w:shd w:val="clear" w:color="auto" w:fill="E3E5F3"/>
          </w:tcPr>
          <w:p>
            <w:pPr>
              <w:spacing w:after="0" w:line="20" w:lineRule="exact"/>
              <w:rPr>
                <w:sz w:val="1"/>
                <w:szCs w:val="1"/>
                <w:color w:val="auto"/>
              </w:rPr>
            </w:pPr>
          </w:p>
        </w:tc>
        <w:tc>
          <w:tcPr>
            <w:tcW w:w="18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gridSpan w:val="3"/>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900" w:type="dxa"/>
            <w:vAlign w:val="bottom"/>
            <w:tcBorders>
              <w:right w:val="single" w:sz="8" w:color="E3E5F3"/>
            </w:tcBorders>
            <w:gridSpan w:val="6"/>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60" w:type="dxa"/>
            <w:vAlign w:val="bottom"/>
            <w:shd w:val="clear" w:color="auto" w:fill="E3E5F3"/>
          </w:tcPr>
          <w:p>
            <w:pPr>
              <w:spacing w:after="0"/>
              <w:rPr>
                <w:sz w:val="20"/>
                <w:szCs w:val="20"/>
                <w:color w:val="auto"/>
              </w:rPr>
            </w:pPr>
          </w:p>
        </w:tc>
        <w:tc>
          <w:tcPr>
            <w:tcW w:w="1060" w:type="dxa"/>
            <w:vAlign w:val="bottom"/>
            <w:tcBorders>
              <w:right w:val="single" w:sz="8" w:color="E3E5F3"/>
            </w:tcBorders>
            <w:gridSpan w:val="2"/>
            <w:shd w:val="clear" w:color="auto" w:fill="E3E5F3"/>
          </w:tcPr>
          <w:p>
            <w:pPr>
              <w:spacing w:after="0"/>
              <w:rPr>
                <w:sz w:val="20"/>
                <w:szCs w:val="20"/>
                <w:color w:val="auto"/>
              </w:rPr>
            </w:pPr>
            <w:r>
              <w:rPr>
                <w:rFonts w:ascii="Arial" w:cs="Arial" w:eastAsia="Arial" w:hAnsi="Arial"/>
                <w:sz w:val="16"/>
                <w:szCs w:val="16"/>
                <w:color w:val="0000EE"/>
              </w:rPr>
              <w:t>Record Date</w:t>
            </w:r>
          </w:p>
        </w:tc>
        <w:tc>
          <w:tcPr>
            <w:tcW w:w="260" w:type="dxa"/>
            <w:vAlign w:val="bottom"/>
            <w:tcBorders>
              <w:right w:val="single" w:sz="8" w:color="E3E5F3"/>
            </w:tcBorders>
            <w:shd w:val="clear" w:color="auto" w:fill="E3E5F3"/>
          </w:tcPr>
          <w:p>
            <w:pPr>
              <w:spacing w:after="0"/>
              <w:rPr>
                <w:sz w:val="20"/>
                <w:szCs w:val="20"/>
                <w:color w:val="auto"/>
              </w:rPr>
            </w:pPr>
          </w:p>
        </w:tc>
        <w:tc>
          <w:tcPr>
            <w:tcW w:w="1960" w:type="dxa"/>
            <w:vAlign w:val="bottom"/>
            <w:tcBorders>
              <w:right w:val="single" w:sz="8" w:color="E3E5F3"/>
            </w:tcBorders>
            <w:gridSpan w:val="12"/>
            <w:shd w:val="clear" w:color="auto" w:fill="E3E5F3"/>
          </w:tcPr>
          <w:p>
            <w:pPr>
              <w:spacing w:after="0"/>
              <w:rPr>
                <w:sz w:val="20"/>
                <w:szCs w:val="20"/>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61</w:t>
            </w:r>
          </w:p>
        </w:tc>
        <w:tc>
          <w:tcPr>
            <w:tcW w:w="80" w:type="dxa"/>
            <w:vAlign w:val="bottom"/>
          </w:tcPr>
          <w:p>
            <w:pPr>
              <w:spacing w:after="0"/>
              <w:rPr>
                <w:sz w:val="20"/>
                <w:szCs w:val="20"/>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E3E5F3"/>
            </w:tcBorders>
            <w:shd w:val="clear" w:color="auto" w:fill="E3E5F3"/>
          </w:tcPr>
          <w:p>
            <w:pPr>
              <w:spacing w:after="0" w:line="20" w:lineRule="exact"/>
              <w:rPr>
                <w:sz w:val="1"/>
                <w:szCs w:val="1"/>
                <w:color w:val="auto"/>
              </w:rPr>
            </w:pPr>
          </w:p>
        </w:tc>
        <w:tc>
          <w:tcPr>
            <w:tcW w:w="160" w:type="dxa"/>
            <w:vAlign w:val="bottom"/>
            <w:tcBorders>
              <w:right w:val="single" w:sz="8" w:color="E3E5F3"/>
            </w:tcBorders>
            <w:shd w:val="clear" w:color="auto" w:fill="E3E5F3"/>
          </w:tcPr>
          <w:p>
            <w:pPr>
              <w:spacing w:after="0" w:line="20" w:lineRule="exact"/>
              <w:rPr>
                <w:sz w:val="1"/>
                <w:szCs w:val="1"/>
                <w:color w:val="auto"/>
              </w:rPr>
            </w:pPr>
          </w:p>
        </w:tc>
        <w:tc>
          <w:tcPr>
            <w:tcW w:w="18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gridSpan w:val="3"/>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900" w:type="dxa"/>
            <w:vAlign w:val="bottom"/>
            <w:tcBorders>
              <w:right w:val="single" w:sz="8" w:color="E3E5F3"/>
            </w:tcBorders>
            <w:gridSpan w:val="6"/>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shd w:val="clear" w:color="auto" w:fill="E3E5F3"/>
          </w:tcPr>
          <w:p>
            <w:pPr>
              <w:spacing w:after="0"/>
              <w:rPr>
                <w:sz w:val="21"/>
                <w:szCs w:val="21"/>
                <w:color w:val="auto"/>
              </w:rPr>
            </w:pPr>
          </w:p>
        </w:tc>
        <w:tc>
          <w:tcPr>
            <w:tcW w:w="3280" w:type="dxa"/>
            <w:vAlign w:val="bottom"/>
            <w:tcBorders>
              <w:right w:val="single" w:sz="8" w:color="E3E5F3"/>
            </w:tcBorders>
            <w:gridSpan w:val="15"/>
            <w:shd w:val="clear" w:color="auto" w:fill="E3E5F3"/>
          </w:tcPr>
          <w:p>
            <w:pPr>
              <w:spacing w:after="0"/>
              <w:rPr>
                <w:sz w:val="20"/>
                <w:szCs w:val="20"/>
                <w:color w:val="auto"/>
              </w:rPr>
            </w:pPr>
            <w:r>
              <w:rPr>
                <w:rFonts w:ascii="Arial" w:cs="Arial" w:eastAsia="Arial" w:hAnsi="Arial"/>
                <w:sz w:val="16"/>
                <w:szCs w:val="16"/>
                <w:color w:val="0000EE"/>
              </w:rPr>
              <w:t>Voting Your Proxy</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61</w:t>
            </w:r>
          </w:p>
        </w:tc>
        <w:tc>
          <w:tcPr>
            <w:tcW w:w="8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E3E5F3"/>
            </w:tcBorders>
            <w:shd w:val="clear" w:color="auto" w:fill="E3E5F3"/>
          </w:tcPr>
          <w:p>
            <w:pPr>
              <w:spacing w:after="0" w:line="20" w:lineRule="exact"/>
              <w:rPr>
                <w:sz w:val="1"/>
                <w:szCs w:val="1"/>
                <w:color w:val="auto"/>
              </w:rPr>
            </w:pPr>
          </w:p>
        </w:tc>
        <w:tc>
          <w:tcPr>
            <w:tcW w:w="18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gridSpan w:val="3"/>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900" w:type="dxa"/>
            <w:vAlign w:val="bottom"/>
            <w:tcBorders>
              <w:right w:val="single" w:sz="8" w:color="E3E5F3"/>
            </w:tcBorders>
            <w:gridSpan w:val="6"/>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shd w:val="clear" w:color="auto" w:fill="E3E5F3"/>
          </w:tcPr>
          <w:p>
            <w:pPr>
              <w:spacing w:after="0"/>
              <w:rPr>
                <w:sz w:val="21"/>
                <w:szCs w:val="21"/>
                <w:color w:val="auto"/>
              </w:rPr>
            </w:pPr>
          </w:p>
        </w:tc>
        <w:tc>
          <w:tcPr>
            <w:tcW w:w="1660" w:type="dxa"/>
            <w:vAlign w:val="bottom"/>
            <w:tcBorders>
              <w:right w:val="single" w:sz="8" w:color="E3E5F3"/>
            </w:tcBorders>
            <w:gridSpan w:val="5"/>
            <w:shd w:val="clear" w:color="auto" w:fill="E3E5F3"/>
          </w:tcPr>
          <w:p>
            <w:pPr>
              <w:spacing w:after="0"/>
              <w:rPr>
                <w:sz w:val="20"/>
                <w:szCs w:val="20"/>
                <w:color w:val="auto"/>
              </w:rPr>
            </w:pPr>
            <w:r>
              <w:rPr>
                <w:rFonts w:ascii="Arial" w:cs="Arial" w:eastAsia="Arial" w:hAnsi="Arial"/>
                <w:sz w:val="16"/>
                <w:szCs w:val="16"/>
                <w:color w:val="0000EE"/>
              </w:rPr>
              <w:t>Shares Held of Record</w:t>
            </w:r>
          </w:p>
        </w:tc>
        <w:tc>
          <w:tcPr>
            <w:tcW w:w="1620" w:type="dxa"/>
            <w:vAlign w:val="bottom"/>
            <w:tcBorders>
              <w:right w:val="single" w:sz="8" w:color="E3E5F3"/>
            </w:tcBorders>
            <w:gridSpan w:val="10"/>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61</w:t>
            </w:r>
          </w:p>
        </w:tc>
        <w:tc>
          <w:tcPr>
            <w:tcW w:w="8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E3E5F3"/>
            </w:tcBorders>
            <w:shd w:val="clear" w:color="auto" w:fill="0000EE"/>
          </w:tcPr>
          <w:p>
            <w:pPr>
              <w:spacing w:after="0" w:line="20" w:lineRule="exact"/>
              <w:rPr>
                <w:sz w:val="1"/>
                <w:szCs w:val="1"/>
                <w:color w:val="auto"/>
              </w:rPr>
            </w:pPr>
          </w:p>
        </w:tc>
        <w:tc>
          <w:tcPr>
            <w:tcW w:w="400" w:type="dxa"/>
            <w:vAlign w:val="bottom"/>
            <w:tcBorders>
              <w:right w:val="single" w:sz="8" w:color="E3E5F3"/>
            </w:tcBorders>
            <w:gridSpan w:val="3"/>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900" w:type="dxa"/>
            <w:vAlign w:val="bottom"/>
            <w:tcBorders>
              <w:right w:val="single" w:sz="8" w:color="E3E5F3"/>
            </w:tcBorders>
            <w:gridSpan w:val="6"/>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shd w:val="clear" w:color="auto" w:fill="E3E5F3"/>
          </w:tcPr>
          <w:p>
            <w:pPr>
              <w:spacing w:after="0"/>
              <w:rPr>
                <w:sz w:val="21"/>
                <w:szCs w:val="21"/>
                <w:color w:val="auto"/>
              </w:rPr>
            </w:pPr>
          </w:p>
        </w:tc>
        <w:tc>
          <w:tcPr>
            <w:tcW w:w="2060" w:type="dxa"/>
            <w:vAlign w:val="bottom"/>
            <w:tcBorders>
              <w:right w:val="single" w:sz="8" w:color="E3E5F3"/>
            </w:tcBorders>
            <w:gridSpan w:val="8"/>
            <w:shd w:val="clear" w:color="auto" w:fill="E3E5F3"/>
          </w:tcPr>
          <w:p>
            <w:pPr>
              <w:spacing w:after="0"/>
              <w:rPr>
                <w:sz w:val="20"/>
                <w:szCs w:val="20"/>
                <w:color w:val="auto"/>
              </w:rPr>
            </w:pPr>
            <w:r>
              <w:rPr>
                <w:rFonts w:ascii="Arial" w:cs="Arial" w:eastAsia="Arial" w:hAnsi="Arial"/>
                <w:sz w:val="16"/>
                <w:szCs w:val="16"/>
                <w:color w:val="0000EE"/>
              </w:rPr>
              <w:t>Shares Held in Street Name</w:t>
            </w:r>
          </w:p>
        </w:tc>
        <w:tc>
          <w:tcPr>
            <w:tcW w:w="1220" w:type="dxa"/>
            <w:vAlign w:val="bottom"/>
            <w:tcBorders>
              <w:right w:val="single" w:sz="8" w:color="E3E5F3"/>
            </w:tcBorders>
            <w:gridSpan w:val="7"/>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62</w:t>
            </w:r>
          </w:p>
        </w:tc>
        <w:tc>
          <w:tcPr>
            <w:tcW w:w="8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900" w:type="dxa"/>
            <w:vAlign w:val="bottom"/>
            <w:tcBorders>
              <w:right w:val="single" w:sz="8" w:color="E3E5F3"/>
            </w:tcBorders>
            <w:gridSpan w:val="6"/>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shd w:val="clear" w:color="auto" w:fill="E3E5F3"/>
          </w:tcPr>
          <w:p>
            <w:pPr>
              <w:spacing w:after="0"/>
              <w:rPr>
                <w:sz w:val="21"/>
                <w:szCs w:val="21"/>
                <w:color w:val="auto"/>
              </w:rPr>
            </w:pPr>
          </w:p>
        </w:tc>
        <w:tc>
          <w:tcPr>
            <w:tcW w:w="2060" w:type="dxa"/>
            <w:vAlign w:val="bottom"/>
            <w:tcBorders>
              <w:right w:val="single" w:sz="8" w:color="E3E5F3"/>
            </w:tcBorders>
            <w:gridSpan w:val="8"/>
            <w:shd w:val="clear" w:color="auto" w:fill="E3E5F3"/>
          </w:tcPr>
          <w:p>
            <w:pPr>
              <w:spacing w:after="0"/>
              <w:rPr>
                <w:sz w:val="20"/>
                <w:szCs w:val="20"/>
                <w:color w:val="auto"/>
              </w:rPr>
            </w:pPr>
            <w:r>
              <w:rPr>
                <w:rFonts w:ascii="Arial" w:cs="Arial" w:eastAsia="Arial" w:hAnsi="Arial"/>
                <w:sz w:val="16"/>
                <w:szCs w:val="16"/>
                <w:color w:val="0000EE"/>
              </w:rPr>
              <w:t>Revoking Your Proxy</w:t>
            </w:r>
          </w:p>
        </w:tc>
        <w:tc>
          <w:tcPr>
            <w:tcW w:w="1220" w:type="dxa"/>
            <w:vAlign w:val="bottom"/>
            <w:tcBorders>
              <w:right w:val="single" w:sz="8" w:color="E3E5F3"/>
            </w:tcBorders>
            <w:gridSpan w:val="7"/>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62</w:t>
            </w:r>
          </w:p>
        </w:tc>
        <w:tc>
          <w:tcPr>
            <w:tcW w:w="8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E3E5F3"/>
            </w:tcBorders>
            <w:shd w:val="clear" w:color="auto" w:fill="E3E5F3"/>
          </w:tcPr>
          <w:p>
            <w:pPr>
              <w:spacing w:after="0" w:line="20" w:lineRule="exact"/>
              <w:rPr>
                <w:sz w:val="1"/>
                <w:szCs w:val="1"/>
                <w:color w:val="auto"/>
              </w:rPr>
            </w:pPr>
          </w:p>
        </w:tc>
        <w:tc>
          <w:tcPr>
            <w:tcW w:w="400" w:type="dxa"/>
            <w:vAlign w:val="bottom"/>
            <w:tcBorders>
              <w:right w:val="single" w:sz="8" w:color="E3E5F3"/>
            </w:tcBorders>
            <w:gridSpan w:val="3"/>
            <w:shd w:val="clear" w:color="auto" w:fill="E3E5F3"/>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900" w:type="dxa"/>
            <w:vAlign w:val="bottom"/>
            <w:tcBorders>
              <w:right w:val="single" w:sz="8" w:color="E3E5F3"/>
            </w:tcBorders>
            <w:gridSpan w:val="6"/>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shd w:val="clear" w:color="auto" w:fill="E3E5F3"/>
          </w:tcPr>
          <w:p>
            <w:pPr>
              <w:spacing w:after="0"/>
              <w:rPr>
                <w:sz w:val="21"/>
                <w:szCs w:val="21"/>
                <w:color w:val="auto"/>
              </w:rPr>
            </w:pPr>
          </w:p>
        </w:tc>
        <w:tc>
          <w:tcPr>
            <w:tcW w:w="3280" w:type="dxa"/>
            <w:vAlign w:val="bottom"/>
            <w:tcBorders>
              <w:right w:val="single" w:sz="8" w:color="E3E5F3"/>
            </w:tcBorders>
            <w:gridSpan w:val="15"/>
            <w:shd w:val="clear" w:color="auto" w:fill="E3E5F3"/>
          </w:tcPr>
          <w:p>
            <w:pPr>
              <w:spacing w:after="0"/>
              <w:rPr>
                <w:sz w:val="20"/>
                <w:szCs w:val="20"/>
                <w:color w:val="auto"/>
              </w:rPr>
            </w:pPr>
            <w:r>
              <w:rPr>
                <w:rFonts w:ascii="Arial" w:cs="Arial" w:eastAsia="Arial" w:hAnsi="Arial"/>
                <w:sz w:val="16"/>
                <w:szCs w:val="16"/>
                <w:color w:val="0000EE"/>
              </w:rPr>
              <w:t>Quorum and Vote Required</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62</w:t>
            </w:r>
          </w:p>
        </w:tc>
        <w:tc>
          <w:tcPr>
            <w:tcW w:w="8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Borders>
              <w:right w:val="single" w:sz="8" w:color="E3E5F3"/>
            </w:tcBorders>
            <w:gridSpan w:val="3"/>
            <w:shd w:val="clear" w:color="auto" w:fill="0000EE"/>
          </w:tcPr>
          <w:p>
            <w:pPr>
              <w:spacing w:after="0" w:line="20" w:lineRule="exact"/>
              <w:rPr>
                <w:sz w:val="1"/>
                <w:szCs w:val="1"/>
                <w:color w:val="auto"/>
              </w:rPr>
            </w:pPr>
          </w:p>
        </w:tc>
        <w:tc>
          <w:tcPr>
            <w:tcW w:w="320" w:type="dxa"/>
            <w:vAlign w:val="bottom"/>
            <w:tcBorders>
              <w:right w:val="single" w:sz="8" w:color="E3E5F3"/>
            </w:tcBorders>
            <w:shd w:val="clear" w:color="auto" w:fill="E3E5F3"/>
          </w:tcPr>
          <w:p>
            <w:pPr>
              <w:spacing w:after="0" w:line="20" w:lineRule="exact"/>
              <w:rPr>
                <w:sz w:val="1"/>
                <w:szCs w:val="1"/>
                <w:color w:val="auto"/>
              </w:rPr>
            </w:pPr>
          </w:p>
        </w:tc>
        <w:tc>
          <w:tcPr>
            <w:tcW w:w="900" w:type="dxa"/>
            <w:vAlign w:val="bottom"/>
            <w:tcBorders>
              <w:right w:val="single" w:sz="8" w:color="E3E5F3"/>
            </w:tcBorders>
            <w:gridSpan w:val="6"/>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shd w:val="clear" w:color="auto" w:fill="E3E5F3"/>
          </w:tcPr>
          <w:p>
            <w:pPr>
              <w:spacing w:after="0"/>
              <w:rPr>
                <w:sz w:val="21"/>
                <w:szCs w:val="21"/>
                <w:color w:val="auto"/>
              </w:rPr>
            </w:pPr>
          </w:p>
        </w:tc>
        <w:tc>
          <w:tcPr>
            <w:tcW w:w="2060" w:type="dxa"/>
            <w:vAlign w:val="bottom"/>
            <w:tcBorders>
              <w:right w:val="single" w:sz="8" w:color="E3E5F3"/>
            </w:tcBorders>
            <w:gridSpan w:val="8"/>
            <w:shd w:val="clear" w:color="auto" w:fill="E3E5F3"/>
          </w:tcPr>
          <w:p>
            <w:pPr>
              <w:spacing w:after="0"/>
              <w:rPr>
                <w:sz w:val="20"/>
                <w:szCs w:val="20"/>
                <w:color w:val="auto"/>
              </w:rPr>
            </w:pPr>
            <w:r>
              <w:rPr>
                <w:rFonts w:ascii="Arial" w:cs="Arial" w:eastAsia="Arial" w:hAnsi="Arial"/>
                <w:sz w:val="16"/>
                <w:szCs w:val="16"/>
                <w:color w:val="0000EE"/>
              </w:rPr>
              <w:t>Cost of Solicitation</w:t>
            </w:r>
          </w:p>
        </w:tc>
        <w:tc>
          <w:tcPr>
            <w:tcW w:w="1220" w:type="dxa"/>
            <w:vAlign w:val="bottom"/>
            <w:tcBorders>
              <w:right w:val="single" w:sz="8" w:color="E3E5F3"/>
            </w:tcBorders>
            <w:gridSpan w:val="7"/>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62</w:t>
            </w:r>
          </w:p>
        </w:tc>
        <w:tc>
          <w:tcPr>
            <w:tcW w:w="8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E3E5F3"/>
            </w:tcBorders>
            <w:gridSpan w:val="2"/>
            <w:shd w:val="clear" w:color="auto" w:fill="E3E5F3"/>
          </w:tcPr>
          <w:p>
            <w:pPr>
              <w:spacing w:after="0" w:line="20" w:lineRule="exact"/>
              <w:rPr>
                <w:sz w:val="1"/>
                <w:szCs w:val="1"/>
                <w:color w:val="auto"/>
              </w:rPr>
            </w:pPr>
          </w:p>
        </w:tc>
        <w:tc>
          <w:tcPr>
            <w:tcW w:w="720" w:type="dxa"/>
            <w:vAlign w:val="bottom"/>
            <w:tcBorders>
              <w:right w:val="single" w:sz="8" w:color="E3E5F3"/>
            </w:tcBorders>
            <w:gridSpan w:val="4"/>
            <w:shd w:val="clear" w:color="auto" w:fill="E3E5F3"/>
          </w:tcPr>
          <w:p>
            <w:pPr>
              <w:spacing w:after="0" w:line="20" w:lineRule="exact"/>
              <w:rPr>
                <w:sz w:val="1"/>
                <w:szCs w:val="1"/>
                <w:color w:val="auto"/>
              </w:rPr>
            </w:pPr>
          </w:p>
        </w:tc>
        <w:tc>
          <w:tcPr>
            <w:tcW w:w="900" w:type="dxa"/>
            <w:vAlign w:val="bottom"/>
            <w:tcBorders>
              <w:right w:val="single" w:sz="8" w:color="E3E5F3"/>
            </w:tcBorders>
            <w:gridSpan w:val="6"/>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60" w:type="dxa"/>
            <w:vAlign w:val="bottom"/>
            <w:shd w:val="clear" w:color="auto" w:fill="E3E5F3"/>
          </w:tcPr>
          <w:p>
            <w:pPr>
              <w:spacing w:after="0"/>
              <w:rPr>
                <w:sz w:val="21"/>
                <w:szCs w:val="21"/>
                <w:color w:val="auto"/>
              </w:rPr>
            </w:pPr>
          </w:p>
        </w:tc>
        <w:tc>
          <w:tcPr>
            <w:tcW w:w="1060" w:type="dxa"/>
            <w:vAlign w:val="bottom"/>
            <w:tcBorders>
              <w:right w:val="single" w:sz="8" w:color="E3E5F3"/>
            </w:tcBorders>
            <w:gridSpan w:val="2"/>
            <w:shd w:val="clear" w:color="auto" w:fill="E3E5F3"/>
          </w:tcPr>
          <w:p>
            <w:pPr>
              <w:spacing w:after="0"/>
              <w:rPr>
                <w:sz w:val="20"/>
                <w:szCs w:val="20"/>
                <w:color w:val="auto"/>
              </w:rPr>
            </w:pPr>
            <w:r>
              <w:rPr>
                <w:rFonts w:ascii="Arial" w:cs="Arial" w:eastAsia="Arial" w:hAnsi="Arial"/>
                <w:sz w:val="16"/>
                <w:szCs w:val="16"/>
                <w:color w:val="0000EE"/>
                <w:w w:val="99"/>
              </w:rPr>
              <w:t>Annual Report</w:t>
            </w:r>
          </w:p>
        </w:tc>
        <w:tc>
          <w:tcPr>
            <w:tcW w:w="260" w:type="dxa"/>
            <w:vAlign w:val="bottom"/>
            <w:tcBorders>
              <w:right w:val="single" w:sz="8" w:color="E3E5F3"/>
            </w:tcBorders>
            <w:shd w:val="clear" w:color="auto" w:fill="E3E5F3"/>
          </w:tcPr>
          <w:p>
            <w:pPr>
              <w:spacing w:after="0"/>
              <w:rPr>
                <w:sz w:val="21"/>
                <w:szCs w:val="21"/>
                <w:color w:val="auto"/>
              </w:rPr>
            </w:pPr>
          </w:p>
        </w:tc>
        <w:tc>
          <w:tcPr>
            <w:tcW w:w="1960" w:type="dxa"/>
            <w:vAlign w:val="bottom"/>
            <w:tcBorders>
              <w:right w:val="single" w:sz="8" w:color="E3E5F3"/>
            </w:tcBorders>
            <w:gridSpan w:val="12"/>
            <w:shd w:val="clear" w:color="auto" w:fill="E3E5F3"/>
          </w:tcPr>
          <w:p>
            <w:pPr>
              <w:spacing w:after="0"/>
              <w:rPr>
                <w:sz w:val="21"/>
                <w:szCs w:val="21"/>
                <w:color w:val="auto"/>
              </w:rPr>
            </w:pP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63</w:t>
            </w:r>
          </w:p>
        </w:tc>
        <w:tc>
          <w:tcPr>
            <w:tcW w:w="8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E3E5F3"/>
            </w:tcBorders>
            <w:gridSpan w:val="3"/>
            <w:shd w:val="clear" w:color="auto" w:fill="E3E5F3"/>
          </w:tcPr>
          <w:p>
            <w:pPr>
              <w:spacing w:after="0" w:line="20" w:lineRule="exact"/>
              <w:rPr>
                <w:sz w:val="1"/>
                <w:szCs w:val="1"/>
                <w:color w:val="auto"/>
              </w:rPr>
            </w:pPr>
          </w:p>
        </w:tc>
        <w:tc>
          <w:tcPr>
            <w:tcW w:w="720" w:type="dxa"/>
            <w:vAlign w:val="bottom"/>
            <w:tcBorders>
              <w:right w:val="single" w:sz="8" w:color="E3E5F3"/>
            </w:tcBorders>
            <w:gridSpan w:val="4"/>
            <w:shd w:val="clear" w:color="auto" w:fill="E3E5F3"/>
          </w:tcPr>
          <w:p>
            <w:pPr>
              <w:spacing w:after="0" w:line="20" w:lineRule="exact"/>
              <w:rPr>
                <w:sz w:val="1"/>
                <w:szCs w:val="1"/>
                <w:color w:val="auto"/>
              </w:rPr>
            </w:pPr>
          </w:p>
        </w:tc>
        <w:tc>
          <w:tcPr>
            <w:tcW w:w="900" w:type="dxa"/>
            <w:vAlign w:val="bottom"/>
            <w:tcBorders>
              <w:right w:val="single" w:sz="8" w:color="E3E5F3"/>
            </w:tcBorders>
            <w:gridSpan w:val="6"/>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0" w:type="dxa"/>
            <w:vAlign w:val="bottom"/>
            <w:shd w:val="clear" w:color="auto" w:fill="E3E5F3"/>
          </w:tcPr>
          <w:p>
            <w:pPr>
              <w:spacing w:after="0"/>
              <w:rPr>
                <w:sz w:val="24"/>
                <w:szCs w:val="24"/>
                <w:color w:val="auto"/>
              </w:rPr>
            </w:pPr>
          </w:p>
        </w:tc>
        <w:tc>
          <w:tcPr>
            <w:tcW w:w="3280" w:type="dxa"/>
            <w:vAlign w:val="bottom"/>
            <w:tcBorders>
              <w:right w:val="single" w:sz="8" w:color="E3E5F3"/>
            </w:tcBorders>
            <w:gridSpan w:val="15"/>
            <w:shd w:val="clear" w:color="auto" w:fill="E3E5F3"/>
          </w:tcPr>
          <w:p>
            <w:pPr>
              <w:spacing w:after="0"/>
              <w:rPr>
                <w:sz w:val="20"/>
                <w:szCs w:val="20"/>
                <w:color w:val="auto"/>
              </w:rPr>
            </w:pPr>
            <w:r>
              <w:rPr>
                <w:rFonts w:ascii="Arial" w:cs="Arial" w:eastAsia="Arial" w:hAnsi="Arial"/>
                <w:sz w:val="16"/>
                <w:szCs w:val="16"/>
                <w:b w:val="1"/>
                <w:bCs w:val="1"/>
                <w:color w:val="0000EE"/>
              </w:rPr>
              <w:t>Householding</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0000EE"/>
              </w:rPr>
              <w:t>64</w:t>
            </w:r>
          </w:p>
        </w:tc>
        <w:tc>
          <w:tcPr>
            <w:tcW w:w="8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E3E5F3"/>
            </w:tcBorders>
            <w:gridSpan w:val="3"/>
            <w:shd w:val="clear" w:color="auto" w:fill="E3E5F3"/>
          </w:tcPr>
          <w:p>
            <w:pPr>
              <w:spacing w:after="0" w:line="20" w:lineRule="exact"/>
              <w:rPr>
                <w:sz w:val="1"/>
                <w:szCs w:val="1"/>
                <w:color w:val="auto"/>
              </w:rPr>
            </w:pPr>
          </w:p>
        </w:tc>
        <w:tc>
          <w:tcPr>
            <w:tcW w:w="720" w:type="dxa"/>
            <w:vAlign w:val="bottom"/>
            <w:tcBorders>
              <w:right w:val="single" w:sz="8" w:color="E3E5F3"/>
            </w:tcBorders>
            <w:gridSpan w:val="4"/>
            <w:shd w:val="clear" w:color="auto" w:fill="E3E5F3"/>
          </w:tcPr>
          <w:p>
            <w:pPr>
              <w:spacing w:after="0" w:line="20" w:lineRule="exact"/>
              <w:rPr>
                <w:sz w:val="1"/>
                <w:szCs w:val="1"/>
                <w:color w:val="auto"/>
              </w:rPr>
            </w:pPr>
          </w:p>
        </w:tc>
        <w:tc>
          <w:tcPr>
            <w:tcW w:w="900" w:type="dxa"/>
            <w:vAlign w:val="bottom"/>
            <w:tcBorders>
              <w:right w:val="single" w:sz="8" w:color="E3E5F3"/>
            </w:tcBorders>
            <w:gridSpan w:val="6"/>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60" w:type="dxa"/>
            <w:vAlign w:val="bottom"/>
            <w:shd w:val="clear" w:color="auto" w:fill="E3E5F3"/>
          </w:tcPr>
          <w:p>
            <w:pPr>
              <w:spacing w:after="0"/>
              <w:rPr>
                <w:sz w:val="24"/>
                <w:szCs w:val="24"/>
                <w:color w:val="auto"/>
              </w:rPr>
            </w:pPr>
          </w:p>
        </w:tc>
        <w:tc>
          <w:tcPr>
            <w:tcW w:w="3280" w:type="dxa"/>
            <w:vAlign w:val="bottom"/>
            <w:tcBorders>
              <w:right w:val="single" w:sz="8" w:color="E3E5F3"/>
            </w:tcBorders>
            <w:gridSpan w:val="15"/>
            <w:shd w:val="clear" w:color="auto" w:fill="E3E5F3"/>
          </w:tcPr>
          <w:p>
            <w:pPr>
              <w:spacing w:after="0"/>
              <w:rPr>
                <w:sz w:val="20"/>
                <w:szCs w:val="20"/>
                <w:color w:val="auto"/>
              </w:rPr>
            </w:pPr>
            <w:r>
              <w:rPr>
                <w:rFonts w:ascii="Arial" w:cs="Arial" w:eastAsia="Arial" w:hAnsi="Arial"/>
                <w:sz w:val="16"/>
                <w:szCs w:val="16"/>
                <w:b w:val="1"/>
                <w:bCs w:val="1"/>
                <w:color w:val="0000EE"/>
              </w:rPr>
              <w:t>Proposals for the 2023 Annual</w:t>
            </w:r>
          </w:p>
        </w:tc>
        <w:tc>
          <w:tcPr>
            <w:tcW w:w="100" w:type="dxa"/>
            <w:vAlign w:val="bottom"/>
            <w:shd w:val="clear" w:color="auto" w:fill="E3E5F3"/>
          </w:tcPr>
          <w:p>
            <w:pPr>
              <w:ind w:left="8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vMerge w:val="restart"/>
          </w:tcPr>
          <w:p>
            <w:pPr>
              <w:jc w:val="right"/>
              <w:spacing w:after="0"/>
              <w:rPr>
                <w:sz w:val="20"/>
                <w:szCs w:val="20"/>
                <w:color w:val="auto"/>
              </w:rPr>
            </w:pPr>
            <w:r>
              <w:rPr>
                <w:rFonts w:ascii="Arial" w:cs="Arial" w:eastAsia="Arial" w:hAnsi="Arial"/>
                <w:sz w:val="16"/>
                <w:szCs w:val="16"/>
                <w:color w:val="0000EE"/>
              </w:rPr>
              <w:t>64</w:t>
            </w:r>
          </w:p>
        </w:tc>
        <w:tc>
          <w:tcPr>
            <w:tcW w:w="8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67"/>
        </w:trPr>
        <w:tc>
          <w:tcPr>
            <w:tcW w:w="160" w:type="dxa"/>
            <w:vAlign w:val="bottom"/>
            <w:tcBorders>
              <w:top w:val="single" w:sz="8" w:color="E3E5F3"/>
            </w:tcBorders>
            <w:shd w:val="clear" w:color="auto" w:fill="E3E5F3"/>
          </w:tcPr>
          <w:p>
            <w:pPr>
              <w:spacing w:after="0"/>
              <w:rPr>
                <w:sz w:val="14"/>
                <w:szCs w:val="14"/>
                <w:color w:val="auto"/>
              </w:rPr>
            </w:pPr>
          </w:p>
        </w:tc>
        <w:tc>
          <w:tcPr>
            <w:tcW w:w="2380" w:type="dxa"/>
            <w:vAlign w:val="bottom"/>
            <w:tcBorders>
              <w:top w:val="single" w:sz="8" w:color="0000EE"/>
              <w:right w:val="single" w:sz="8" w:color="E3E5F3"/>
            </w:tcBorders>
            <w:gridSpan w:val="9"/>
            <w:shd w:val="clear" w:color="auto" w:fill="E3E5F3"/>
          </w:tcPr>
          <w:p>
            <w:pPr>
              <w:spacing w:after="0" w:line="168" w:lineRule="exact"/>
              <w:rPr>
                <w:sz w:val="20"/>
                <w:szCs w:val="20"/>
                <w:color w:val="auto"/>
              </w:rPr>
            </w:pPr>
            <w:r>
              <w:rPr>
                <w:rFonts w:ascii="Arial" w:cs="Arial" w:eastAsia="Arial" w:hAnsi="Arial"/>
                <w:sz w:val="16"/>
                <w:szCs w:val="16"/>
                <w:b w:val="1"/>
                <w:bCs w:val="1"/>
                <w:color w:val="0000EE"/>
              </w:rPr>
              <w:t>Stockholders Meeting</w:t>
            </w:r>
          </w:p>
        </w:tc>
        <w:tc>
          <w:tcPr>
            <w:tcW w:w="900" w:type="dxa"/>
            <w:vAlign w:val="bottom"/>
            <w:tcBorders>
              <w:top w:val="single" w:sz="8" w:color="E3E5F3"/>
              <w:right w:val="single" w:sz="8" w:color="E3E5F3"/>
            </w:tcBorders>
            <w:gridSpan w:val="6"/>
            <w:shd w:val="clear" w:color="auto" w:fill="E3E5F3"/>
          </w:tcPr>
          <w:p>
            <w:pPr>
              <w:spacing w:after="0"/>
              <w:rPr>
                <w:sz w:val="14"/>
                <w:szCs w:val="14"/>
                <w:color w:val="auto"/>
              </w:rPr>
            </w:pPr>
          </w:p>
        </w:tc>
        <w:tc>
          <w:tcPr>
            <w:tcW w:w="100" w:type="dxa"/>
            <w:vAlign w:val="bottom"/>
            <w:tcBorders>
              <w:top w:val="single" w:sz="8" w:color="E3E5F3"/>
            </w:tcBorders>
            <w:shd w:val="clear" w:color="auto" w:fill="E3E5F3"/>
          </w:tcPr>
          <w:p>
            <w:pPr>
              <w:spacing w:after="0"/>
              <w:rPr>
                <w:sz w:val="14"/>
                <w:szCs w:val="14"/>
                <w:color w:val="auto"/>
              </w:rPr>
            </w:pPr>
          </w:p>
        </w:tc>
        <w:tc>
          <w:tcPr>
            <w:tcW w:w="100" w:type="dxa"/>
            <w:vAlign w:val="bottom"/>
            <w:tcBorders>
              <w:top w:val="single" w:sz="8" w:color="E3E5F3"/>
              <w:right w:val="single" w:sz="8" w:color="E3E5F3"/>
            </w:tcBorders>
            <w:shd w:val="clear" w:color="auto" w:fill="E3E5F3"/>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E3E5F3"/>
          </w:tcPr>
          <w:p>
            <w:pPr>
              <w:spacing w:after="0" w:line="20" w:lineRule="exact"/>
              <w:rPr>
                <w:sz w:val="1"/>
                <w:szCs w:val="1"/>
                <w:color w:val="auto"/>
              </w:rPr>
            </w:pPr>
          </w:p>
        </w:tc>
        <w:tc>
          <w:tcPr>
            <w:tcW w:w="1660" w:type="dxa"/>
            <w:vAlign w:val="bottom"/>
            <w:tcBorders>
              <w:right w:val="single" w:sz="8" w:color="0000EE"/>
            </w:tcBorders>
            <w:gridSpan w:val="5"/>
            <w:shd w:val="clear" w:color="auto" w:fill="0000EE"/>
          </w:tcPr>
          <w:p>
            <w:pPr>
              <w:spacing w:after="0" w:line="20" w:lineRule="exact"/>
              <w:rPr>
                <w:sz w:val="1"/>
                <w:szCs w:val="1"/>
                <w:color w:val="auto"/>
              </w:rPr>
            </w:pPr>
          </w:p>
        </w:tc>
        <w:tc>
          <w:tcPr>
            <w:tcW w:w="720" w:type="dxa"/>
            <w:vAlign w:val="bottom"/>
            <w:tcBorders>
              <w:right w:val="single" w:sz="8" w:color="E3E5F3"/>
            </w:tcBorders>
            <w:gridSpan w:val="4"/>
            <w:shd w:val="clear" w:color="auto" w:fill="E3E5F3"/>
          </w:tcPr>
          <w:p>
            <w:pPr>
              <w:spacing w:after="0" w:line="20" w:lineRule="exact"/>
              <w:rPr>
                <w:sz w:val="1"/>
                <w:szCs w:val="1"/>
                <w:color w:val="auto"/>
              </w:rPr>
            </w:pPr>
          </w:p>
        </w:tc>
        <w:tc>
          <w:tcPr>
            <w:tcW w:w="900" w:type="dxa"/>
            <w:vAlign w:val="bottom"/>
            <w:tcBorders>
              <w:right w:val="single" w:sz="8" w:color="E3E5F3"/>
            </w:tcBorders>
            <w:gridSpan w:val="6"/>
            <w:shd w:val="clear" w:color="auto" w:fill="E3E5F3"/>
          </w:tcPr>
          <w:p>
            <w:pPr>
              <w:spacing w:after="0" w:line="20" w:lineRule="exact"/>
              <w:rPr>
                <w:sz w:val="1"/>
                <w:szCs w:val="1"/>
                <w:color w:val="auto"/>
              </w:rPr>
            </w:pPr>
          </w:p>
        </w:tc>
        <w:tc>
          <w:tcPr>
            <w:tcW w:w="100" w:type="dxa"/>
            <w:vAlign w:val="bottom"/>
            <w:shd w:val="clear" w:color="auto" w:fill="E3E5F3"/>
          </w:tcPr>
          <w:p>
            <w:pPr>
              <w:spacing w:after="0" w:line="20" w:lineRule="exact"/>
              <w:rPr>
                <w:sz w:val="1"/>
                <w:szCs w:val="1"/>
                <w:color w:val="auto"/>
              </w:rPr>
            </w:pPr>
          </w:p>
        </w:tc>
        <w:tc>
          <w:tcPr>
            <w:tcW w:w="100" w:type="dxa"/>
            <w:vAlign w:val="bottom"/>
            <w:tcBorders>
              <w:right w:val="single" w:sz="8" w:color="E3E5F3"/>
            </w:tcBorders>
            <w:shd w:val="clear" w:color="auto" w:fill="E3E5F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60" w:type="dxa"/>
            <w:vAlign w:val="bottom"/>
            <w:shd w:val="clear" w:color="auto" w:fill="E3E5F3"/>
          </w:tcPr>
          <w:p>
            <w:pPr>
              <w:spacing w:after="0"/>
              <w:rPr>
                <w:sz w:val="24"/>
                <w:szCs w:val="24"/>
                <w:color w:val="auto"/>
              </w:rPr>
            </w:pPr>
          </w:p>
        </w:tc>
        <w:tc>
          <w:tcPr>
            <w:tcW w:w="3380" w:type="dxa"/>
            <w:vAlign w:val="bottom"/>
            <w:gridSpan w:val="16"/>
            <w:shd w:val="clear" w:color="auto" w:fill="E3E5F3"/>
          </w:tcPr>
          <w:p>
            <w:pPr>
              <w:spacing w:after="0"/>
              <w:rPr>
                <w:sz w:val="20"/>
                <w:szCs w:val="20"/>
                <w:color w:val="auto"/>
              </w:rPr>
            </w:pPr>
            <w:r>
              <w:rPr>
                <w:rFonts w:ascii="Arial" w:cs="Arial" w:eastAsia="Arial" w:hAnsi="Arial"/>
                <w:sz w:val="16"/>
                <w:szCs w:val="16"/>
                <w:b w:val="1"/>
                <w:bCs w:val="1"/>
                <w:color w:val="0000EE"/>
              </w:rPr>
              <w:t xml:space="preserve">Annex A – North American Exploration and </w:t>
            </w:r>
            <w:r>
              <w:rPr>
                <w:rFonts w:ascii="Times New Roman" w:cs="Times New Roman" w:eastAsia="Times New Roman" w:hAnsi="Times New Roman"/>
                <w:sz w:val="3"/>
                <w:szCs w:val="3"/>
                <w:color w:val="000000"/>
              </w:rPr>
              <w:t>​</w:t>
            </w:r>
          </w:p>
        </w:tc>
        <w:tc>
          <w:tcPr>
            <w:tcW w:w="100" w:type="dxa"/>
            <w:vAlign w:val="bottom"/>
            <w:tcBorders>
              <w:right w:val="single" w:sz="8" w:color="E3E5F3"/>
            </w:tcBorders>
            <w:shd w:val="clear" w:color="auto" w:fill="E3E5F3"/>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4"/>
                <w:szCs w:val="24"/>
                <w:color w:val="auto"/>
              </w:rPr>
            </w:pP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0000EE"/>
                <w:w w:val="73"/>
              </w:rPr>
              <w:t>A-1</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67"/>
        </w:trPr>
        <w:tc>
          <w:tcPr>
            <w:tcW w:w="160" w:type="dxa"/>
            <w:vAlign w:val="bottom"/>
            <w:tcBorders>
              <w:top w:val="single" w:sz="8" w:color="E3E5F3"/>
            </w:tcBorders>
            <w:shd w:val="clear" w:color="auto" w:fill="E3E5F3"/>
          </w:tcPr>
          <w:p>
            <w:pPr>
              <w:spacing w:after="0"/>
              <w:rPr>
                <w:sz w:val="14"/>
                <w:szCs w:val="14"/>
                <w:color w:val="auto"/>
              </w:rPr>
            </w:pPr>
          </w:p>
        </w:tc>
        <w:tc>
          <w:tcPr>
            <w:tcW w:w="3280" w:type="dxa"/>
            <w:vAlign w:val="bottom"/>
            <w:tcBorders>
              <w:top w:val="single" w:sz="8" w:color="0000EE"/>
              <w:right w:val="single" w:sz="8" w:color="E3E5F3"/>
            </w:tcBorders>
            <w:gridSpan w:val="15"/>
            <w:shd w:val="clear" w:color="auto" w:fill="E3E5F3"/>
          </w:tcPr>
          <w:p>
            <w:pPr>
              <w:spacing w:after="0" w:line="168" w:lineRule="exact"/>
              <w:rPr>
                <w:sz w:val="20"/>
                <w:szCs w:val="20"/>
                <w:color w:val="auto"/>
              </w:rPr>
            </w:pPr>
            <w:r>
              <w:rPr>
                <w:rFonts w:ascii="Arial" w:cs="Arial" w:eastAsia="Arial" w:hAnsi="Arial"/>
                <w:sz w:val="16"/>
                <w:szCs w:val="16"/>
                <w:b w:val="1"/>
                <w:bCs w:val="1"/>
                <w:color w:val="0000EE"/>
              </w:rPr>
              <w:t>Production Survey Companies</w:t>
            </w:r>
          </w:p>
        </w:tc>
        <w:tc>
          <w:tcPr>
            <w:tcW w:w="100" w:type="dxa"/>
            <w:vAlign w:val="bottom"/>
            <w:tcBorders>
              <w:top w:val="single" w:sz="8" w:color="E3E5F3"/>
            </w:tcBorders>
            <w:shd w:val="clear" w:color="auto" w:fill="E3E5F3"/>
          </w:tcPr>
          <w:p>
            <w:pPr>
              <w:spacing w:after="0"/>
              <w:rPr>
                <w:sz w:val="14"/>
                <w:szCs w:val="14"/>
                <w:color w:val="auto"/>
              </w:rPr>
            </w:pPr>
          </w:p>
        </w:tc>
        <w:tc>
          <w:tcPr>
            <w:tcW w:w="100" w:type="dxa"/>
            <w:vAlign w:val="bottom"/>
            <w:tcBorders>
              <w:top w:val="single" w:sz="8" w:color="E3E5F3"/>
              <w:right w:val="single" w:sz="8" w:color="E3E5F3"/>
            </w:tcBorders>
            <w:shd w:val="clear" w:color="auto" w:fill="E3E5F3"/>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60" w:type="dxa"/>
            <w:vAlign w:val="bottom"/>
            <w:tcBorders>
              <w:top w:val="single" w:sz="8" w:color="E3E5F3"/>
            </w:tcBorders>
            <w:shd w:val="clear" w:color="auto" w:fill="E3E5F3"/>
          </w:tcPr>
          <w:p>
            <w:pPr>
              <w:spacing w:after="0"/>
              <w:rPr>
                <w:sz w:val="4"/>
                <w:szCs w:val="4"/>
                <w:color w:val="auto"/>
              </w:rPr>
            </w:pPr>
          </w:p>
        </w:tc>
        <w:tc>
          <w:tcPr>
            <w:tcW w:w="260" w:type="dxa"/>
            <w:vAlign w:val="bottom"/>
            <w:tcBorders>
              <w:top w:val="single" w:sz="8" w:color="0000EE"/>
            </w:tcBorders>
            <w:shd w:val="clear" w:color="auto" w:fill="E3E5F3"/>
          </w:tcPr>
          <w:p>
            <w:pPr>
              <w:spacing w:after="0"/>
              <w:rPr>
                <w:sz w:val="4"/>
                <w:szCs w:val="4"/>
                <w:color w:val="auto"/>
              </w:rPr>
            </w:pPr>
          </w:p>
        </w:tc>
        <w:tc>
          <w:tcPr>
            <w:tcW w:w="800" w:type="dxa"/>
            <w:vAlign w:val="bottom"/>
            <w:tcBorders>
              <w:top w:val="single" w:sz="8" w:color="0000EE"/>
              <w:right w:val="single" w:sz="8" w:color="E3E5F3"/>
            </w:tcBorders>
            <w:shd w:val="clear" w:color="auto" w:fill="E3E5F3"/>
          </w:tcPr>
          <w:p>
            <w:pPr>
              <w:spacing w:after="0"/>
              <w:rPr>
                <w:sz w:val="4"/>
                <w:szCs w:val="4"/>
                <w:color w:val="auto"/>
              </w:rPr>
            </w:pPr>
          </w:p>
        </w:tc>
        <w:tc>
          <w:tcPr>
            <w:tcW w:w="260" w:type="dxa"/>
            <w:vAlign w:val="bottom"/>
            <w:tcBorders>
              <w:top w:val="single" w:sz="8" w:color="0000EE"/>
              <w:right w:val="single" w:sz="8" w:color="E3E5F3"/>
            </w:tcBorders>
            <w:shd w:val="clear" w:color="auto" w:fill="E3E5F3"/>
          </w:tcPr>
          <w:p>
            <w:pPr>
              <w:spacing w:after="0"/>
              <w:rPr>
                <w:sz w:val="4"/>
                <w:szCs w:val="4"/>
                <w:color w:val="auto"/>
              </w:rPr>
            </w:pPr>
          </w:p>
        </w:tc>
        <w:tc>
          <w:tcPr>
            <w:tcW w:w="160" w:type="dxa"/>
            <w:vAlign w:val="bottom"/>
            <w:tcBorders>
              <w:top w:val="single" w:sz="8" w:color="0000EE"/>
              <w:right w:val="single" w:sz="8" w:color="E3E5F3"/>
            </w:tcBorders>
            <w:shd w:val="clear" w:color="auto" w:fill="E3E5F3"/>
          </w:tcPr>
          <w:p>
            <w:pPr>
              <w:spacing w:after="0"/>
              <w:rPr>
                <w:sz w:val="4"/>
                <w:szCs w:val="4"/>
                <w:color w:val="auto"/>
              </w:rPr>
            </w:pPr>
          </w:p>
        </w:tc>
        <w:tc>
          <w:tcPr>
            <w:tcW w:w="180" w:type="dxa"/>
            <w:vAlign w:val="bottom"/>
            <w:tcBorders>
              <w:top w:val="single" w:sz="8" w:color="0000EE"/>
              <w:right w:val="single" w:sz="8" w:color="E3E5F3"/>
            </w:tcBorders>
            <w:shd w:val="clear" w:color="auto" w:fill="E3E5F3"/>
          </w:tcPr>
          <w:p>
            <w:pPr>
              <w:spacing w:after="0"/>
              <w:rPr>
                <w:sz w:val="4"/>
                <w:szCs w:val="4"/>
                <w:color w:val="auto"/>
              </w:rPr>
            </w:pPr>
          </w:p>
        </w:tc>
        <w:tc>
          <w:tcPr>
            <w:tcW w:w="200" w:type="dxa"/>
            <w:vAlign w:val="bottom"/>
            <w:tcBorders>
              <w:top w:val="single" w:sz="8" w:color="0000EE"/>
              <w:right w:val="single" w:sz="8" w:color="E3E5F3"/>
            </w:tcBorders>
            <w:shd w:val="clear" w:color="auto" w:fill="E3E5F3"/>
          </w:tcPr>
          <w:p>
            <w:pPr>
              <w:spacing w:after="0"/>
              <w:rPr>
                <w:sz w:val="4"/>
                <w:szCs w:val="4"/>
                <w:color w:val="auto"/>
              </w:rPr>
            </w:pPr>
          </w:p>
        </w:tc>
        <w:tc>
          <w:tcPr>
            <w:tcW w:w="40" w:type="dxa"/>
            <w:vAlign w:val="bottom"/>
            <w:tcBorders>
              <w:top w:val="single" w:sz="8" w:color="0000EE"/>
            </w:tcBorders>
            <w:shd w:val="clear" w:color="auto" w:fill="E3E5F3"/>
          </w:tcPr>
          <w:p>
            <w:pPr>
              <w:spacing w:after="0"/>
              <w:rPr>
                <w:sz w:val="4"/>
                <w:szCs w:val="4"/>
                <w:color w:val="auto"/>
              </w:rPr>
            </w:pPr>
          </w:p>
        </w:tc>
        <w:tc>
          <w:tcPr>
            <w:tcW w:w="160" w:type="dxa"/>
            <w:vAlign w:val="bottom"/>
            <w:tcBorders>
              <w:top w:val="single" w:sz="8" w:color="0000EE"/>
              <w:right w:val="single" w:sz="8" w:color="E3E5F3"/>
            </w:tcBorders>
            <w:shd w:val="clear" w:color="auto" w:fill="E3E5F3"/>
          </w:tcPr>
          <w:p>
            <w:pPr>
              <w:spacing w:after="0"/>
              <w:rPr>
                <w:sz w:val="4"/>
                <w:szCs w:val="4"/>
                <w:color w:val="auto"/>
              </w:rPr>
            </w:pPr>
          </w:p>
        </w:tc>
        <w:tc>
          <w:tcPr>
            <w:tcW w:w="320" w:type="dxa"/>
            <w:vAlign w:val="bottom"/>
            <w:tcBorders>
              <w:top w:val="single" w:sz="8" w:color="0000EE"/>
              <w:right w:val="single" w:sz="8" w:color="E3E5F3"/>
            </w:tcBorders>
            <w:shd w:val="clear" w:color="auto" w:fill="E3E5F3"/>
          </w:tcPr>
          <w:p>
            <w:pPr>
              <w:spacing w:after="0"/>
              <w:rPr>
                <w:sz w:val="4"/>
                <w:szCs w:val="4"/>
                <w:color w:val="auto"/>
              </w:rPr>
            </w:pPr>
          </w:p>
        </w:tc>
        <w:tc>
          <w:tcPr>
            <w:tcW w:w="140" w:type="dxa"/>
            <w:vAlign w:val="bottom"/>
            <w:tcBorders>
              <w:top w:val="single" w:sz="8" w:color="E3E5F3"/>
              <w:right w:val="single" w:sz="8" w:color="E3E5F3"/>
            </w:tcBorders>
            <w:shd w:val="clear" w:color="auto" w:fill="E3E5F3"/>
          </w:tcPr>
          <w:p>
            <w:pPr>
              <w:spacing w:after="0"/>
              <w:rPr>
                <w:sz w:val="4"/>
                <w:szCs w:val="4"/>
                <w:color w:val="auto"/>
              </w:rPr>
            </w:pPr>
          </w:p>
        </w:tc>
        <w:tc>
          <w:tcPr>
            <w:tcW w:w="120" w:type="dxa"/>
            <w:vAlign w:val="bottom"/>
            <w:tcBorders>
              <w:top w:val="single" w:sz="8" w:color="E3E5F3"/>
            </w:tcBorders>
            <w:shd w:val="clear" w:color="auto" w:fill="E3E5F3"/>
          </w:tcPr>
          <w:p>
            <w:pPr>
              <w:spacing w:after="0"/>
              <w:rPr>
                <w:sz w:val="4"/>
                <w:szCs w:val="4"/>
                <w:color w:val="auto"/>
              </w:rPr>
            </w:pPr>
          </w:p>
        </w:tc>
        <w:tc>
          <w:tcPr>
            <w:tcW w:w="160" w:type="dxa"/>
            <w:vAlign w:val="bottom"/>
            <w:tcBorders>
              <w:top w:val="single" w:sz="8" w:color="E3E5F3"/>
            </w:tcBorders>
            <w:shd w:val="clear" w:color="auto" w:fill="E3E5F3"/>
          </w:tcPr>
          <w:p>
            <w:pPr>
              <w:spacing w:after="0"/>
              <w:rPr>
                <w:sz w:val="4"/>
                <w:szCs w:val="4"/>
                <w:color w:val="auto"/>
              </w:rPr>
            </w:pPr>
          </w:p>
        </w:tc>
        <w:tc>
          <w:tcPr>
            <w:tcW w:w="180" w:type="dxa"/>
            <w:vAlign w:val="bottom"/>
            <w:tcBorders>
              <w:top w:val="single" w:sz="8" w:color="E3E5F3"/>
            </w:tcBorders>
            <w:shd w:val="clear" w:color="auto" w:fill="E3E5F3"/>
          </w:tcPr>
          <w:p>
            <w:pPr>
              <w:spacing w:after="0"/>
              <w:rPr>
                <w:sz w:val="4"/>
                <w:szCs w:val="4"/>
                <w:color w:val="auto"/>
              </w:rPr>
            </w:pPr>
          </w:p>
        </w:tc>
        <w:tc>
          <w:tcPr>
            <w:tcW w:w="20" w:type="dxa"/>
            <w:vAlign w:val="bottom"/>
            <w:tcBorders>
              <w:top w:val="single" w:sz="8" w:color="E3E5F3"/>
            </w:tcBorders>
            <w:shd w:val="clear" w:color="auto" w:fill="E3E5F3"/>
          </w:tcPr>
          <w:p>
            <w:pPr>
              <w:spacing w:after="0"/>
              <w:rPr>
                <w:sz w:val="4"/>
                <w:szCs w:val="4"/>
                <w:color w:val="auto"/>
              </w:rPr>
            </w:pPr>
          </w:p>
        </w:tc>
        <w:tc>
          <w:tcPr>
            <w:tcW w:w="280" w:type="dxa"/>
            <w:vAlign w:val="bottom"/>
            <w:tcBorders>
              <w:top w:val="single" w:sz="8" w:color="E3E5F3"/>
              <w:right w:val="single" w:sz="8" w:color="E3E5F3"/>
            </w:tcBorders>
            <w:shd w:val="clear" w:color="auto" w:fill="E3E5F3"/>
          </w:tcPr>
          <w:p>
            <w:pPr>
              <w:spacing w:after="0"/>
              <w:rPr>
                <w:sz w:val="4"/>
                <w:szCs w:val="4"/>
                <w:color w:val="auto"/>
              </w:rPr>
            </w:pPr>
          </w:p>
        </w:tc>
        <w:tc>
          <w:tcPr>
            <w:tcW w:w="100" w:type="dxa"/>
            <w:vAlign w:val="bottom"/>
            <w:tcBorders>
              <w:top w:val="single" w:sz="8" w:color="E3E5F3"/>
            </w:tcBorders>
            <w:shd w:val="clear" w:color="auto" w:fill="E3E5F3"/>
          </w:tcPr>
          <w:p>
            <w:pPr>
              <w:spacing w:after="0"/>
              <w:rPr>
                <w:sz w:val="4"/>
                <w:szCs w:val="4"/>
                <w:color w:val="auto"/>
              </w:rPr>
            </w:pPr>
          </w:p>
        </w:tc>
        <w:tc>
          <w:tcPr>
            <w:tcW w:w="100" w:type="dxa"/>
            <w:vAlign w:val="bottom"/>
            <w:tcBorders>
              <w:top w:val="single" w:sz="8" w:color="E3E5F3"/>
              <w:right w:val="single" w:sz="8" w:color="E3E5F3"/>
            </w:tcBorders>
            <w:shd w:val="clear" w:color="auto" w:fill="E3E5F3"/>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1929765</wp:posOffset>
            </wp:positionV>
            <wp:extent cx="69380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-4990465</wp:posOffset>
            </wp:positionV>
            <wp:extent cx="408305" cy="4991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8305" cy="4991100"/>
                    </a:xfrm>
                    <a:prstGeom prst="rect">
                      <a:avLst/>
                    </a:prstGeom>
                    <a:noFill/>
                  </pic:spPr>
                </pic:pic>
              </a:graphicData>
            </a:graphic>
          </wp:anchor>
        </w:drawing>
      </w:r>
    </w:p>
    <w:p>
      <w:pPr>
        <w:sectPr>
          <w:pgSz w:w="11900" w:h="16838" w:orient="portrait"/>
          <w:cols w:equalWidth="0" w:num="2">
            <w:col w:w="4400" w:space="220"/>
            <w:col w:w="4399"/>
          </w:cols>
          <w:pgMar w:left="1440" w:top="262" w:right="1440" w:bottom="1440" w:gutter="0" w:footer="0" w:header="0"/>
          <w:type w:val="continuous"/>
        </w:sectPr>
      </w:pPr>
    </w:p>
    <w:bookmarkStart w:id="5" w:name="page6"/>
    <w:bookmarkEnd w:id="5"/>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245110</wp:posOffset>
            </wp:positionV>
            <wp:extent cx="53054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05425" cy="17145"/>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330200</wp:posOffset>
            </wp:positionV>
            <wp:extent cx="1496695" cy="416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6695" cy="41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Kosmos Energy Ltd.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8176 Park Lane, Suite 500</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Dallas, Texas 75231</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April 28, 2022</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NOTICE OF VIRTUAL ANNUAL STOCKHOLDERS MEETING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BE HELD ON THURSDAY, JUNE 9, 2022</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 the Stockholders of Kosmos Energy Ltd.:</w:t>
      </w:r>
    </w:p>
    <w:p>
      <w:pPr>
        <w:spacing w:after="0" w:line="8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You are cordially invited to attend the 2022 annual stockholders meeting of KOSMOS ENERGY LTD.,</w:t>
      </w:r>
    </w:p>
    <w:p>
      <w:pPr>
        <w:spacing w:after="0" w:line="19" w:lineRule="exact"/>
        <w:rPr>
          <w:sz w:val="20"/>
          <w:szCs w:val="20"/>
          <w:color w:val="auto"/>
        </w:rPr>
      </w:pPr>
    </w:p>
    <w:p>
      <w:pPr>
        <w:ind w:left="320" w:right="339"/>
        <w:spacing w:after="0" w:line="256" w:lineRule="auto"/>
        <w:rPr>
          <w:sz w:val="20"/>
          <w:szCs w:val="20"/>
          <w:color w:val="auto"/>
        </w:rPr>
      </w:pPr>
      <w:r>
        <w:rPr>
          <w:rFonts w:ascii="Arial" w:cs="Arial" w:eastAsia="Arial" w:hAnsi="Arial"/>
          <w:sz w:val="16"/>
          <w:szCs w:val="16"/>
          <w:color w:val="auto"/>
        </w:rPr>
        <w:t>a Delaware corporation (the “Company”), which will be held via virtual-only format on Thursday, June 9, 2022, at 8:00 a.m., Central Daylight Time. You will be able to attend the meeting virtually, vote your shares electronically, and submit your questions during the meeting by visiting: www.virtualshareholdermeeting.com/KOS2022 and following the instructions on your proxy card. The meeting will include the following proposals:</w:t>
      </w:r>
    </w:p>
    <w:p>
      <w:pPr>
        <w:spacing w:after="0" w:line="43" w:lineRule="exact"/>
        <w:rPr>
          <w:sz w:val="20"/>
          <w:szCs w:val="20"/>
          <w:color w:val="auto"/>
        </w:rPr>
      </w:pPr>
    </w:p>
    <w:p>
      <w:pPr>
        <w:ind w:left="1040" w:hanging="357"/>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two Class III directors to a three-year term to serve until the 2025 annual stockholders meeting;</w:t>
      </w:r>
    </w:p>
    <w:p>
      <w:pPr>
        <w:spacing w:after="0" w:line="70" w:lineRule="exact"/>
        <w:rPr>
          <w:rFonts w:ascii="Arial" w:cs="Arial" w:eastAsia="Arial" w:hAnsi="Arial"/>
          <w:sz w:val="16"/>
          <w:szCs w:val="16"/>
          <w:color w:val="auto"/>
        </w:rPr>
      </w:pPr>
    </w:p>
    <w:p>
      <w:pPr>
        <w:ind w:left="1040" w:right="419" w:hanging="357"/>
        <w:spacing w:after="0" w:line="27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&amp;Young LLP as our independent registered public accounting firm for the fiscal year ending December 31, 2022 and to authorize the Company’s Audit Committee of the Board of Directors to determine their remuneration;</w:t>
      </w:r>
    </w:p>
    <w:p>
      <w:pPr>
        <w:spacing w:after="0" w:line="30" w:lineRule="exact"/>
        <w:rPr>
          <w:rFonts w:ascii="Arial" w:cs="Arial" w:eastAsia="Arial" w:hAnsi="Arial"/>
          <w:sz w:val="16"/>
          <w:szCs w:val="16"/>
          <w:color w:val="auto"/>
        </w:rPr>
      </w:pPr>
    </w:p>
    <w:p>
      <w:pPr>
        <w:ind w:left="1040" w:hanging="357"/>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provide a non-binding, advisory vote to approve named executive officer compensation; and</w:t>
      </w:r>
    </w:p>
    <w:p>
      <w:pPr>
        <w:spacing w:after="0" w:line="70" w:lineRule="exact"/>
        <w:rPr>
          <w:rFonts w:ascii="Arial" w:cs="Arial" w:eastAsia="Arial" w:hAnsi="Arial"/>
          <w:sz w:val="16"/>
          <w:szCs w:val="16"/>
          <w:color w:val="auto"/>
        </w:rPr>
      </w:pPr>
    </w:p>
    <w:p>
      <w:pPr>
        <w:ind w:left="1040" w:hanging="357"/>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such other business as may properly come before the annual stockholders meeting.</w:t>
      </w:r>
    </w:p>
    <w:p>
      <w:pPr>
        <w:spacing w:after="0" w:line="70" w:lineRule="exact"/>
        <w:rPr>
          <w:sz w:val="20"/>
          <w:szCs w:val="20"/>
          <w:color w:val="auto"/>
        </w:rPr>
      </w:pPr>
    </w:p>
    <w:p>
      <w:pPr>
        <w:ind w:left="320" w:right="479" w:firstLine="357"/>
        <w:spacing w:after="0" w:line="263" w:lineRule="auto"/>
        <w:rPr>
          <w:sz w:val="20"/>
          <w:szCs w:val="20"/>
          <w:color w:val="auto"/>
        </w:rPr>
      </w:pPr>
      <w:r>
        <w:rPr>
          <w:rFonts w:ascii="Arial" w:cs="Arial" w:eastAsia="Arial" w:hAnsi="Arial"/>
          <w:sz w:val="16"/>
          <w:szCs w:val="16"/>
          <w:color w:val="auto"/>
        </w:rPr>
        <w:t>The Board of Directors of the Company has fixed the close of business on April 12, 2022 as the record date for the determination of stockholders entitled to notice of, and to vote at, the meeting and any adjournment or postponement thereof. Only stockholders of record at the close of business on the record date are entitled to notice of, and to vote at, the meeting.</w:t>
      </w:r>
    </w:p>
    <w:p>
      <w:pPr>
        <w:spacing w:after="0" w:line="37" w:lineRule="exact"/>
        <w:rPr>
          <w:sz w:val="20"/>
          <w:szCs w:val="20"/>
          <w:color w:val="auto"/>
        </w:rPr>
      </w:pPr>
    </w:p>
    <w:p>
      <w:pPr>
        <w:jc w:val="both"/>
        <w:ind w:left="320" w:right="439" w:firstLine="357"/>
        <w:spacing w:after="0" w:line="263" w:lineRule="auto"/>
        <w:rPr>
          <w:sz w:val="20"/>
          <w:szCs w:val="20"/>
          <w:color w:val="auto"/>
        </w:rPr>
      </w:pPr>
      <w:r>
        <w:rPr>
          <w:rFonts w:ascii="Arial" w:cs="Arial" w:eastAsia="Arial" w:hAnsi="Arial"/>
          <w:sz w:val="16"/>
          <w:szCs w:val="16"/>
          <w:color w:val="auto"/>
        </w:rPr>
        <w:t>A record of the Company’s activities during 2021 and its financial statements as of and for the fiscal year ended December 31, 2021 is contained in the Company’s 2021 Annual Report on Form 10-K. The Annual Report on Form 10-K does not form any part of the material for solicitation of proxies. Our Chairman and CEO, Mr. Inglis, expects to report on our progress during the past year and respond to stockholders’ questions.</w:t>
      </w:r>
    </w:p>
    <w:p>
      <w:pPr>
        <w:spacing w:after="0" w:line="37" w:lineRule="exact"/>
        <w:rPr>
          <w:sz w:val="20"/>
          <w:szCs w:val="20"/>
          <w:color w:val="auto"/>
        </w:rPr>
      </w:pPr>
    </w:p>
    <w:p>
      <w:pPr>
        <w:ind w:left="320" w:right="339" w:firstLine="357"/>
        <w:spacing w:after="0" w:line="257" w:lineRule="auto"/>
        <w:rPr>
          <w:sz w:val="20"/>
          <w:szCs w:val="20"/>
          <w:color w:val="auto"/>
        </w:rPr>
      </w:pPr>
      <w:r>
        <w:rPr>
          <w:rFonts w:ascii="Arial" w:cs="Arial" w:eastAsia="Arial" w:hAnsi="Arial"/>
          <w:sz w:val="16"/>
          <w:szCs w:val="16"/>
          <w:color w:val="auto"/>
        </w:rPr>
        <w:t>It is important that your shares be represented at the annual stockholders meeting, as a quorum of the stockholders must be present, either at the virtual meeting or by proxy, in order for the meeting to take place. Even if you plan to attend the meeting, we recommend that you vote your shares in advance as described herein so that your vote will be counted if you later decide not to attend the virtual meeting. Your vote and participation in our governance are very important to us. Returning the proxy does not deprive you of your right to attend the virtual meeting and to vote your shares at the virtual meeting. If you returned a proxy but then attend the virtual meeting, you may revoke the proxy and vote at the virtual meeting in accordance with the procedures described herein on all matters submitted at the meeting.</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113030</wp:posOffset>
            </wp:positionV>
            <wp:extent cx="1887220" cy="680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7220" cy="680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Jason E. Doughty</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Senior Vice President, General Counsel and Corporate Secretary</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April 28, 2022</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Dallas, Texas</w:t>
      </w:r>
    </w:p>
    <w:p>
      <w:pPr>
        <w:spacing w:after="0" w:line="87" w:lineRule="exact"/>
        <w:rPr>
          <w:sz w:val="20"/>
          <w:szCs w:val="20"/>
          <w:color w:val="auto"/>
        </w:rPr>
      </w:pPr>
    </w:p>
    <w:p>
      <w:pPr>
        <w:ind w:left="648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130175</wp:posOffset>
            </wp:positionV>
            <wp:extent cx="6938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-149860</wp:posOffset>
            </wp:positionV>
            <wp:extent cx="594995" cy="170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245110</wp:posOffset>
            </wp:positionV>
            <wp:extent cx="53054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Arial" w:cs="Arial" w:eastAsia="Arial" w:hAnsi="Arial"/>
          <w:sz w:val="43"/>
          <w:szCs w:val="43"/>
          <w:color w:val="2A3D6C"/>
        </w:rPr>
        <w:t>CAST YOUR VOTE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value each stockholder playing a part in Kosmos’ future. It is vital that you participate and vote your shares.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Proposals Which Require Your Vote</w:t>
      </w:r>
    </w:p>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259"/>
        </w:trPr>
        <w:tc>
          <w:tcPr>
            <w:tcW w:w="80" w:type="dxa"/>
            <w:vAlign w:val="bottom"/>
            <w:tcBorders>
              <w:right w:val="single" w:sz="8" w:color="606489"/>
            </w:tcBorders>
          </w:tcPr>
          <w:p>
            <w:pPr>
              <w:spacing w:after="0"/>
              <w:rPr>
                <w:sz w:val="22"/>
                <w:szCs w:val="22"/>
                <w:color w:val="auto"/>
              </w:rPr>
            </w:pPr>
          </w:p>
        </w:tc>
        <w:tc>
          <w:tcPr>
            <w:tcW w:w="1120" w:type="dxa"/>
            <w:vAlign w:val="bottom"/>
            <w:shd w:val="clear" w:color="auto" w:fill="606489"/>
          </w:tcPr>
          <w:p>
            <w:pPr>
              <w:spacing w:after="0"/>
              <w:rPr>
                <w:sz w:val="22"/>
                <w:szCs w:val="22"/>
                <w:color w:val="auto"/>
              </w:rPr>
            </w:pPr>
          </w:p>
        </w:tc>
        <w:tc>
          <w:tcPr>
            <w:tcW w:w="80" w:type="dxa"/>
            <w:vAlign w:val="bottom"/>
            <w:shd w:val="clear" w:color="auto" w:fill="606489"/>
          </w:tcPr>
          <w:p>
            <w:pPr>
              <w:spacing w:after="0"/>
              <w:rPr>
                <w:sz w:val="22"/>
                <w:szCs w:val="22"/>
                <w:color w:val="auto"/>
              </w:rPr>
            </w:pPr>
          </w:p>
        </w:tc>
        <w:tc>
          <w:tcPr>
            <w:tcW w:w="3320" w:type="dxa"/>
            <w:vAlign w:val="bottom"/>
            <w:shd w:val="clear" w:color="auto" w:fill="606489"/>
          </w:tcPr>
          <w:p>
            <w:pPr>
              <w:spacing w:after="0"/>
              <w:rPr>
                <w:sz w:val="22"/>
                <w:szCs w:val="22"/>
                <w:color w:val="auto"/>
              </w:rPr>
            </w:pPr>
          </w:p>
        </w:tc>
        <w:tc>
          <w:tcPr>
            <w:tcW w:w="80" w:type="dxa"/>
            <w:vAlign w:val="bottom"/>
            <w:shd w:val="clear" w:color="auto" w:fill="606489"/>
          </w:tcPr>
          <w:p>
            <w:pPr>
              <w:spacing w:after="0"/>
              <w:rPr>
                <w:sz w:val="22"/>
                <w:szCs w:val="22"/>
                <w:color w:val="auto"/>
              </w:rPr>
            </w:pPr>
          </w:p>
        </w:tc>
        <w:tc>
          <w:tcPr>
            <w:tcW w:w="140" w:type="dxa"/>
            <w:vAlign w:val="bottom"/>
            <w:shd w:val="clear" w:color="auto" w:fill="606489"/>
          </w:tcPr>
          <w:p>
            <w:pPr>
              <w:spacing w:after="0"/>
              <w:rPr>
                <w:sz w:val="22"/>
                <w:szCs w:val="22"/>
                <w:color w:val="auto"/>
              </w:rPr>
            </w:pPr>
          </w:p>
        </w:tc>
        <w:tc>
          <w:tcPr>
            <w:tcW w:w="580" w:type="dxa"/>
            <w:vAlign w:val="bottom"/>
            <w:shd w:val="clear" w:color="auto" w:fill="606489"/>
          </w:tcPr>
          <w:p>
            <w:pPr>
              <w:spacing w:after="0"/>
              <w:rPr>
                <w:sz w:val="22"/>
                <w:szCs w:val="22"/>
                <w:color w:val="auto"/>
              </w:rPr>
            </w:pPr>
          </w:p>
        </w:tc>
        <w:tc>
          <w:tcPr>
            <w:tcW w:w="60" w:type="dxa"/>
            <w:vAlign w:val="bottom"/>
            <w:shd w:val="clear" w:color="auto" w:fill="606489"/>
          </w:tcPr>
          <w:p>
            <w:pPr>
              <w:spacing w:after="0"/>
              <w:rPr>
                <w:sz w:val="22"/>
                <w:szCs w:val="22"/>
                <w:color w:val="auto"/>
              </w:rPr>
            </w:pPr>
          </w:p>
        </w:tc>
        <w:tc>
          <w:tcPr>
            <w:tcW w:w="80" w:type="dxa"/>
            <w:vAlign w:val="bottom"/>
            <w:shd w:val="clear" w:color="auto" w:fill="606489"/>
          </w:tcPr>
          <w:p>
            <w:pPr>
              <w:spacing w:after="0"/>
              <w:rPr>
                <w:sz w:val="22"/>
                <w:szCs w:val="22"/>
                <w:color w:val="auto"/>
              </w:rPr>
            </w:pPr>
          </w:p>
        </w:tc>
        <w:tc>
          <w:tcPr>
            <w:tcW w:w="40" w:type="dxa"/>
            <w:vAlign w:val="bottom"/>
            <w:shd w:val="clear" w:color="auto" w:fill="606489"/>
          </w:tcPr>
          <w:p>
            <w:pPr>
              <w:spacing w:after="0"/>
              <w:rPr>
                <w:sz w:val="22"/>
                <w:szCs w:val="22"/>
                <w:color w:val="auto"/>
              </w:rPr>
            </w:pPr>
          </w:p>
        </w:tc>
        <w:tc>
          <w:tcPr>
            <w:tcW w:w="160" w:type="dxa"/>
            <w:vAlign w:val="bottom"/>
            <w:shd w:val="clear" w:color="auto" w:fill="606489"/>
          </w:tcPr>
          <w:p>
            <w:pPr>
              <w:spacing w:after="0"/>
              <w:rPr>
                <w:sz w:val="22"/>
                <w:szCs w:val="22"/>
                <w:color w:val="auto"/>
              </w:rPr>
            </w:pPr>
          </w:p>
        </w:tc>
        <w:tc>
          <w:tcPr>
            <w:tcW w:w="80" w:type="dxa"/>
            <w:vAlign w:val="bottom"/>
            <w:shd w:val="clear" w:color="auto" w:fill="606489"/>
          </w:tcPr>
          <w:p>
            <w:pPr>
              <w:spacing w:after="0"/>
              <w:rPr>
                <w:sz w:val="22"/>
                <w:szCs w:val="22"/>
                <w:color w:val="auto"/>
              </w:rPr>
            </w:pPr>
          </w:p>
        </w:tc>
        <w:tc>
          <w:tcPr>
            <w:tcW w:w="100" w:type="dxa"/>
            <w:vAlign w:val="bottom"/>
            <w:shd w:val="clear" w:color="auto" w:fill="606489"/>
          </w:tcPr>
          <w:p>
            <w:pPr>
              <w:spacing w:after="0"/>
              <w:rPr>
                <w:sz w:val="22"/>
                <w:szCs w:val="22"/>
                <w:color w:val="auto"/>
              </w:rPr>
            </w:pPr>
          </w:p>
        </w:tc>
        <w:tc>
          <w:tcPr>
            <w:tcW w:w="1200" w:type="dxa"/>
            <w:vAlign w:val="bottom"/>
            <w:shd w:val="clear" w:color="auto" w:fill="606489"/>
          </w:tcPr>
          <w:p>
            <w:pPr>
              <w:spacing w:after="0"/>
              <w:rPr>
                <w:sz w:val="22"/>
                <w:szCs w:val="22"/>
                <w:color w:val="auto"/>
              </w:rPr>
            </w:pPr>
          </w:p>
        </w:tc>
        <w:tc>
          <w:tcPr>
            <w:tcW w:w="40" w:type="dxa"/>
            <w:vAlign w:val="bottom"/>
            <w:shd w:val="clear" w:color="auto" w:fill="606489"/>
          </w:tcPr>
          <w:p>
            <w:pPr>
              <w:spacing w:after="0"/>
              <w:rPr>
                <w:sz w:val="22"/>
                <w:szCs w:val="22"/>
                <w:color w:val="auto"/>
              </w:rPr>
            </w:pPr>
          </w:p>
        </w:tc>
        <w:tc>
          <w:tcPr>
            <w:tcW w:w="140" w:type="dxa"/>
            <w:vAlign w:val="bottom"/>
            <w:shd w:val="clear" w:color="auto" w:fill="606489"/>
          </w:tcPr>
          <w:p>
            <w:pPr>
              <w:spacing w:after="0"/>
              <w:rPr>
                <w:sz w:val="22"/>
                <w:szCs w:val="22"/>
                <w:color w:val="auto"/>
              </w:rPr>
            </w:pPr>
          </w:p>
        </w:tc>
        <w:tc>
          <w:tcPr>
            <w:tcW w:w="940" w:type="dxa"/>
            <w:vAlign w:val="bottom"/>
            <w:shd w:val="clear" w:color="auto" w:fill="606489"/>
          </w:tcPr>
          <w:p>
            <w:pPr>
              <w:jc w:val="center"/>
              <w:spacing w:after="0"/>
              <w:rPr>
                <w:sz w:val="20"/>
                <w:szCs w:val="20"/>
                <w:color w:val="auto"/>
              </w:rPr>
            </w:pPr>
            <w:r>
              <w:rPr>
                <w:rFonts w:ascii="Arial" w:cs="Arial" w:eastAsia="Arial" w:hAnsi="Arial"/>
                <w:sz w:val="14"/>
                <w:szCs w:val="14"/>
                <w:b w:val="1"/>
                <w:bCs w:val="1"/>
                <w:color w:val="FFFFFF"/>
                <w:w w:val="99"/>
              </w:rPr>
              <w:t>Votes</w:t>
            </w:r>
          </w:p>
        </w:tc>
        <w:tc>
          <w:tcPr>
            <w:tcW w:w="120" w:type="dxa"/>
            <w:vAlign w:val="bottom"/>
            <w:shd w:val="clear" w:color="auto" w:fill="606489"/>
          </w:tcPr>
          <w:p>
            <w:pPr>
              <w:spacing w:after="0"/>
              <w:rPr>
                <w:sz w:val="22"/>
                <w:szCs w:val="22"/>
                <w:color w:val="auto"/>
              </w:rPr>
            </w:pPr>
          </w:p>
        </w:tc>
      </w:tr>
      <w:tr>
        <w:trPr>
          <w:trHeight w:val="161"/>
        </w:trPr>
        <w:tc>
          <w:tcPr>
            <w:tcW w:w="80" w:type="dxa"/>
            <w:vAlign w:val="bottom"/>
            <w:tcBorders>
              <w:right w:val="single" w:sz="8" w:color="606489"/>
            </w:tcBorders>
          </w:tcPr>
          <w:p>
            <w:pPr>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shd w:val="clear" w:color="auto" w:fill="606489"/>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60648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320" w:type="dxa"/>
            <w:vAlign w:val="bottom"/>
            <w:shd w:val="clear" w:color="auto" w:fill="606489"/>
          </w:tcPr>
          <w:p>
            <w:pPr>
              <w:spacing w:after="0"/>
              <w:rPr>
                <w:sz w:val="13"/>
                <w:szCs w:val="13"/>
                <w:color w:val="auto"/>
              </w:rPr>
            </w:pPr>
          </w:p>
        </w:tc>
        <w:tc>
          <w:tcPr>
            <w:tcW w:w="80" w:type="dxa"/>
            <w:vAlign w:val="bottom"/>
            <w:shd w:val="clear" w:color="auto" w:fill="60648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60648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5"/>
            <w:shd w:val="clear" w:color="auto" w:fill="606489"/>
          </w:tcPr>
          <w:p>
            <w:pPr>
              <w:jc w:val="center"/>
              <w:ind w:right="20"/>
              <w:spacing w:after="0"/>
              <w:rPr>
                <w:sz w:val="20"/>
                <w:szCs w:val="20"/>
                <w:color w:val="auto"/>
              </w:rPr>
            </w:pPr>
            <w:r>
              <w:rPr>
                <w:rFonts w:ascii="Arial" w:cs="Arial" w:eastAsia="Arial" w:hAnsi="Arial"/>
                <w:sz w:val="14"/>
                <w:szCs w:val="14"/>
                <w:b w:val="1"/>
                <w:bCs w:val="1"/>
                <w:color w:val="FFFFFF"/>
              </w:rPr>
              <w:t>Additional</w:t>
            </w:r>
          </w:p>
        </w:tc>
        <w:tc>
          <w:tcPr>
            <w:tcW w:w="80" w:type="dxa"/>
            <w:vAlign w:val="bottom"/>
            <w:shd w:val="clear" w:color="auto" w:fill="60648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60648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shd w:val="clear" w:color="auto" w:fill="606489"/>
          </w:tcPr>
          <w:p>
            <w:pPr>
              <w:jc w:val="center"/>
              <w:spacing w:after="0"/>
              <w:rPr>
                <w:sz w:val="20"/>
                <w:szCs w:val="20"/>
                <w:color w:val="auto"/>
              </w:rPr>
            </w:pPr>
            <w:r>
              <w:rPr>
                <w:rFonts w:ascii="Arial" w:cs="Arial" w:eastAsia="Arial" w:hAnsi="Arial"/>
                <w:sz w:val="14"/>
                <w:szCs w:val="14"/>
                <w:b w:val="1"/>
                <w:bCs w:val="1"/>
                <w:color w:val="FFFFFF"/>
                <w:w w:val="98"/>
              </w:rPr>
              <w:t>Board</w:t>
            </w:r>
          </w:p>
        </w:tc>
        <w:tc>
          <w:tcPr>
            <w:tcW w:w="40" w:type="dxa"/>
            <w:vAlign w:val="bottom"/>
            <w:shd w:val="clear" w:color="auto" w:fill="606489"/>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60648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shd w:val="clear" w:color="auto" w:fill="606489"/>
          </w:tcPr>
          <w:p>
            <w:pPr>
              <w:jc w:val="center"/>
              <w:spacing w:after="0"/>
              <w:rPr>
                <w:sz w:val="20"/>
                <w:szCs w:val="20"/>
                <w:color w:val="auto"/>
              </w:rPr>
            </w:pPr>
            <w:r>
              <w:rPr>
                <w:rFonts w:ascii="Arial" w:cs="Arial" w:eastAsia="Arial" w:hAnsi="Arial"/>
                <w:sz w:val="14"/>
                <w:szCs w:val="14"/>
                <w:b w:val="1"/>
                <w:bCs w:val="1"/>
                <w:color w:val="FFFFFF"/>
              </w:rPr>
              <w:t>required</w:t>
            </w:r>
          </w:p>
        </w:tc>
        <w:tc>
          <w:tcPr>
            <w:tcW w:w="120" w:type="dxa"/>
            <w:vAlign w:val="bottom"/>
            <w:shd w:val="clear" w:color="auto" w:fill="606489"/>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04"/>
        </w:trPr>
        <w:tc>
          <w:tcPr>
            <w:tcW w:w="80" w:type="dxa"/>
            <w:vAlign w:val="bottom"/>
            <w:tcBorders>
              <w:right w:val="single" w:sz="8" w:color="606489"/>
            </w:tcBorders>
          </w:tcPr>
          <w:p>
            <w:pPr>
              <w:spacing w:after="0"/>
              <w:rPr>
                <w:sz w:val="17"/>
                <w:szCs w:val="17"/>
                <w:color w:val="auto"/>
              </w:rPr>
            </w:pPr>
          </w:p>
        </w:tc>
        <w:tc>
          <w:tcPr>
            <w:tcW w:w="1120" w:type="dxa"/>
            <w:vAlign w:val="bottom"/>
            <w:tcBorders>
              <w:bottom w:val="single" w:sz="8" w:color="606489"/>
            </w:tcBorders>
            <w:shd w:val="clear" w:color="auto" w:fill="606489"/>
          </w:tcPr>
          <w:p>
            <w:pPr>
              <w:spacing w:after="0"/>
              <w:rPr>
                <w:sz w:val="17"/>
                <w:szCs w:val="17"/>
                <w:color w:val="auto"/>
              </w:rPr>
            </w:pPr>
          </w:p>
        </w:tc>
        <w:tc>
          <w:tcPr>
            <w:tcW w:w="80" w:type="dxa"/>
            <w:vAlign w:val="bottom"/>
            <w:tcBorders>
              <w:bottom w:val="single" w:sz="8" w:color="606489"/>
            </w:tcBorders>
            <w:shd w:val="clear" w:color="auto" w:fill="606489"/>
          </w:tcPr>
          <w:p>
            <w:pPr>
              <w:spacing w:after="0"/>
              <w:rPr>
                <w:sz w:val="17"/>
                <w:szCs w:val="17"/>
                <w:color w:val="auto"/>
              </w:rPr>
            </w:pPr>
          </w:p>
        </w:tc>
        <w:tc>
          <w:tcPr>
            <w:tcW w:w="3320" w:type="dxa"/>
            <w:vAlign w:val="bottom"/>
            <w:tcBorders>
              <w:bottom w:val="single" w:sz="8" w:color="606489"/>
            </w:tcBorders>
            <w:shd w:val="clear" w:color="auto" w:fill="606489"/>
          </w:tcPr>
          <w:p>
            <w:pPr>
              <w:spacing w:after="0"/>
              <w:rPr>
                <w:sz w:val="17"/>
                <w:szCs w:val="17"/>
                <w:color w:val="auto"/>
              </w:rPr>
            </w:pPr>
          </w:p>
        </w:tc>
        <w:tc>
          <w:tcPr>
            <w:tcW w:w="80" w:type="dxa"/>
            <w:vAlign w:val="bottom"/>
            <w:tcBorders>
              <w:bottom w:val="single" w:sz="8" w:color="606489"/>
            </w:tcBorders>
            <w:shd w:val="clear" w:color="auto" w:fill="606489"/>
          </w:tcPr>
          <w:p>
            <w:pPr>
              <w:spacing w:after="0"/>
              <w:rPr>
                <w:sz w:val="17"/>
                <w:szCs w:val="17"/>
                <w:color w:val="auto"/>
              </w:rPr>
            </w:pPr>
          </w:p>
        </w:tc>
        <w:tc>
          <w:tcPr>
            <w:tcW w:w="140" w:type="dxa"/>
            <w:vAlign w:val="bottom"/>
            <w:tcBorders>
              <w:bottom w:val="single" w:sz="8" w:color="606489"/>
            </w:tcBorders>
            <w:shd w:val="clear" w:color="auto" w:fill="606489"/>
          </w:tcPr>
          <w:p>
            <w:pPr>
              <w:spacing w:after="0"/>
              <w:rPr>
                <w:sz w:val="17"/>
                <w:szCs w:val="17"/>
                <w:color w:val="auto"/>
              </w:rPr>
            </w:pPr>
          </w:p>
        </w:tc>
        <w:tc>
          <w:tcPr>
            <w:tcW w:w="920" w:type="dxa"/>
            <w:vAlign w:val="bottom"/>
            <w:tcBorders>
              <w:bottom w:val="single" w:sz="8" w:color="606489"/>
            </w:tcBorders>
            <w:gridSpan w:val="5"/>
            <w:shd w:val="clear" w:color="auto" w:fill="606489"/>
          </w:tcPr>
          <w:p>
            <w:pPr>
              <w:jc w:val="center"/>
              <w:spacing w:after="0"/>
              <w:rPr>
                <w:sz w:val="20"/>
                <w:szCs w:val="20"/>
                <w:color w:val="auto"/>
              </w:rPr>
            </w:pPr>
            <w:r>
              <w:rPr>
                <w:rFonts w:ascii="Arial" w:cs="Arial" w:eastAsia="Arial" w:hAnsi="Arial"/>
                <w:sz w:val="14"/>
                <w:szCs w:val="14"/>
                <w:b w:val="1"/>
                <w:bCs w:val="1"/>
                <w:color w:val="FFFFFF"/>
              </w:rPr>
              <w:t>information</w:t>
            </w:r>
          </w:p>
        </w:tc>
        <w:tc>
          <w:tcPr>
            <w:tcW w:w="80" w:type="dxa"/>
            <w:vAlign w:val="bottom"/>
            <w:tcBorders>
              <w:bottom w:val="single" w:sz="8" w:color="606489"/>
            </w:tcBorders>
            <w:shd w:val="clear" w:color="auto" w:fill="606489"/>
          </w:tcPr>
          <w:p>
            <w:pPr>
              <w:spacing w:after="0"/>
              <w:rPr>
                <w:sz w:val="17"/>
                <w:szCs w:val="17"/>
                <w:color w:val="auto"/>
              </w:rPr>
            </w:pPr>
          </w:p>
        </w:tc>
        <w:tc>
          <w:tcPr>
            <w:tcW w:w="100" w:type="dxa"/>
            <w:vAlign w:val="bottom"/>
            <w:tcBorders>
              <w:bottom w:val="single" w:sz="8" w:color="606489"/>
            </w:tcBorders>
            <w:shd w:val="clear" w:color="auto" w:fill="606489"/>
          </w:tcPr>
          <w:p>
            <w:pPr>
              <w:spacing w:after="0"/>
              <w:rPr>
                <w:sz w:val="17"/>
                <w:szCs w:val="17"/>
                <w:color w:val="auto"/>
              </w:rPr>
            </w:pPr>
          </w:p>
        </w:tc>
        <w:tc>
          <w:tcPr>
            <w:tcW w:w="1200" w:type="dxa"/>
            <w:vAlign w:val="bottom"/>
            <w:tcBorders>
              <w:bottom w:val="single" w:sz="8" w:color="606489"/>
            </w:tcBorders>
            <w:shd w:val="clear" w:color="auto" w:fill="606489"/>
          </w:tcPr>
          <w:p>
            <w:pPr>
              <w:jc w:val="center"/>
              <w:spacing w:after="0"/>
              <w:rPr>
                <w:sz w:val="20"/>
                <w:szCs w:val="20"/>
                <w:color w:val="auto"/>
              </w:rPr>
            </w:pPr>
            <w:r>
              <w:rPr>
                <w:rFonts w:ascii="Arial" w:cs="Arial" w:eastAsia="Arial" w:hAnsi="Arial"/>
                <w:sz w:val="14"/>
                <w:szCs w:val="14"/>
                <w:b w:val="1"/>
                <w:bCs w:val="1"/>
                <w:color w:val="FFFFFF"/>
              </w:rPr>
              <w:t>recommendation</w:t>
            </w:r>
          </w:p>
        </w:tc>
        <w:tc>
          <w:tcPr>
            <w:tcW w:w="40" w:type="dxa"/>
            <w:vAlign w:val="bottom"/>
            <w:tcBorders>
              <w:bottom w:val="single" w:sz="8" w:color="606489"/>
            </w:tcBorders>
            <w:shd w:val="clear" w:color="auto" w:fill="606489"/>
          </w:tcPr>
          <w:p>
            <w:pPr>
              <w:spacing w:after="0"/>
              <w:rPr>
                <w:sz w:val="17"/>
                <w:szCs w:val="17"/>
                <w:color w:val="auto"/>
              </w:rPr>
            </w:pPr>
          </w:p>
        </w:tc>
        <w:tc>
          <w:tcPr>
            <w:tcW w:w="140" w:type="dxa"/>
            <w:vAlign w:val="bottom"/>
            <w:tcBorders>
              <w:bottom w:val="single" w:sz="8" w:color="606489"/>
            </w:tcBorders>
            <w:shd w:val="clear" w:color="auto" w:fill="606489"/>
          </w:tcPr>
          <w:p>
            <w:pPr>
              <w:spacing w:after="0"/>
              <w:rPr>
                <w:sz w:val="17"/>
                <w:szCs w:val="17"/>
                <w:color w:val="auto"/>
              </w:rPr>
            </w:pPr>
          </w:p>
        </w:tc>
        <w:tc>
          <w:tcPr>
            <w:tcW w:w="940" w:type="dxa"/>
            <w:vAlign w:val="bottom"/>
            <w:tcBorders>
              <w:bottom w:val="single" w:sz="8" w:color="606489"/>
            </w:tcBorders>
            <w:shd w:val="clear" w:color="auto" w:fill="606489"/>
          </w:tcPr>
          <w:p>
            <w:pPr>
              <w:jc w:val="center"/>
              <w:spacing w:after="0"/>
              <w:rPr>
                <w:sz w:val="20"/>
                <w:szCs w:val="20"/>
                <w:color w:val="auto"/>
              </w:rPr>
            </w:pPr>
            <w:r>
              <w:rPr>
                <w:rFonts w:ascii="Arial" w:cs="Arial" w:eastAsia="Arial" w:hAnsi="Arial"/>
                <w:sz w:val="14"/>
                <w:szCs w:val="14"/>
                <w:b w:val="1"/>
                <w:bCs w:val="1"/>
                <w:color w:val="FFFFFF"/>
              </w:rPr>
              <w:t>for approval</w:t>
            </w:r>
          </w:p>
        </w:tc>
        <w:tc>
          <w:tcPr>
            <w:tcW w:w="120" w:type="dxa"/>
            <w:vAlign w:val="bottom"/>
            <w:tcBorders>
              <w:bottom w:val="single" w:sz="8" w:color="606489"/>
            </w:tcBorders>
            <w:shd w:val="clear" w:color="auto" w:fill="606489"/>
          </w:tcPr>
          <w:p>
            <w:pPr>
              <w:spacing w:after="0"/>
              <w:rPr>
                <w:sz w:val="17"/>
                <w:szCs w:val="17"/>
                <w:color w:val="auto"/>
              </w:rPr>
            </w:pPr>
          </w:p>
        </w:tc>
      </w:tr>
      <w:tr>
        <w:trPr>
          <w:trHeight w:val="201"/>
        </w:trPr>
        <w:tc>
          <w:tcPr>
            <w:tcW w:w="80" w:type="dxa"/>
            <w:vAlign w:val="bottom"/>
            <w:tcBorders>
              <w:right w:val="single" w:sz="8" w:color="ACABC0"/>
            </w:tcBorders>
          </w:tcPr>
          <w:p>
            <w:pPr>
              <w:spacing w:after="0"/>
              <w:rPr>
                <w:sz w:val="17"/>
                <w:szCs w:val="17"/>
                <w:color w:val="auto"/>
              </w:rPr>
            </w:pPr>
          </w:p>
        </w:tc>
        <w:tc>
          <w:tcPr>
            <w:tcW w:w="4520" w:type="dxa"/>
            <w:vAlign w:val="bottom"/>
            <w:gridSpan w:val="3"/>
            <w:shd w:val="clear" w:color="auto" w:fill="ACABC0"/>
          </w:tcPr>
          <w:p>
            <w:pPr>
              <w:ind w:left="60"/>
              <w:spacing w:after="0"/>
              <w:rPr>
                <w:sz w:val="20"/>
                <w:szCs w:val="20"/>
                <w:color w:val="auto"/>
              </w:rPr>
            </w:pPr>
            <w:r>
              <w:rPr>
                <w:rFonts w:ascii="Arial" w:cs="Arial" w:eastAsia="Arial" w:hAnsi="Arial"/>
                <w:sz w:val="15"/>
                <w:szCs w:val="15"/>
                <w:b w:val="1"/>
                <w:bCs w:val="1"/>
                <w:color w:val="auto"/>
              </w:rPr>
              <w:t xml:space="preserve">PROPOSAL 1   </w:t>
            </w:r>
            <w:r>
              <w:rPr>
                <w:rFonts w:ascii="Arial" w:cs="Arial" w:eastAsia="Arial" w:hAnsi="Arial"/>
                <w:sz w:val="15"/>
                <w:szCs w:val="15"/>
                <w:color w:val="auto"/>
              </w:rPr>
              <w:t>To elect two Class III directors to a three-year</w:t>
            </w:r>
          </w:p>
        </w:tc>
        <w:tc>
          <w:tcPr>
            <w:tcW w:w="80" w:type="dxa"/>
            <w:vAlign w:val="bottom"/>
            <w:shd w:val="clear" w:color="auto" w:fill="ACABC0"/>
          </w:tcPr>
          <w:p>
            <w:pPr>
              <w:spacing w:after="0"/>
              <w:rPr>
                <w:sz w:val="17"/>
                <w:szCs w:val="17"/>
                <w:color w:val="auto"/>
              </w:rPr>
            </w:pPr>
          </w:p>
        </w:tc>
        <w:tc>
          <w:tcPr>
            <w:tcW w:w="140" w:type="dxa"/>
            <w:vAlign w:val="bottom"/>
            <w:shd w:val="clear" w:color="auto" w:fill="ACABC0"/>
          </w:tcPr>
          <w:p>
            <w:pPr>
              <w:spacing w:after="0"/>
              <w:rPr>
                <w:sz w:val="17"/>
                <w:szCs w:val="17"/>
                <w:color w:val="auto"/>
              </w:rPr>
            </w:pPr>
          </w:p>
        </w:tc>
        <w:tc>
          <w:tcPr>
            <w:tcW w:w="920" w:type="dxa"/>
            <w:vAlign w:val="bottom"/>
            <w:gridSpan w:val="5"/>
            <w:shd w:val="clear" w:color="auto" w:fill="ACABC0"/>
          </w:tcPr>
          <w:p>
            <w:pPr>
              <w:jc w:val="center"/>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color w:val="0000EE"/>
              </w:rPr>
              <w:t>7</w:t>
            </w:r>
          </w:p>
        </w:tc>
        <w:tc>
          <w:tcPr>
            <w:tcW w:w="80" w:type="dxa"/>
            <w:vAlign w:val="bottom"/>
            <w:shd w:val="clear" w:color="auto" w:fill="ACABC0"/>
          </w:tcPr>
          <w:p>
            <w:pPr>
              <w:spacing w:after="0"/>
              <w:rPr>
                <w:sz w:val="17"/>
                <w:szCs w:val="17"/>
                <w:color w:val="auto"/>
              </w:rPr>
            </w:pPr>
          </w:p>
        </w:tc>
        <w:tc>
          <w:tcPr>
            <w:tcW w:w="100" w:type="dxa"/>
            <w:vAlign w:val="bottom"/>
            <w:shd w:val="clear" w:color="auto" w:fill="ACABC0"/>
          </w:tcPr>
          <w:p>
            <w:pPr>
              <w:spacing w:after="0"/>
              <w:rPr>
                <w:sz w:val="17"/>
                <w:szCs w:val="17"/>
                <w:color w:val="auto"/>
              </w:rPr>
            </w:pPr>
          </w:p>
        </w:tc>
        <w:tc>
          <w:tcPr>
            <w:tcW w:w="1200" w:type="dxa"/>
            <w:vAlign w:val="bottom"/>
            <w:shd w:val="clear" w:color="auto" w:fill="ACABC0"/>
          </w:tcPr>
          <w:p>
            <w:pPr>
              <w:jc w:val="center"/>
              <w:spacing w:after="0"/>
              <w:rPr>
                <w:sz w:val="20"/>
                <w:szCs w:val="20"/>
                <w:color w:val="auto"/>
              </w:rPr>
            </w:pPr>
            <w:r>
              <w:rPr>
                <w:rFonts w:ascii="Arial" w:cs="Arial" w:eastAsia="Arial" w:hAnsi="Arial"/>
                <w:sz w:val="15"/>
                <w:szCs w:val="15"/>
                <w:b w:val="1"/>
                <w:bCs w:val="1"/>
                <w:color w:val="auto"/>
              </w:rPr>
              <w:t>FOR</w:t>
            </w:r>
          </w:p>
        </w:tc>
        <w:tc>
          <w:tcPr>
            <w:tcW w:w="40" w:type="dxa"/>
            <w:vAlign w:val="bottom"/>
            <w:shd w:val="clear" w:color="auto" w:fill="ACABC0"/>
          </w:tcPr>
          <w:p>
            <w:pPr>
              <w:spacing w:after="0"/>
              <w:rPr>
                <w:sz w:val="17"/>
                <w:szCs w:val="17"/>
                <w:color w:val="auto"/>
              </w:rPr>
            </w:pPr>
          </w:p>
        </w:tc>
        <w:tc>
          <w:tcPr>
            <w:tcW w:w="140" w:type="dxa"/>
            <w:vAlign w:val="bottom"/>
            <w:shd w:val="clear" w:color="auto" w:fill="ACABC0"/>
          </w:tcPr>
          <w:p>
            <w:pPr>
              <w:spacing w:after="0"/>
              <w:rPr>
                <w:sz w:val="17"/>
                <w:szCs w:val="17"/>
                <w:color w:val="auto"/>
              </w:rPr>
            </w:pPr>
          </w:p>
        </w:tc>
        <w:tc>
          <w:tcPr>
            <w:tcW w:w="940" w:type="dxa"/>
            <w:vAlign w:val="bottom"/>
            <w:shd w:val="clear" w:color="auto" w:fill="ACABC0"/>
          </w:tcPr>
          <w:p>
            <w:pPr>
              <w:jc w:val="center"/>
              <w:spacing w:after="0"/>
              <w:rPr>
                <w:sz w:val="20"/>
                <w:szCs w:val="20"/>
                <w:color w:val="auto"/>
              </w:rPr>
            </w:pPr>
            <w:r>
              <w:rPr>
                <w:rFonts w:ascii="Arial" w:cs="Arial" w:eastAsia="Arial" w:hAnsi="Arial"/>
                <w:sz w:val="15"/>
                <w:szCs w:val="15"/>
                <w:color w:val="auto"/>
              </w:rPr>
              <w:t>Majority of</w:t>
            </w:r>
          </w:p>
        </w:tc>
        <w:tc>
          <w:tcPr>
            <w:tcW w:w="120" w:type="dxa"/>
            <w:vAlign w:val="bottom"/>
            <w:shd w:val="clear" w:color="auto" w:fill="ACABC0"/>
          </w:tcPr>
          <w:p>
            <w:pPr>
              <w:spacing w:after="0"/>
              <w:rPr>
                <w:sz w:val="17"/>
                <w:szCs w:val="17"/>
                <w:color w:val="auto"/>
              </w:rPr>
            </w:pPr>
          </w:p>
        </w:tc>
      </w:tr>
      <w:tr>
        <w:trPr>
          <w:trHeight w:val="137"/>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Borders>
              <w:top w:val="single" w:sz="8" w:color="ACABC0"/>
            </w:tcBorders>
            <w:shd w:val="clear" w:color="auto" w:fill="ACABC0"/>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top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400" w:type="dxa"/>
            <w:vAlign w:val="bottom"/>
            <w:tcBorders>
              <w:top w:val="single" w:sz="8" w:color="ACABC0"/>
            </w:tcBorders>
            <w:gridSpan w:val="2"/>
            <w:shd w:val="clear" w:color="auto" w:fill="ACABC0"/>
          </w:tcPr>
          <w:p>
            <w:pPr>
              <w:ind w:left="60"/>
              <w:spacing w:after="0" w:line="137" w:lineRule="exact"/>
              <w:rPr>
                <w:sz w:val="20"/>
                <w:szCs w:val="20"/>
                <w:color w:val="auto"/>
              </w:rPr>
            </w:pPr>
            <w:r>
              <w:rPr>
                <w:rFonts w:ascii="Arial" w:cs="Arial" w:eastAsia="Arial" w:hAnsi="Arial"/>
                <w:sz w:val="15"/>
                <w:szCs w:val="15"/>
                <w:color w:val="auto"/>
              </w:rPr>
              <w:t xml:space="preserve">term to serve until the 2025 annual stockholders </w:t>
            </w:r>
            <w:r>
              <w:rPr>
                <w:rFonts w:ascii="Times New Roman" w:cs="Times New Roman" w:eastAsia="Times New Roman" w:hAnsi="Times New Roman"/>
                <w:sz w:val="3"/>
                <w:szCs w:val="3"/>
                <w:color w:val="auto"/>
              </w:rPr>
              <w:t>​</w:t>
            </w:r>
          </w:p>
        </w:tc>
        <w:tc>
          <w:tcPr>
            <w:tcW w:w="140" w:type="dxa"/>
            <w:vAlign w:val="bottom"/>
            <w:tcBorders>
              <w:top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top w:val="single" w:sz="8" w:color="ACABC0"/>
            </w:tcBorders>
            <w:shd w:val="clear" w:color="auto" w:fill="ACABC0"/>
          </w:tcPr>
          <w:p>
            <w:pPr>
              <w:spacing w:after="0"/>
              <w:rPr>
                <w:sz w:val="11"/>
                <w:szCs w:val="11"/>
                <w:color w:val="auto"/>
              </w:rPr>
            </w:pPr>
          </w:p>
        </w:tc>
        <w:tc>
          <w:tcPr>
            <w:tcW w:w="60" w:type="dxa"/>
            <w:vAlign w:val="bottom"/>
            <w:tcBorders>
              <w:top w:val="single" w:sz="8" w:color="ACABC0"/>
            </w:tcBorders>
            <w:shd w:val="clear" w:color="auto" w:fill="ACABC0"/>
          </w:tcPr>
          <w:p>
            <w:pPr>
              <w:spacing w:after="0"/>
              <w:rPr>
                <w:sz w:val="11"/>
                <w:szCs w:val="11"/>
                <w:color w:val="auto"/>
              </w:rPr>
            </w:pPr>
          </w:p>
        </w:tc>
        <w:tc>
          <w:tcPr>
            <w:tcW w:w="80" w:type="dxa"/>
            <w:vAlign w:val="bottom"/>
            <w:tcBorders>
              <w:top w:val="single" w:sz="8" w:color="0000EE"/>
            </w:tcBorders>
            <w:shd w:val="clear" w:color="auto" w:fill="ACABC0"/>
          </w:tcPr>
          <w:p>
            <w:pPr>
              <w:spacing w:after="0"/>
              <w:rPr>
                <w:sz w:val="11"/>
                <w:szCs w:val="11"/>
                <w:color w:val="auto"/>
              </w:rPr>
            </w:pPr>
          </w:p>
        </w:tc>
        <w:tc>
          <w:tcPr>
            <w:tcW w:w="40" w:type="dxa"/>
            <w:vAlign w:val="bottom"/>
            <w:tcBorders>
              <w:top w:val="single" w:sz="8" w:color="ACABC0"/>
            </w:tcBorders>
            <w:shd w:val="clear" w:color="auto" w:fill="ACABC0"/>
          </w:tcPr>
          <w:p>
            <w:pPr>
              <w:spacing w:after="0"/>
              <w:rPr>
                <w:sz w:val="11"/>
                <w:szCs w:val="11"/>
                <w:color w:val="auto"/>
              </w:rPr>
            </w:pPr>
          </w:p>
        </w:tc>
        <w:tc>
          <w:tcPr>
            <w:tcW w:w="160" w:type="dxa"/>
            <w:vAlign w:val="bottom"/>
            <w:tcBorders>
              <w:top w:val="single" w:sz="8" w:color="ACABC0"/>
            </w:tcBorders>
            <w:shd w:val="clear" w:color="auto" w:fill="ACABC0"/>
          </w:tcPr>
          <w:p>
            <w:pPr>
              <w:spacing w:after="0"/>
              <w:rPr>
                <w:sz w:val="11"/>
                <w:szCs w:val="11"/>
                <w:color w:val="auto"/>
              </w:rPr>
            </w:pPr>
          </w:p>
        </w:tc>
        <w:tc>
          <w:tcPr>
            <w:tcW w:w="80" w:type="dxa"/>
            <w:vAlign w:val="bottom"/>
            <w:tcBorders>
              <w:top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top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Borders>
              <w:top w:val="single" w:sz="8" w:color="ACABC0"/>
            </w:tcBorders>
            <w:shd w:val="clear" w:color="auto" w:fill="ACABC0"/>
          </w:tcPr>
          <w:p>
            <w:pPr>
              <w:spacing w:after="0"/>
              <w:rPr>
                <w:sz w:val="11"/>
                <w:szCs w:val="11"/>
                <w:color w:val="auto"/>
              </w:rPr>
            </w:pPr>
          </w:p>
        </w:tc>
        <w:tc>
          <w:tcPr>
            <w:tcW w:w="40" w:type="dxa"/>
            <w:vAlign w:val="bottom"/>
            <w:tcBorders>
              <w:top w:val="single" w:sz="8" w:color="ACABC0"/>
            </w:tcBorders>
            <w:shd w:val="clear" w:color="auto" w:fill="ACABC0"/>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top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top w:val="single" w:sz="8" w:color="ACABC0"/>
            </w:tcBorders>
            <w:shd w:val="clear" w:color="auto" w:fill="ACABC0"/>
          </w:tcPr>
          <w:p>
            <w:pPr>
              <w:jc w:val="center"/>
              <w:spacing w:after="0" w:line="137" w:lineRule="exact"/>
              <w:rPr>
                <w:sz w:val="20"/>
                <w:szCs w:val="20"/>
                <w:color w:val="auto"/>
              </w:rPr>
            </w:pPr>
            <w:r>
              <w:rPr>
                <w:rFonts w:ascii="Arial" w:cs="Arial" w:eastAsia="Arial" w:hAnsi="Arial"/>
                <w:sz w:val="15"/>
                <w:szCs w:val="15"/>
                <w:color w:val="auto"/>
              </w:rPr>
              <w:t>votes cast</w:t>
            </w:r>
          </w:p>
        </w:tc>
        <w:tc>
          <w:tcPr>
            <w:tcW w:w="120" w:type="dxa"/>
            <w:vAlign w:val="bottom"/>
            <w:tcBorders>
              <w:top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12"/>
        </w:trPr>
        <w:tc>
          <w:tcPr>
            <w:tcW w:w="80" w:type="dxa"/>
            <w:vAlign w:val="bottom"/>
            <w:tcBorders>
              <w:right w:val="single" w:sz="8" w:color="ACABC0"/>
            </w:tcBorders>
          </w:tcPr>
          <w:p>
            <w:pPr>
              <w:spacing w:after="0"/>
              <w:rPr>
                <w:sz w:val="18"/>
                <w:szCs w:val="18"/>
                <w:color w:val="auto"/>
              </w:rPr>
            </w:pPr>
          </w:p>
        </w:tc>
        <w:tc>
          <w:tcPr>
            <w:tcW w:w="1120" w:type="dxa"/>
            <w:vAlign w:val="bottom"/>
            <w:tcBorders>
              <w:bottom w:val="single" w:sz="8" w:color="ACABC0"/>
            </w:tcBorders>
            <w:shd w:val="clear" w:color="auto" w:fill="ACABC0"/>
          </w:tcPr>
          <w:p>
            <w:pPr>
              <w:spacing w:after="0"/>
              <w:rPr>
                <w:sz w:val="18"/>
                <w:szCs w:val="18"/>
                <w:color w:val="auto"/>
              </w:rPr>
            </w:pPr>
          </w:p>
        </w:tc>
        <w:tc>
          <w:tcPr>
            <w:tcW w:w="80" w:type="dxa"/>
            <w:vAlign w:val="bottom"/>
            <w:tcBorders>
              <w:bottom w:val="single" w:sz="8" w:color="ACABC0"/>
            </w:tcBorders>
            <w:shd w:val="clear" w:color="auto" w:fill="ACABC0"/>
          </w:tcPr>
          <w:p>
            <w:pPr>
              <w:spacing w:after="0"/>
              <w:rPr>
                <w:sz w:val="18"/>
                <w:szCs w:val="18"/>
                <w:color w:val="auto"/>
              </w:rPr>
            </w:pPr>
          </w:p>
        </w:tc>
        <w:tc>
          <w:tcPr>
            <w:tcW w:w="3320" w:type="dxa"/>
            <w:vAlign w:val="bottom"/>
            <w:tcBorders>
              <w:bottom w:val="single" w:sz="8" w:color="ACABC0"/>
            </w:tcBorders>
            <w:shd w:val="clear" w:color="auto" w:fill="ACABC0"/>
          </w:tcPr>
          <w:p>
            <w:pPr>
              <w:ind w:left="60"/>
              <w:spacing w:after="0"/>
              <w:rPr>
                <w:sz w:val="20"/>
                <w:szCs w:val="20"/>
                <w:color w:val="auto"/>
              </w:rPr>
            </w:pPr>
            <w:r>
              <w:rPr>
                <w:rFonts w:ascii="Arial" w:cs="Arial" w:eastAsia="Arial" w:hAnsi="Arial"/>
                <w:sz w:val="15"/>
                <w:szCs w:val="15"/>
                <w:color w:val="auto"/>
              </w:rPr>
              <w:t>meeting</w:t>
            </w:r>
          </w:p>
        </w:tc>
        <w:tc>
          <w:tcPr>
            <w:tcW w:w="80" w:type="dxa"/>
            <w:vAlign w:val="bottom"/>
            <w:tcBorders>
              <w:bottom w:val="single" w:sz="8" w:color="ACABC0"/>
            </w:tcBorders>
            <w:shd w:val="clear" w:color="auto" w:fill="ACABC0"/>
          </w:tcPr>
          <w:p>
            <w:pPr>
              <w:spacing w:after="0"/>
              <w:rPr>
                <w:sz w:val="18"/>
                <w:szCs w:val="18"/>
                <w:color w:val="auto"/>
              </w:rPr>
            </w:pPr>
          </w:p>
        </w:tc>
        <w:tc>
          <w:tcPr>
            <w:tcW w:w="140" w:type="dxa"/>
            <w:vAlign w:val="bottom"/>
            <w:tcBorders>
              <w:bottom w:val="single" w:sz="8" w:color="ACABC0"/>
            </w:tcBorders>
            <w:shd w:val="clear" w:color="auto" w:fill="ACABC0"/>
          </w:tcPr>
          <w:p>
            <w:pPr>
              <w:spacing w:after="0"/>
              <w:rPr>
                <w:sz w:val="18"/>
                <w:szCs w:val="18"/>
                <w:color w:val="auto"/>
              </w:rPr>
            </w:pPr>
          </w:p>
        </w:tc>
        <w:tc>
          <w:tcPr>
            <w:tcW w:w="580" w:type="dxa"/>
            <w:vAlign w:val="bottom"/>
            <w:tcBorders>
              <w:bottom w:val="single" w:sz="8" w:color="ACABC0"/>
            </w:tcBorders>
            <w:shd w:val="clear" w:color="auto" w:fill="ACABC0"/>
          </w:tcPr>
          <w:p>
            <w:pPr>
              <w:spacing w:after="0"/>
              <w:rPr>
                <w:sz w:val="18"/>
                <w:szCs w:val="18"/>
                <w:color w:val="auto"/>
              </w:rPr>
            </w:pPr>
          </w:p>
        </w:tc>
        <w:tc>
          <w:tcPr>
            <w:tcW w:w="60" w:type="dxa"/>
            <w:vAlign w:val="bottom"/>
            <w:tcBorders>
              <w:bottom w:val="single" w:sz="8" w:color="ACABC0"/>
            </w:tcBorders>
            <w:shd w:val="clear" w:color="auto" w:fill="ACABC0"/>
          </w:tcPr>
          <w:p>
            <w:pPr>
              <w:spacing w:after="0"/>
              <w:rPr>
                <w:sz w:val="18"/>
                <w:szCs w:val="18"/>
                <w:color w:val="auto"/>
              </w:rPr>
            </w:pPr>
          </w:p>
        </w:tc>
        <w:tc>
          <w:tcPr>
            <w:tcW w:w="80" w:type="dxa"/>
            <w:vAlign w:val="bottom"/>
            <w:tcBorders>
              <w:bottom w:val="single" w:sz="8" w:color="ACABC0"/>
            </w:tcBorders>
            <w:shd w:val="clear" w:color="auto" w:fill="ACABC0"/>
          </w:tcPr>
          <w:p>
            <w:pPr>
              <w:spacing w:after="0"/>
              <w:rPr>
                <w:sz w:val="18"/>
                <w:szCs w:val="18"/>
                <w:color w:val="auto"/>
              </w:rPr>
            </w:pPr>
          </w:p>
        </w:tc>
        <w:tc>
          <w:tcPr>
            <w:tcW w:w="40" w:type="dxa"/>
            <w:vAlign w:val="bottom"/>
            <w:tcBorders>
              <w:bottom w:val="single" w:sz="8" w:color="ACABC0"/>
            </w:tcBorders>
            <w:shd w:val="clear" w:color="auto" w:fill="ACABC0"/>
          </w:tcPr>
          <w:p>
            <w:pPr>
              <w:spacing w:after="0"/>
              <w:rPr>
                <w:sz w:val="18"/>
                <w:szCs w:val="18"/>
                <w:color w:val="auto"/>
              </w:rPr>
            </w:pPr>
          </w:p>
        </w:tc>
        <w:tc>
          <w:tcPr>
            <w:tcW w:w="160" w:type="dxa"/>
            <w:vAlign w:val="bottom"/>
            <w:tcBorders>
              <w:bottom w:val="single" w:sz="8" w:color="ACABC0"/>
            </w:tcBorders>
            <w:shd w:val="clear" w:color="auto" w:fill="ACABC0"/>
          </w:tcPr>
          <w:p>
            <w:pPr>
              <w:spacing w:after="0"/>
              <w:rPr>
                <w:sz w:val="18"/>
                <w:szCs w:val="18"/>
                <w:color w:val="auto"/>
              </w:rPr>
            </w:pPr>
          </w:p>
        </w:tc>
        <w:tc>
          <w:tcPr>
            <w:tcW w:w="80" w:type="dxa"/>
            <w:vAlign w:val="bottom"/>
            <w:tcBorders>
              <w:bottom w:val="single" w:sz="8" w:color="ACABC0"/>
            </w:tcBorders>
            <w:shd w:val="clear" w:color="auto" w:fill="ACABC0"/>
          </w:tcPr>
          <w:p>
            <w:pPr>
              <w:spacing w:after="0"/>
              <w:rPr>
                <w:sz w:val="18"/>
                <w:szCs w:val="18"/>
                <w:color w:val="auto"/>
              </w:rPr>
            </w:pPr>
          </w:p>
        </w:tc>
        <w:tc>
          <w:tcPr>
            <w:tcW w:w="100" w:type="dxa"/>
            <w:vAlign w:val="bottom"/>
            <w:tcBorders>
              <w:bottom w:val="single" w:sz="8" w:color="ACABC0"/>
            </w:tcBorders>
            <w:shd w:val="clear" w:color="auto" w:fill="ACABC0"/>
          </w:tcPr>
          <w:p>
            <w:pPr>
              <w:spacing w:after="0"/>
              <w:rPr>
                <w:sz w:val="18"/>
                <w:szCs w:val="18"/>
                <w:color w:val="auto"/>
              </w:rPr>
            </w:pPr>
          </w:p>
        </w:tc>
        <w:tc>
          <w:tcPr>
            <w:tcW w:w="1200" w:type="dxa"/>
            <w:vAlign w:val="bottom"/>
            <w:tcBorders>
              <w:bottom w:val="single" w:sz="8" w:color="ACABC0"/>
            </w:tcBorders>
            <w:shd w:val="clear" w:color="auto" w:fill="ACABC0"/>
          </w:tcPr>
          <w:p>
            <w:pPr>
              <w:spacing w:after="0"/>
              <w:rPr>
                <w:sz w:val="18"/>
                <w:szCs w:val="18"/>
                <w:color w:val="auto"/>
              </w:rPr>
            </w:pPr>
          </w:p>
        </w:tc>
        <w:tc>
          <w:tcPr>
            <w:tcW w:w="40" w:type="dxa"/>
            <w:vAlign w:val="bottom"/>
            <w:tcBorders>
              <w:bottom w:val="single" w:sz="8" w:color="ACABC0"/>
            </w:tcBorders>
            <w:shd w:val="clear" w:color="auto" w:fill="ACABC0"/>
          </w:tcPr>
          <w:p>
            <w:pPr>
              <w:spacing w:after="0"/>
              <w:rPr>
                <w:sz w:val="18"/>
                <w:szCs w:val="18"/>
                <w:color w:val="auto"/>
              </w:rPr>
            </w:pPr>
          </w:p>
        </w:tc>
        <w:tc>
          <w:tcPr>
            <w:tcW w:w="140" w:type="dxa"/>
            <w:vAlign w:val="bottom"/>
            <w:tcBorders>
              <w:bottom w:val="single" w:sz="8" w:color="ACABC0"/>
            </w:tcBorders>
            <w:shd w:val="clear" w:color="auto" w:fill="ACABC0"/>
          </w:tcPr>
          <w:p>
            <w:pPr>
              <w:spacing w:after="0"/>
              <w:rPr>
                <w:sz w:val="18"/>
                <w:szCs w:val="18"/>
                <w:color w:val="auto"/>
              </w:rPr>
            </w:pPr>
          </w:p>
        </w:tc>
        <w:tc>
          <w:tcPr>
            <w:tcW w:w="940" w:type="dxa"/>
            <w:vAlign w:val="bottom"/>
            <w:tcBorders>
              <w:bottom w:val="single" w:sz="8" w:color="ACABC0"/>
            </w:tcBorders>
            <w:shd w:val="clear" w:color="auto" w:fill="ACABC0"/>
          </w:tcPr>
          <w:p>
            <w:pPr>
              <w:spacing w:after="0"/>
              <w:rPr>
                <w:sz w:val="18"/>
                <w:szCs w:val="18"/>
                <w:color w:val="auto"/>
              </w:rPr>
            </w:pPr>
          </w:p>
        </w:tc>
        <w:tc>
          <w:tcPr>
            <w:tcW w:w="120" w:type="dxa"/>
            <w:vAlign w:val="bottom"/>
            <w:tcBorders>
              <w:bottom w:val="single" w:sz="8" w:color="ACABC0"/>
            </w:tcBorders>
            <w:shd w:val="clear" w:color="auto" w:fill="ACABC0"/>
          </w:tcPr>
          <w:p>
            <w:pPr>
              <w:spacing w:after="0"/>
              <w:rPr>
                <w:sz w:val="18"/>
                <w:szCs w:val="18"/>
                <w:color w:val="auto"/>
              </w:rPr>
            </w:pPr>
          </w:p>
        </w:tc>
      </w:tr>
      <w:tr>
        <w:trPr>
          <w:trHeight w:val="201"/>
        </w:trPr>
        <w:tc>
          <w:tcPr>
            <w:tcW w:w="80" w:type="dxa"/>
            <w:vAlign w:val="bottom"/>
            <w:tcBorders>
              <w:right w:val="single" w:sz="8" w:color="F1F2F2"/>
            </w:tcBorders>
          </w:tcPr>
          <w:p>
            <w:pPr>
              <w:spacing w:after="0"/>
              <w:rPr>
                <w:sz w:val="17"/>
                <w:szCs w:val="17"/>
                <w:color w:val="auto"/>
              </w:rPr>
            </w:pPr>
          </w:p>
        </w:tc>
        <w:tc>
          <w:tcPr>
            <w:tcW w:w="4520" w:type="dxa"/>
            <w:vAlign w:val="bottom"/>
            <w:gridSpan w:val="3"/>
            <w:shd w:val="clear" w:color="auto" w:fill="F1F2F2"/>
          </w:tcPr>
          <w:p>
            <w:pPr>
              <w:ind w:left="60"/>
              <w:spacing w:after="0"/>
              <w:rPr>
                <w:sz w:val="20"/>
                <w:szCs w:val="20"/>
                <w:color w:val="auto"/>
              </w:rPr>
            </w:pPr>
            <w:r>
              <w:rPr>
                <w:rFonts w:ascii="Arial" w:cs="Arial" w:eastAsia="Arial" w:hAnsi="Arial"/>
                <w:sz w:val="15"/>
                <w:szCs w:val="15"/>
                <w:b w:val="1"/>
                <w:bCs w:val="1"/>
                <w:color w:val="auto"/>
              </w:rPr>
              <w:t xml:space="preserve">PROPOSAL 2   </w:t>
            </w:r>
            <w:r>
              <w:rPr>
                <w:rFonts w:ascii="Arial" w:cs="Arial" w:eastAsia="Arial" w:hAnsi="Arial"/>
                <w:sz w:val="15"/>
                <w:szCs w:val="15"/>
                <w:color w:val="auto"/>
              </w:rPr>
              <w:t>To ratify the appointment of Ernst &amp;Young LLP,</w:t>
            </w:r>
          </w:p>
        </w:tc>
        <w:tc>
          <w:tcPr>
            <w:tcW w:w="80" w:type="dxa"/>
            <w:vAlign w:val="bottom"/>
            <w:shd w:val="clear" w:color="auto" w:fill="F1F2F2"/>
          </w:tcPr>
          <w:p>
            <w:pPr>
              <w:spacing w:after="0"/>
              <w:rPr>
                <w:sz w:val="17"/>
                <w:szCs w:val="17"/>
                <w:color w:val="auto"/>
              </w:rPr>
            </w:pPr>
          </w:p>
        </w:tc>
        <w:tc>
          <w:tcPr>
            <w:tcW w:w="140" w:type="dxa"/>
            <w:vAlign w:val="bottom"/>
            <w:shd w:val="clear" w:color="auto" w:fill="F1F2F2"/>
          </w:tcPr>
          <w:p>
            <w:pPr>
              <w:spacing w:after="0"/>
              <w:rPr>
                <w:sz w:val="17"/>
                <w:szCs w:val="17"/>
                <w:color w:val="auto"/>
              </w:rPr>
            </w:pPr>
          </w:p>
        </w:tc>
        <w:tc>
          <w:tcPr>
            <w:tcW w:w="920" w:type="dxa"/>
            <w:vAlign w:val="bottom"/>
            <w:gridSpan w:val="5"/>
            <w:shd w:val="clear" w:color="auto" w:fill="F1F2F2"/>
          </w:tcPr>
          <w:p>
            <w:pPr>
              <w:jc w:val="center"/>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color w:val="0000EE"/>
              </w:rPr>
              <w:t>25</w:t>
            </w:r>
          </w:p>
        </w:tc>
        <w:tc>
          <w:tcPr>
            <w:tcW w:w="80" w:type="dxa"/>
            <w:vAlign w:val="bottom"/>
            <w:shd w:val="clear" w:color="auto" w:fill="F1F2F2"/>
          </w:tcPr>
          <w:p>
            <w:pPr>
              <w:spacing w:after="0"/>
              <w:rPr>
                <w:sz w:val="17"/>
                <w:szCs w:val="17"/>
                <w:color w:val="auto"/>
              </w:rPr>
            </w:pPr>
          </w:p>
        </w:tc>
        <w:tc>
          <w:tcPr>
            <w:tcW w:w="100" w:type="dxa"/>
            <w:vAlign w:val="bottom"/>
            <w:shd w:val="clear" w:color="auto" w:fill="F1F2F2"/>
          </w:tcPr>
          <w:p>
            <w:pPr>
              <w:spacing w:after="0"/>
              <w:rPr>
                <w:sz w:val="17"/>
                <w:szCs w:val="17"/>
                <w:color w:val="auto"/>
              </w:rPr>
            </w:pPr>
          </w:p>
        </w:tc>
        <w:tc>
          <w:tcPr>
            <w:tcW w:w="1200" w:type="dxa"/>
            <w:vAlign w:val="bottom"/>
            <w:shd w:val="clear" w:color="auto" w:fill="F1F2F2"/>
          </w:tcPr>
          <w:p>
            <w:pPr>
              <w:jc w:val="center"/>
              <w:spacing w:after="0"/>
              <w:rPr>
                <w:sz w:val="20"/>
                <w:szCs w:val="20"/>
                <w:color w:val="auto"/>
              </w:rPr>
            </w:pPr>
            <w:r>
              <w:rPr>
                <w:rFonts w:ascii="Arial" w:cs="Arial" w:eastAsia="Arial" w:hAnsi="Arial"/>
                <w:sz w:val="15"/>
                <w:szCs w:val="15"/>
                <w:b w:val="1"/>
                <w:bCs w:val="1"/>
                <w:color w:val="auto"/>
              </w:rPr>
              <w:t>FOR</w:t>
            </w:r>
          </w:p>
        </w:tc>
        <w:tc>
          <w:tcPr>
            <w:tcW w:w="40" w:type="dxa"/>
            <w:vAlign w:val="bottom"/>
            <w:shd w:val="clear" w:color="auto" w:fill="F1F2F2"/>
          </w:tcPr>
          <w:p>
            <w:pPr>
              <w:spacing w:after="0"/>
              <w:rPr>
                <w:sz w:val="17"/>
                <w:szCs w:val="17"/>
                <w:color w:val="auto"/>
              </w:rPr>
            </w:pPr>
          </w:p>
        </w:tc>
        <w:tc>
          <w:tcPr>
            <w:tcW w:w="140" w:type="dxa"/>
            <w:vAlign w:val="bottom"/>
            <w:shd w:val="clear" w:color="auto" w:fill="F1F2F2"/>
          </w:tcPr>
          <w:p>
            <w:pPr>
              <w:spacing w:after="0"/>
              <w:rPr>
                <w:sz w:val="17"/>
                <w:szCs w:val="17"/>
                <w:color w:val="auto"/>
              </w:rPr>
            </w:pPr>
          </w:p>
        </w:tc>
        <w:tc>
          <w:tcPr>
            <w:tcW w:w="940" w:type="dxa"/>
            <w:vAlign w:val="bottom"/>
            <w:shd w:val="clear" w:color="auto" w:fill="F1F2F2"/>
          </w:tcPr>
          <w:p>
            <w:pPr>
              <w:jc w:val="center"/>
              <w:spacing w:after="0"/>
              <w:rPr>
                <w:sz w:val="20"/>
                <w:szCs w:val="20"/>
                <w:color w:val="auto"/>
              </w:rPr>
            </w:pPr>
            <w:r>
              <w:rPr>
                <w:rFonts w:ascii="Arial" w:cs="Arial" w:eastAsia="Arial" w:hAnsi="Arial"/>
                <w:sz w:val="15"/>
                <w:szCs w:val="15"/>
                <w:color w:val="auto"/>
              </w:rPr>
              <w:t>Majority of</w:t>
            </w:r>
          </w:p>
        </w:tc>
        <w:tc>
          <w:tcPr>
            <w:tcW w:w="120" w:type="dxa"/>
            <w:vAlign w:val="bottom"/>
            <w:shd w:val="clear" w:color="auto" w:fill="F1F2F2"/>
          </w:tcPr>
          <w:p>
            <w:pPr>
              <w:spacing w:after="0"/>
              <w:rPr>
                <w:sz w:val="17"/>
                <w:szCs w:val="17"/>
                <w:color w:val="auto"/>
              </w:rPr>
            </w:pPr>
          </w:p>
        </w:tc>
      </w:tr>
      <w:tr>
        <w:trPr>
          <w:trHeight w:val="137"/>
        </w:trPr>
        <w:tc>
          <w:tcPr>
            <w:tcW w:w="80" w:type="dxa"/>
            <w:vAlign w:val="bottom"/>
            <w:tcBorders>
              <w:right w:val="single" w:sz="8" w:color="F1F2F2"/>
            </w:tcBorders>
          </w:tcPr>
          <w:p>
            <w:pPr>
              <w:spacing w:after="0"/>
              <w:rPr>
                <w:sz w:val="11"/>
                <w:szCs w:val="11"/>
                <w:color w:val="auto"/>
              </w:rPr>
            </w:pPr>
          </w:p>
        </w:tc>
        <w:tc>
          <w:tcPr>
            <w:tcW w:w="1120" w:type="dxa"/>
            <w:vAlign w:val="bottom"/>
            <w:tcBorders>
              <w:top w:val="single" w:sz="8" w:color="F1F2F2"/>
            </w:tcBorders>
            <w:shd w:val="clear" w:color="auto" w:fill="F1F2F2"/>
          </w:tcPr>
          <w:p>
            <w:pPr>
              <w:spacing w:after="0"/>
              <w:rPr>
                <w:sz w:val="11"/>
                <w:szCs w:val="11"/>
                <w:color w:val="auto"/>
              </w:rPr>
            </w:pPr>
          </w:p>
        </w:tc>
        <w:tc>
          <w:tcPr>
            <w:tcW w:w="80" w:type="dxa"/>
            <w:vAlign w:val="bottom"/>
            <w:tcBorders>
              <w:top w:val="single" w:sz="8" w:color="F1F2F2"/>
            </w:tcBorders>
            <w:shd w:val="clear" w:color="auto" w:fill="F1F2F2"/>
          </w:tcPr>
          <w:p>
            <w:pPr>
              <w:spacing w:after="0"/>
              <w:rPr>
                <w:sz w:val="11"/>
                <w:szCs w:val="11"/>
                <w:color w:val="auto"/>
              </w:rPr>
            </w:pPr>
          </w:p>
        </w:tc>
        <w:tc>
          <w:tcPr>
            <w:tcW w:w="3320" w:type="dxa"/>
            <w:vAlign w:val="bottom"/>
            <w:tcBorders>
              <w:top w:val="single" w:sz="8" w:color="F1F2F2"/>
            </w:tcBorders>
            <w:shd w:val="clear" w:color="auto" w:fill="F1F2F2"/>
          </w:tcPr>
          <w:p>
            <w:pPr>
              <w:ind w:left="60"/>
              <w:spacing w:after="0" w:line="137" w:lineRule="exact"/>
              <w:rPr>
                <w:sz w:val="20"/>
                <w:szCs w:val="20"/>
                <w:color w:val="auto"/>
              </w:rPr>
            </w:pPr>
            <w:r>
              <w:rPr>
                <w:rFonts w:ascii="Arial" w:cs="Arial" w:eastAsia="Arial" w:hAnsi="Arial"/>
                <w:sz w:val="15"/>
                <w:szCs w:val="15"/>
                <w:color w:val="auto"/>
              </w:rPr>
              <w:t>as our independent registered public accounting</w:t>
            </w:r>
          </w:p>
        </w:tc>
        <w:tc>
          <w:tcPr>
            <w:tcW w:w="80" w:type="dxa"/>
            <w:vAlign w:val="bottom"/>
            <w:tcBorders>
              <w:top w:val="single" w:sz="8" w:color="F1F2F2"/>
            </w:tcBorders>
            <w:shd w:val="clear" w:color="auto" w:fill="F1F2F2"/>
          </w:tcPr>
          <w:p>
            <w:pPr>
              <w:spacing w:after="0"/>
              <w:rPr>
                <w:sz w:val="11"/>
                <w:szCs w:val="11"/>
                <w:color w:val="auto"/>
              </w:rPr>
            </w:pPr>
          </w:p>
        </w:tc>
        <w:tc>
          <w:tcPr>
            <w:tcW w:w="140" w:type="dxa"/>
            <w:vAlign w:val="bottom"/>
            <w:tcBorders>
              <w:top w:val="single" w:sz="8" w:color="F1F2F2"/>
            </w:tcBorders>
            <w:shd w:val="clear" w:color="auto" w:fill="F1F2F2"/>
          </w:tcPr>
          <w:p>
            <w:pPr>
              <w:spacing w:after="0"/>
              <w:rPr>
                <w:sz w:val="11"/>
                <w:szCs w:val="11"/>
                <w:color w:val="auto"/>
              </w:rPr>
            </w:pPr>
          </w:p>
        </w:tc>
        <w:tc>
          <w:tcPr>
            <w:tcW w:w="580" w:type="dxa"/>
            <w:vAlign w:val="bottom"/>
            <w:tcBorders>
              <w:top w:val="single" w:sz="8" w:color="F1F2F2"/>
            </w:tcBorders>
            <w:shd w:val="clear" w:color="auto" w:fill="F1F2F2"/>
          </w:tcPr>
          <w:p>
            <w:pPr>
              <w:spacing w:after="0"/>
              <w:rPr>
                <w:sz w:val="11"/>
                <w:szCs w:val="11"/>
                <w:color w:val="auto"/>
              </w:rPr>
            </w:pPr>
          </w:p>
        </w:tc>
        <w:tc>
          <w:tcPr>
            <w:tcW w:w="60" w:type="dxa"/>
            <w:vAlign w:val="bottom"/>
            <w:tcBorders>
              <w:top w:val="single" w:sz="8" w:color="0000EE"/>
            </w:tcBorders>
            <w:shd w:val="clear" w:color="auto" w:fill="F1F2F2"/>
          </w:tcPr>
          <w:p>
            <w:pPr>
              <w:spacing w:after="0"/>
              <w:rPr>
                <w:sz w:val="11"/>
                <w:szCs w:val="11"/>
                <w:color w:val="auto"/>
              </w:rPr>
            </w:pPr>
          </w:p>
        </w:tc>
        <w:tc>
          <w:tcPr>
            <w:tcW w:w="80" w:type="dxa"/>
            <w:vAlign w:val="bottom"/>
            <w:tcBorders>
              <w:top w:val="single" w:sz="8" w:color="0000EE"/>
            </w:tcBorders>
            <w:shd w:val="clear" w:color="auto" w:fill="F1F2F2"/>
          </w:tcPr>
          <w:p>
            <w:pPr>
              <w:spacing w:after="0"/>
              <w:rPr>
                <w:sz w:val="11"/>
                <w:szCs w:val="11"/>
                <w:color w:val="auto"/>
              </w:rPr>
            </w:pPr>
          </w:p>
        </w:tc>
        <w:tc>
          <w:tcPr>
            <w:tcW w:w="40" w:type="dxa"/>
            <w:vAlign w:val="bottom"/>
            <w:tcBorders>
              <w:top w:val="single" w:sz="8" w:color="0000EE"/>
            </w:tcBorders>
            <w:shd w:val="clear" w:color="auto" w:fill="F1F2F2"/>
          </w:tcPr>
          <w:p>
            <w:pPr>
              <w:spacing w:after="0"/>
              <w:rPr>
                <w:sz w:val="11"/>
                <w:szCs w:val="11"/>
                <w:color w:val="auto"/>
              </w:rPr>
            </w:pPr>
          </w:p>
        </w:tc>
        <w:tc>
          <w:tcPr>
            <w:tcW w:w="160" w:type="dxa"/>
            <w:vAlign w:val="bottom"/>
            <w:tcBorders>
              <w:top w:val="single" w:sz="8" w:color="F1F2F2"/>
            </w:tcBorders>
            <w:shd w:val="clear" w:color="auto" w:fill="F1F2F2"/>
          </w:tcPr>
          <w:p>
            <w:pPr>
              <w:spacing w:after="0"/>
              <w:rPr>
                <w:sz w:val="11"/>
                <w:szCs w:val="11"/>
                <w:color w:val="auto"/>
              </w:rPr>
            </w:pPr>
          </w:p>
        </w:tc>
        <w:tc>
          <w:tcPr>
            <w:tcW w:w="80" w:type="dxa"/>
            <w:vAlign w:val="bottom"/>
            <w:tcBorders>
              <w:top w:val="single" w:sz="8" w:color="F1F2F2"/>
            </w:tcBorders>
            <w:shd w:val="clear" w:color="auto" w:fill="F1F2F2"/>
          </w:tcPr>
          <w:p>
            <w:pPr>
              <w:spacing w:after="0"/>
              <w:rPr>
                <w:sz w:val="11"/>
                <w:szCs w:val="11"/>
                <w:color w:val="auto"/>
              </w:rPr>
            </w:pPr>
          </w:p>
        </w:tc>
        <w:tc>
          <w:tcPr>
            <w:tcW w:w="100" w:type="dxa"/>
            <w:vAlign w:val="bottom"/>
            <w:tcBorders>
              <w:top w:val="single" w:sz="8" w:color="F1F2F2"/>
            </w:tcBorders>
            <w:shd w:val="clear" w:color="auto" w:fill="F1F2F2"/>
          </w:tcPr>
          <w:p>
            <w:pPr>
              <w:spacing w:after="0"/>
              <w:rPr>
                <w:sz w:val="11"/>
                <w:szCs w:val="11"/>
                <w:color w:val="auto"/>
              </w:rPr>
            </w:pPr>
          </w:p>
        </w:tc>
        <w:tc>
          <w:tcPr>
            <w:tcW w:w="1200" w:type="dxa"/>
            <w:vAlign w:val="bottom"/>
            <w:tcBorders>
              <w:top w:val="single" w:sz="8" w:color="F1F2F2"/>
            </w:tcBorders>
            <w:shd w:val="clear" w:color="auto" w:fill="F1F2F2"/>
          </w:tcPr>
          <w:p>
            <w:pPr>
              <w:spacing w:after="0"/>
              <w:rPr>
                <w:sz w:val="11"/>
                <w:szCs w:val="11"/>
                <w:color w:val="auto"/>
              </w:rPr>
            </w:pPr>
          </w:p>
        </w:tc>
        <w:tc>
          <w:tcPr>
            <w:tcW w:w="40" w:type="dxa"/>
            <w:vAlign w:val="bottom"/>
            <w:tcBorders>
              <w:top w:val="single" w:sz="8" w:color="F1F2F2"/>
            </w:tcBorders>
            <w:shd w:val="clear" w:color="auto" w:fill="F1F2F2"/>
          </w:tcPr>
          <w:p>
            <w:pPr>
              <w:spacing w:after="0"/>
              <w:rPr>
                <w:sz w:val="11"/>
                <w:szCs w:val="11"/>
                <w:color w:val="auto"/>
              </w:rPr>
            </w:pPr>
          </w:p>
        </w:tc>
        <w:tc>
          <w:tcPr>
            <w:tcW w:w="140" w:type="dxa"/>
            <w:vAlign w:val="bottom"/>
            <w:tcBorders>
              <w:top w:val="single" w:sz="8" w:color="F1F2F2"/>
            </w:tcBorders>
            <w:shd w:val="clear" w:color="auto" w:fill="F1F2F2"/>
          </w:tcPr>
          <w:p>
            <w:pPr>
              <w:spacing w:after="0"/>
              <w:rPr>
                <w:sz w:val="11"/>
                <w:szCs w:val="11"/>
                <w:color w:val="auto"/>
              </w:rPr>
            </w:pPr>
          </w:p>
        </w:tc>
        <w:tc>
          <w:tcPr>
            <w:tcW w:w="940" w:type="dxa"/>
            <w:vAlign w:val="bottom"/>
            <w:tcBorders>
              <w:top w:val="single" w:sz="8" w:color="F1F2F2"/>
            </w:tcBorders>
            <w:shd w:val="clear" w:color="auto" w:fill="F1F2F2"/>
          </w:tcPr>
          <w:p>
            <w:pPr>
              <w:jc w:val="center"/>
              <w:spacing w:after="0" w:line="137" w:lineRule="exact"/>
              <w:rPr>
                <w:sz w:val="20"/>
                <w:szCs w:val="20"/>
                <w:color w:val="auto"/>
              </w:rPr>
            </w:pPr>
            <w:r>
              <w:rPr>
                <w:rFonts w:ascii="Arial" w:cs="Arial" w:eastAsia="Arial" w:hAnsi="Arial"/>
                <w:sz w:val="15"/>
                <w:szCs w:val="15"/>
                <w:color w:val="auto"/>
              </w:rPr>
              <w:t>votes cast</w:t>
            </w:r>
          </w:p>
        </w:tc>
        <w:tc>
          <w:tcPr>
            <w:tcW w:w="120" w:type="dxa"/>
            <w:vAlign w:val="bottom"/>
            <w:tcBorders>
              <w:top w:val="single" w:sz="8" w:color="F1F2F2"/>
            </w:tcBorders>
            <w:shd w:val="clear" w:color="auto" w:fill="F1F2F2"/>
          </w:tcPr>
          <w:p>
            <w:pPr>
              <w:spacing w:after="0"/>
              <w:rPr>
                <w:sz w:val="11"/>
                <w:szCs w:val="11"/>
                <w:color w:val="auto"/>
              </w:rPr>
            </w:pPr>
          </w:p>
        </w:tc>
      </w:tr>
      <w:tr>
        <w:trPr>
          <w:trHeight w:val="175"/>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shd w:val="clear" w:color="auto" w:fill="F1F2F2"/>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320" w:type="dxa"/>
            <w:vAlign w:val="bottom"/>
            <w:shd w:val="clear" w:color="auto" w:fill="F1F2F2"/>
          </w:tcPr>
          <w:p>
            <w:pPr>
              <w:ind w:left="60"/>
              <w:spacing w:after="0"/>
              <w:rPr>
                <w:sz w:val="20"/>
                <w:szCs w:val="20"/>
                <w:color w:val="auto"/>
              </w:rPr>
            </w:pPr>
            <w:r>
              <w:rPr>
                <w:rFonts w:ascii="Arial" w:cs="Arial" w:eastAsia="Arial" w:hAnsi="Arial"/>
                <w:sz w:val="15"/>
                <w:szCs w:val="15"/>
                <w:color w:val="auto"/>
              </w:rPr>
              <w:t>firm for the fiscal year ending December 31,</w:t>
            </w:r>
          </w:p>
        </w:tc>
        <w:tc>
          <w:tcPr>
            <w:tcW w:w="8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shd w:val="clear" w:color="auto" w:fill="F1F2F2"/>
          </w:tcPr>
          <w:p>
            <w:pPr>
              <w:spacing w:after="0"/>
              <w:rPr>
                <w:sz w:val="15"/>
                <w:szCs w:val="15"/>
                <w:color w:val="auto"/>
              </w:rPr>
            </w:pPr>
          </w:p>
        </w:tc>
        <w:tc>
          <w:tcPr>
            <w:tcW w:w="60" w:type="dxa"/>
            <w:vAlign w:val="bottom"/>
            <w:shd w:val="clear" w:color="auto" w:fill="F1F2F2"/>
          </w:tcPr>
          <w:p>
            <w:pPr>
              <w:spacing w:after="0"/>
              <w:rPr>
                <w:sz w:val="15"/>
                <w:szCs w:val="15"/>
                <w:color w:val="auto"/>
              </w:rPr>
            </w:pPr>
          </w:p>
        </w:tc>
        <w:tc>
          <w:tcPr>
            <w:tcW w:w="80" w:type="dxa"/>
            <w:vAlign w:val="bottom"/>
            <w:shd w:val="clear" w:color="auto" w:fill="F1F2F2"/>
          </w:tcPr>
          <w:p>
            <w:pPr>
              <w:spacing w:after="0"/>
              <w:rPr>
                <w:sz w:val="15"/>
                <w:szCs w:val="15"/>
                <w:color w:val="auto"/>
              </w:rPr>
            </w:pPr>
          </w:p>
        </w:tc>
        <w:tc>
          <w:tcPr>
            <w:tcW w:w="40" w:type="dxa"/>
            <w:vAlign w:val="bottom"/>
            <w:shd w:val="clear" w:color="auto" w:fill="F1F2F2"/>
          </w:tcPr>
          <w:p>
            <w:pPr>
              <w:spacing w:after="0"/>
              <w:rPr>
                <w:sz w:val="15"/>
                <w:szCs w:val="15"/>
                <w:color w:val="auto"/>
              </w:rPr>
            </w:pPr>
          </w:p>
        </w:tc>
        <w:tc>
          <w:tcPr>
            <w:tcW w:w="160" w:type="dxa"/>
            <w:vAlign w:val="bottom"/>
            <w:shd w:val="clear" w:color="auto" w:fill="F1F2F2"/>
          </w:tcPr>
          <w:p>
            <w:pPr>
              <w:spacing w:after="0"/>
              <w:rPr>
                <w:sz w:val="15"/>
                <w:szCs w:val="15"/>
                <w:color w:val="auto"/>
              </w:rPr>
            </w:pP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F1F2F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shd w:val="clear" w:color="auto" w:fill="F1F2F2"/>
          </w:tcPr>
          <w:p>
            <w:pPr>
              <w:spacing w:after="0"/>
              <w:rPr>
                <w:sz w:val="15"/>
                <w:szCs w:val="15"/>
                <w:color w:val="auto"/>
              </w:rPr>
            </w:pPr>
          </w:p>
        </w:tc>
        <w:tc>
          <w:tcPr>
            <w:tcW w:w="40" w:type="dxa"/>
            <w:vAlign w:val="bottom"/>
            <w:shd w:val="clear" w:color="auto" w:fill="F1F2F2"/>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F1F2F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shd w:val="clear" w:color="auto" w:fill="F1F2F2"/>
          </w:tcPr>
          <w:p>
            <w:pPr>
              <w:spacing w:after="0"/>
              <w:rPr>
                <w:sz w:val="15"/>
                <w:szCs w:val="15"/>
                <w:color w:val="auto"/>
              </w:rPr>
            </w:pP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147"/>
        </w:trPr>
        <w:tc>
          <w:tcPr>
            <w:tcW w:w="80" w:type="dxa"/>
            <w:vAlign w:val="bottom"/>
            <w:tcBorders>
              <w:right w:val="single" w:sz="8" w:color="F1F2F2"/>
            </w:tcBorders>
          </w:tcPr>
          <w:p>
            <w:pPr>
              <w:spacing w:after="0"/>
              <w:rPr>
                <w:sz w:val="12"/>
                <w:szCs w:val="12"/>
                <w:color w:val="auto"/>
              </w:rPr>
            </w:pPr>
          </w:p>
        </w:tc>
        <w:tc>
          <w:tcPr>
            <w:tcW w:w="1120" w:type="dxa"/>
            <w:vAlign w:val="bottom"/>
            <w:shd w:val="clear" w:color="auto" w:fill="F1F2F2"/>
          </w:tcPr>
          <w:p>
            <w:pPr>
              <w:spacing w:after="0"/>
              <w:rPr>
                <w:sz w:val="12"/>
                <w:szCs w:val="12"/>
                <w:color w:val="auto"/>
              </w:rPr>
            </w:pPr>
          </w:p>
        </w:tc>
        <w:tc>
          <w:tcPr>
            <w:tcW w:w="80" w:type="dxa"/>
            <w:vAlign w:val="bottom"/>
            <w:shd w:val="clear" w:color="auto" w:fill="F1F2F2"/>
          </w:tcPr>
          <w:p>
            <w:pPr>
              <w:spacing w:after="0"/>
              <w:rPr>
                <w:sz w:val="12"/>
                <w:szCs w:val="12"/>
                <w:color w:val="auto"/>
              </w:rPr>
            </w:pPr>
          </w:p>
        </w:tc>
        <w:tc>
          <w:tcPr>
            <w:tcW w:w="3320" w:type="dxa"/>
            <w:vAlign w:val="bottom"/>
            <w:shd w:val="clear" w:color="auto" w:fill="F1F2F2"/>
          </w:tcPr>
          <w:p>
            <w:pPr>
              <w:ind w:left="60"/>
              <w:spacing w:after="0" w:line="147" w:lineRule="exact"/>
              <w:rPr>
                <w:sz w:val="20"/>
                <w:szCs w:val="20"/>
                <w:color w:val="auto"/>
              </w:rPr>
            </w:pPr>
            <w:r>
              <w:rPr>
                <w:rFonts w:ascii="Arial" w:cs="Arial" w:eastAsia="Arial" w:hAnsi="Arial"/>
                <w:sz w:val="15"/>
                <w:szCs w:val="15"/>
                <w:color w:val="auto"/>
              </w:rPr>
              <w:t>2022 and authorization of the Company’s Audit</w:t>
            </w:r>
          </w:p>
        </w:tc>
        <w:tc>
          <w:tcPr>
            <w:tcW w:w="80" w:type="dxa"/>
            <w:vAlign w:val="bottom"/>
            <w:shd w:val="clear" w:color="auto" w:fill="F1F2F2"/>
          </w:tcPr>
          <w:p>
            <w:pPr>
              <w:spacing w:after="0"/>
              <w:rPr>
                <w:sz w:val="12"/>
                <w:szCs w:val="12"/>
                <w:color w:val="auto"/>
              </w:rPr>
            </w:pPr>
          </w:p>
        </w:tc>
        <w:tc>
          <w:tcPr>
            <w:tcW w:w="140" w:type="dxa"/>
            <w:vAlign w:val="bottom"/>
            <w:shd w:val="clear" w:color="auto" w:fill="F1F2F2"/>
          </w:tcPr>
          <w:p>
            <w:pPr>
              <w:spacing w:after="0"/>
              <w:rPr>
                <w:sz w:val="12"/>
                <w:szCs w:val="12"/>
                <w:color w:val="auto"/>
              </w:rPr>
            </w:pPr>
          </w:p>
        </w:tc>
        <w:tc>
          <w:tcPr>
            <w:tcW w:w="580" w:type="dxa"/>
            <w:vAlign w:val="bottom"/>
            <w:shd w:val="clear" w:color="auto" w:fill="F1F2F2"/>
          </w:tcPr>
          <w:p>
            <w:pPr>
              <w:spacing w:after="0"/>
              <w:rPr>
                <w:sz w:val="12"/>
                <w:szCs w:val="12"/>
                <w:color w:val="auto"/>
              </w:rPr>
            </w:pPr>
          </w:p>
        </w:tc>
        <w:tc>
          <w:tcPr>
            <w:tcW w:w="60" w:type="dxa"/>
            <w:vAlign w:val="bottom"/>
            <w:shd w:val="clear" w:color="auto" w:fill="F1F2F2"/>
          </w:tcPr>
          <w:p>
            <w:pPr>
              <w:spacing w:after="0"/>
              <w:rPr>
                <w:sz w:val="12"/>
                <w:szCs w:val="12"/>
                <w:color w:val="auto"/>
              </w:rPr>
            </w:pPr>
          </w:p>
        </w:tc>
        <w:tc>
          <w:tcPr>
            <w:tcW w:w="80" w:type="dxa"/>
            <w:vAlign w:val="bottom"/>
            <w:shd w:val="clear" w:color="auto" w:fill="F1F2F2"/>
          </w:tcPr>
          <w:p>
            <w:pPr>
              <w:spacing w:after="0"/>
              <w:rPr>
                <w:sz w:val="12"/>
                <w:szCs w:val="12"/>
                <w:color w:val="auto"/>
              </w:rPr>
            </w:pPr>
          </w:p>
        </w:tc>
        <w:tc>
          <w:tcPr>
            <w:tcW w:w="40" w:type="dxa"/>
            <w:vAlign w:val="bottom"/>
            <w:shd w:val="clear" w:color="auto" w:fill="F1F2F2"/>
          </w:tcPr>
          <w:p>
            <w:pPr>
              <w:spacing w:after="0"/>
              <w:rPr>
                <w:sz w:val="12"/>
                <w:szCs w:val="12"/>
                <w:color w:val="auto"/>
              </w:rPr>
            </w:pPr>
          </w:p>
        </w:tc>
        <w:tc>
          <w:tcPr>
            <w:tcW w:w="160" w:type="dxa"/>
            <w:vAlign w:val="bottom"/>
            <w:shd w:val="clear" w:color="auto" w:fill="F1F2F2"/>
          </w:tcPr>
          <w:p>
            <w:pPr>
              <w:spacing w:after="0"/>
              <w:rPr>
                <w:sz w:val="12"/>
                <w:szCs w:val="12"/>
                <w:color w:val="auto"/>
              </w:rPr>
            </w:pPr>
          </w:p>
        </w:tc>
        <w:tc>
          <w:tcPr>
            <w:tcW w:w="80" w:type="dxa"/>
            <w:vAlign w:val="bottom"/>
            <w:shd w:val="clear" w:color="auto" w:fill="F1F2F2"/>
          </w:tcPr>
          <w:p>
            <w:pPr>
              <w:spacing w:after="0"/>
              <w:rPr>
                <w:sz w:val="12"/>
                <w:szCs w:val="12"/>
                <w:color w:val="auto"/>
              </w:rPr>
            </w:pPr>
          </w:p>
        </w:tc>
        <w:tc>
          <w:tcPr>
            <w:tcW w:w="100" w:type="dxa"/>
            <w:vAlign w:val="bottom"/>
            <w:shd w:val="clear" w:color="auto" w:fill="F1F2F2"/>
          </w:tcPr>
          <w:p>
            <w:pPr>
              <w:spacing w:after="0"/>
              <w:rPr>
                <w:sz w:val="12"/>
                <w:szCs w:val="12"/>
                <w:color w:val="auto"/>
              </w:rPr>
            </w:pPr>
          </w:p>
        </w:tc>
        <w:tc>
          <w:tcPr>
            <w:tcW w:w="1200" w:type="dxa"/>
            <w:vAlign w:val="bottom"/>
            <w:shd w:val="clear" w:color="auto" w:fill="F1F2F2"/>
          </w:tcPr>
          <w:p>
            <w:pPr>
              <w:spacing w:after="0"/>
              <w:rPr>
                <w:sz w:val="12"/>
                <w:szCs w:val="12"/>
                <w:color w:val="auto"/>
              </w:rPr>
            </w:pPr>
          </w:p>
        </w:tc>
        <w:tc>
          <w:tcPr>
            <w:tcW w:w="40" w:type="dxa"/>
            <w:vAlign w:val="bottom"/>
            <w:shd w:val="clear" w:color="auto" w:fill="F1F2F2"/>
          </w:tcPr>
          <w:p>
            <w:pPr>
              <w:spacing w:after="0"/>
              <w:rPr>
                <w:sz w:val="12"/>
                <w:szCs w:val="12"/>
                <w:color w:val="auto"/>
              </w:rPr>
            </w:pPr>
          </w:p>
        </w:tc>
        <w:tc>
          <w:tcPr>
            <w:tcW w:w="140" w:type="dxa"/>
            <w:vAlign w:val="bottom"/>
            <w:shd w:val="clear" w:color="auto" w:fill="F1F2F2"/>
          </w:tcPr>
          <w:p>
            <w:pPr>
              <w:spacing w:after="0"/>
              <w:rPr>
                <w:sz w:val="12"/>
                <w:szCs w:val="12"/>
                <w:color w:val="auto"/>
              </w:rPr>
            </w:pPr>
          </w:p>
        </w:tc>
        <w:tc>
          <w:tcPr>
            <w:tcW w:w="940" w:type="dxa"/>
            <w:vAlign w:val="bottom"/>
            <w:shd w:val="clear" w:color="auto" w:fill="F1F2F2"/>
          </w:tcPr>
          <w:p>
            <w:pPr>
              <w:spacing w:after="0"/>
              <w:rPr>
                <w:sz w:val="12"/>
                <w:szCs w:val="12"/>
                <w:color w:val="auto"/>
              </w:rPr>
            </w:pPr>
          </w:p>
        </w:tc>
        <w:tc>
          <w:tcPr>
            <w:tcW w:w="120" w:type="dxa"/>
            <w:vAlign w:val="bottom"/>
            <w:shd w:val="clear" w:color="auto" w:fill="F1F2F2"/>
          </w:tcPr>
          <w:p>
            <w:pPr>
              <w:spacing w:after="0"/>
              <w:rPr>
                <w:sz w:val="12"/>
                <w:szCs w:val="12"/>
                <w:color w:val="auto"/>
              </w:rPr>
            </w:pPr>
          </w:p>
        </w:tc>
      </w:tr>
      <w:tr>
        <w:trPr>
          <w:trHeight w:val="161"/>
        </w:trPr>
        <w:tc>
          <w:tcPr>
            <w:tcW w:w="80" w:type="dxa"/>
            <w:vAlign w:val="bottom"/>
            <w:tcBorders>
              <w:right w:val="single" w:sz="8" w:color="F1F2F2"/>
            </w:tcBorders>
          </w:tcPr>
          <w:p>
            <w:pPr>
              <w:spacing w:after="0"/>
              <w:rPr>
                <w:sz w:val="13"/>
                <w:szCs w:val="13"/>
                <w:color w:val="auto"/>
              </w:rPr>
            </w:pPr>
          </w:p>
        </w:tc>
        <w:tc>
          <w:tcPr>
            <w:tcW w:w="1120" w:type="dxa"/>
            <w:vAlign w:val="bottom"/>
            <w:shd w:val="clear" w:color="auto" w:fill="F1F2F2"/>
          </w:tcPr>
          <w:p>
            <w:pPr>
              <w:spacing w:after="0"/>
              <w:rPr>
                <w:sz w:val="13"/>
                <w:szCs w:val="13"/>
                <w:color w:val="auto"/>
              </w:rPr>
            </w:pPr>
          </w:p>
        </w:tc>
        <w:tc>
          <w:tcPr>
            <w:tcW w:w="80" w:type="dxa"/>
            <w:vAlign w:val="bottom"/>
            <w:shd w:val="clear" w:color="auto" w:fill="F1F2F2"/>
          </w:tcPr>
          <w:p>
            <w:pPr>
              <w:spacing w:after="0"/>
              <w:rPr>
                <w:sz w:val="13"/>
                <w:szCs w:val="13"/>
                <w:color w:val="auto"/>
              </w:rPr>
            </w:pPr>
          </w:p>
        </w:tc>
        <w:tc>
          <w:tcPr>
            <w:tcW w:w="3320" w:type="dxa"/>
            <w:vAlign w:val="bottom"/>
            <w:shd w:val="clear" w:color="auto" w:fill="F1F2F2"/>
          </w:tcPr>
          <w:p>
            <w:pPr>
              <w:ind w:left="60"/>
              <w:spacing w:after="0" w:line="161" w:lineRule="exact"/>
              <w:rPr>
                <w:sz w:val="20"/>
                <w:szCs w:val="20"/>
                <w:color w:val="auto"/>
              </w:rPr>
            </w:pPr>
            <w:r>
              <w:rPr>
                <w:rFonts w:ascii="Arial" w:cs="Arial" w:eastAsia="Arial" w:hAnsi="Arial"/>
                <w:sz w:val="15"/>
                <w:szCs w:val="15"/>
                <w:color w:val="auto"/>
              </w:rPr>
              <w:t>Committee of the Board of Directors to</w:t>
            </w:r>
          </w:p>
        </w:tc>
        <w:tc>
          <w:tcPr>
            <w:tcW w:w="80" w:type="dxa"/>
            <w:vAlign w:val="bottom"/>
            <w:shd w:val="clear" w:color="auto" w:fill="F1F2F2"/>
          </w:tcPr>
          <w:p>
            <w:pPr>
              <w:spacing w:after="0"/>
              <w:rPr>
                <w:sz w:val="13"/>
                <w:szCs w:val="13"/>
                <w:color w:val="auto"/>
              </w:rPr>
            </w:pPr>
          </w:p>
        </w:tc>
        <w:tc>
          <w:tcPr>
            <w:tcW w:w="140" w:type="dxa"/>
            <w:vAlign w:val="bottom"/>
            <w:shd w:val="clear" w:color="auto" w:fill="F1F2F2"/>
          </w:tcPr>
          <w:p>
            <w:pPr>
              <w:spacing w:after="0"/>
              <w:rPr>
                <w:sz w:val="13"/>
                <w:szCs w:val="13"/>
                <w:color w:val="auto"/>
              </w:rPr>
            </w:pPr>
          </w:p>
        </w:tc>
        <w:tc>
          <w:tcPr>
            <w:tcW w:w="580" w:type="dxa"/>
            <w:vAlign w:val="bottom"/>
            <w:shd w:val="clear" w:color="auto" w:fill="F1F2F2"/>
          </w:tcPr>
          <w:p>
            <w:pPr>
              <w:spacing w:after="0"/>
              <w:rPr>
                <w:sz w:val="13"/>
                <w:szCs w:val="13"/>
                <w:color w:val="auto"/>
              </w:rPr>
            </w:pPr>
          </w:p>
        </w:tc>
        <w:tc>
          <w:tcPr>
            <w:tcW w:w="60" w:type="dxa"/>
            <w:vAlign w:val="bottom"/>
            <w:shd w:val="clear" w:color="auto" w:fill="F1F2F2"/>
          </w:tcPr>
          <w:p>
            <w:pPr>
              <w:spacing w:after="0"/>
              <w:rPr>
                <w:sz w:val="13"/>
                <w:szCs w:val="13"/>
                <w:color w:val="auto"/>
              </w:rPr>
            </w:pPr>
          </w:p>
        </w:tc>
        <w:tc>
          <w:tcPr>
            <w:tcW w:w="80" w:type="dxa"/>
            <w:vAlign w:val="bottom"/>
            <w:shd w:val="clear" w:color="auto" w:fill="F1F2F2"/>
          </w:tcPr>
          <w:p>
            <w:pPr>
              <w:spacing w:after="0"/>
              <w:rPr>
                <w:sz w:val="13"/>
                <w:szCs w:val="13"/>
                <w:color w:val="auto"/>
              </w:rPr>
            </w:pPr>
          </w:p>
        </w:tc>
        <w:tc>
          <w:tcPr>
            <w:tcW w:w="40" w:type="dxa"/>
            <w:vAlign w:val="bottom"/>
            <w:shd w:val="clear" w:color="auto" w:fill="F1F2F2"/>
          </w:tcPr>
          <w:p>
            <w:pPr>
              <w:spacing w:after="0"/>
              <w:rPr>
                <w:sz w:val="13"/>
                <w:szCs w:val="13"/>
                <w:color w:val="auto"/>
              </w:rPr>
            </w:pPr>
          </w:p>
        </w:tc>
        <w:tc>
          <w:tcPr>
            <w:tcW w:w="160" w:type="dxa"/>
            <w:vAlign w:val="bottom"/>
            <w:shd w:val="clear" w:color="auto" w:fill="F1F2F2"/>
          </w:tcPr>
          <w:p>
            <w:pPr>
              <w:spacing w:after="0"/>
              <w:rPr>
                <w:sz w:val="13"/>
                <w:szCs w:val="13"/>
                <w:color w:val="auto"/>
              </w:rPr>
            </w:pPr>
          </w:p>
        </w:tc>
        <w:tc>
          <w:tcPr>
            <w:tcW w:w="80" w:type="dxa"/>
            <w:vAlign w:val="bottom"/>
            <w:shd w:val="clear" w:color="auto" w:fill="F1F2F2"/>
          </w:tcPr>
          <w:p>
            <w:pPr>
              <w:spacing w:after="0"/>
              <w:rPr>
                <w:sz w:val="13"/>
                <w:szCs w:val="13"/>
                <w:color w:val="auto"/>
              </w:rPr>
            </w:pPr>
          </w:p>
        </w:tc>
        <w:tc>
          <w:tcPr>
            <w:tcW w:w="100" w:type="dxa"/>
            <w:vAlign w:val="bottom"/>
            <w:shd w:val="clear" w:color="auto" w:fill="F1F2F2"/>
          </w:tcPr>
          <w:p>
            <w:pPr>
              <w:spacing w:after="0"/>
              <w:rPr>
                <w:sz w:val="13"/>
                <w:szCs w:val="13"/>
                <w:color w:val="auto"/>
              </w:rPr>
            </w:pPr>
          </w:p>
        </w:tc>
        <w:tc>
          <w:tcPr>
            <w:tcW w:w="1200" w:type="dxa"/>
            <w:vAlign w:val="bottom"/>
            <w:shd w:val="clear" w:color="auto" w:fill="F1F2F2"/>
          </w:tcPr>
          <w:p>
            <w:pPr>
              <w:spacing w:after="0"/>
              <w:rPr>
                <w:sz w:val="13"/>
                <w:szCs w:val="13"/>
                <w:color w:val="auto"/>
              </w:rPr>
            </w:pPr>
          </w:p>
        </w:tc>
        <w:tc>
          <w:tcPr>
            <w:tcW w:w="40" w:type="dxa"/>
            <w:vAlign w:val="bottom"/>
            <w:shd w:val="clear" w:color="auto" w:fill="F1F2F2"/>
          </w:tcPr>
          <w:p>
            <w:pPr>
              <w:spacing w:after="0"/>
              <w:rPr>
                <w:sz w:val="13"/>
                <w:szCs w:val="13"/>
                <w:color w:val="auto"/>
              </w:rPr>
            </w:pPr>
          </w:p>
        </w:tc>
        <w:tc>
          <w:tcPr>
            <w:tcW w:w="140" w:type="dxa"/>
            <w:vAlign w:val="bottom"/>
            <w:shd w:val="clear" w:color="auto" w:fill="F1F2F2"/>
          </w:tcPr>
          <w:p>
            <w:pPr>
              <w:spacing w:after="0"/>
              <w:rPr>
                <w:sz w:val="13"/>
                <w:szCs w:val="13"/>
                <w:color w:val="auto"/>
              </w:rPr>
            </w:pPr>
          </w:p>
        </w:tc>
        <w:tc>
          <w:tcPr>
            <w:tcW w:w="940" w:type="dxa"/>
            <w:vAlign w:val="bottom"/>
            <w:shd w:val="clear" w:color="auto" w:fill="F1F2F2"/>
          </w:tcPr>
          <w:p>
            <w:pPr>
              <w:spacing w:after="0"/>
              <w:rPr>
                <w:sz w:val="13"/>
                <w:szCs w:val="13"/>
                <w:color w:val="auto"/>
              </w:rPr>
            </w:pPr>
          </w:p>
        </w:tc>
        <w:tc>
          <w:tcPr>
            <w:tcW w:w="120" w:type="dxa"/>
            <w:vAlign w:val="bottom"/>
            <w:shd w:val="clear" w:color="auto" w:fill="F1F2F2"/>
          </w:tcPr>
          <w:p>
            <w:pPr>
              <w:spacing w:after="0"/>
              <w:rPr>
                <w:sz w:val="13"/>
                <w:szCs w:val="13"/>
                <w:color w:val="auto"/>
              </w:rPr>
            </w:pPr>
          </w:p>
        </w:tc>
      </w:tr>
      <w:tr>
        <w:trPr>
          <w:trHeight w:val="212"/>
        </w:trPr>
        <w:tc>
          <w:tcPr>
            <w:tcW w:w="80" w:type="dxa"/>
            <w:vAlign w:val="bottom"/>
            <w:tcBorders>
              <w:right w:val="single" w:sz="8" w:color="F1F2F2"/>
            </w:tcBorders>
          </w:tcPr>
          <w:p>
            <w:pPr>
              <w:spacing w:after="0"/>
              <w:rPr>
                <w:sz w:val="18"/>
                <w:szCs w:val="18"/>
                <w:color w:val="auto"/>
              </w:rPr>
            </w:pPr>
          </w:p>
        </w:tc>
        <w:tc>
          <w:tcPr>
            <w:tcW w:w="1120" w:type="dxa"/>
            <w:vAlign w:val="bottom"/>
            <w:tcBorders>
              <w:bottom w:val="single" w:sz="8" w:color="F1F2F2"/>
            </w:tcBorders>
            <w:shd w:val="clear" w:color="auto" w:fill="F1F2F2"/>
          </w:tcPr>
          <w:p>
            <w:pPr>
              <w:spacing w:after="0"/>
              <w:rPr>
                <w:sz w:val="18"/>
                <w:szCs w:val="18"/>
                <w:color w:val="auto"/>
              </w:rPr>
            </w:pPr>
          </w:p>
        </w:tc>
        <w:tc>
          <w:tcPr>
            <w:tcW w:w="80" w:type="dxa"/>
            <w:vAlign w:val="bottom"/>
            <w:tcBorders>
              <w:bottom w:val="single" w:sz="8" w:color="F1F2F2"/>
            </w:tcBorders>
            <w:shd w:val="clear" w:color="auto" w:fill="F1F2F2"/>
          </w:tcPr>
          <w:p>
            <w:pPr>
              <w:spacing w:after="0"/>
              <w:rPr>
                <w:sz w:val="18"/>
                <w:szCs w:val="18"/>
                <w:color w:val="auto"/>
              </w:rPr>
            </w:pPr>
          </w:p>
        </w:tc>
        <w:tc>
          <w:tcPr>
            <w:tcW w:w="3320" w:type="dxa"/>
            <w:vAlign w:val="bottom"/>
            <w:tcBorders>
              <w:bottom w:val="single" w:sz="8" w:color="F1F2F2"/>
            </w:tcBorders>
            <w:shd w:val="clear" w:color="auto" w:fill="F1F2F2"/>
          </w:tcPr>
          <w:p>
            <w:pPr>
              <w:ind w:left="60"/>
              <w:spacing w:after="0"/>
              <w:rPr>
                <w:sz w:val="20"/>
                <w:szCs w:val="20"/>
                <w:color w:val="auto"/>
              </w:rPr>
            </w:pPr>
            <w:r>
              <w:rPr>
                <w:rFonts w:ascii="Arial" w:cs="Arial" w:eastAsia="Arial" w:hAnsi="Arial"/>
                <w:sz w:val="15"/>
                <w:szCs w:val="15"/>
                <w:color w:val="auto"/>
              </w:rPr>
              <w:t>determine their remuneration</w:t>
            </w:r>
          </w:p>
        </w:tc>
        <w:tc>
          <w:tcPr>
            <w:tcW w:w="80" w:type="dxa"/>
            <w:vAlign w:val="bottom"/>
            <w:tcBorders>
              <w:bottom w:val="single" w:sz="8" w:color="F1F2F2"/>
            </w:tcBorders>
            <w:shd w:val="clear" w:color="auto" w:fill="F1F2F2"/>
          </w:tcPr>
          <w:p>
            <w:pPr>
              <w:spacing w:after="0"/>
              <w:rPr>
                <w:sz w:val="18"/>
                <w:szCs w:val="18"/>
                <w:color w:val="auto"/>
              </w:rPr>
            </w:pPr>
          </w:p>
        </w:tc>
        <w:tc>
          <w:tcPr>
            <w:tcW w:w="140" w:type="dxa"/>
            <w:vAlign w:val="bottom"/>
            <w:tcBorders>
              <w:bottom w:val="single" w:sz="8" w:color="F1F2F2"/>
            </w:tcBorders>
            <w:shd w:val="clear" w:color="auto" w:fill="F1F2F2"/>
          </w:tcPr>
          <w:p>
            <w:pPr>
              <w:spacing w:after="0"/>
              <w:rPr>
                <w:sz w:val="18"/>
                <w:szCs w:val="18"/>
                <w:color w:val="auto"/>
              </w:rPr>
            </w:pPr>
          </w:p>
        </w:tc>
        <w:tc>
          <w:tcPr>
            <w:tcW w:w="580" w:type="dxa"/>
            <w:vAlign w:val="bottom"/>
            <w:tcBorders>
              <w:bottom w:val="single" w:sz="8" w:color="F1F2F2"/>
            </w:tcBorders>
            <w:shd w:val="clear" w:color="auto" w:fill="F1F2F2"/>
          </w:tcPr>
          <w:p>
            <w:pPr>
              <w:spacing w:after="0"/>
              <w:rPr>
                <w:sz w:val="18"/>
                <w:szCs w:val="18"/>
                <w:color w:val="auto"/>
              </w:rPr>
            </w:pPr>
          </w:p>
        </w:tc>
        <w:tc>
          <w:tcPr>
            <w:tcW w:w="60" w:type="dxa"/>
            <w:vAlign w:val="bottom"/>
            <w:tcBorders>
              <w:bottom w:val="single" w:sz="8" w:color="F1F2F2"/>
            </w:tcBorders>
            <w:shd w:val="clear" w:color="auto" w:fill="F1F2F2"/>
          </w:tcPr>
          <w:p>
            <w:pPr>
              <w:spacing w:after="0"/>
              <w:rPr>
                <w:sz w:val="18"/>
                <w:szCs w:val="18"/>
                <w:color w:val="auto"/>
              </w:rPr>
            </w:pPr>
          </w:p>
        </w:tc>
        <w:tc>
          <w:tcPr>
            <w:tcW w:w="80" w:type="dxa"/>
            <w:vAlign w:val="bottom"/>
            <w:tcBorders>
              <w:bottom w:val="single" w:sz="8" w:color="F1F2F2"/>
            </w:tcBorders>
            <w:shd w:val="clear" w:color="auto" w:fill="F1F2F2"/>
          </w:tcPr>
          <w:p>
            <w:pPr>
              <w:spacing w:after="0"/>
              <w:rPr>
                <w:sz w:val="18"/>
                <w:szCs w:val="18"/>
                <w:color w:val="auto"/>
              </w:rPr>
            </w:pPr>
          </w:p>
        </w:tc>
        <w:tc>
          <w:tcPr>
            <w:tcW w:w="40" w:type="dxa"/>
            <w:vAlign w:val="bottom"/>
            <w:tcBorders>
              <w:bottom w:val="single" w:sz="8" w:color="F1F2F2"/>
            </w:tcBorders>
            <w:shd w:val="clear" w:color="auto" w:fill="F1F2F2"/>
          </w:tcPr>
          <w:p>
            <w:pPr>
              <w:spacing w:after="0"/>
              <w:rPr>
                <w:sz w:val="18"/>
                <w:szCs w:val="18"/>
                <w:color w:val="auto"/>
              </w:rPr>
            </w:pPr>
          </w:p>
        </w:tc>
        <w:tc>
          <w:tcPr>
            <w:tcW w:w="160" w:type="dxa"/>
            <w:vAlign w:val="bottom"/>
            <w:tcBorders>
              <w:bottom w:val="single" w:sz="8" w:color="F1F2F2"/>
            </w:tcBorders>
            <w:shd w:val="clear" w:color="auto" w:fill="F1F2F2"/>
          </w:tcPr>
          <w:p>
            <w:pPr>
              <w:spacing w:after="0"/>
              <w:rPr>
                <w:sz w:val="18"/>
                <w:szCs w:val="18"/>
                <w:color w:val="auto"/>
              </w:rPr>
            </w:pPr>
          </w:p>
        </w:tc>
        <w:tc>
          <w:tcPr>
            <w:tcW w:w="80" w:type="dxa"/>
            <w:vAlign w:val="bottom"/>
            <w:tcBorders>
              <w:bottom w:val="single" w:sz="8" w:color="F1F2F2"/>
            </w:tcBorders>
            <w:shd w:val="clear" w:color="auto" w:fill="F1F2F2"/>
          </w:tcPr>
          <w:p>
            <w:pPr>
              <w:spacing w:after="0"/>
              <w:rPr>
                <w:sz w:val="18"/>
                <w:szCs w:val="18"/>
                <w:color w:val="auto"/>
              </w:rPr>
            </w:pPr>
          </w:p>
        </w:tc>
        <w:tc>
          <w:tcPr>
            <w:tcW w:w="100" w:type="dxa"/>
            <w:vAlign w:val="bottom"/>
            <w:tcBorders>
              <w:bottom w:val="single" w:sz="8" w:color="F1F2F2"/>
            </w:tcBorders>
            <w:shd w:val="clear" w:color="auto" w:fill="F1F2F2"/>
          </w:tcPr>
          <w:p>
            <w:pPr>
              <w:spacing w:after="0"/>
              <w:rPr>
                <w:sz w:val="18"/>
                <w:szCs w:val="18"/>
                <w:color w:val="auto"/>
              </w:rPr>
            </w:pPr>
          </w:p>
        </w:tc>
        <w:tc>
          <w:tcPr>
            <w:tcW w:w="1200" w:type="dxa"/>
            <w:vAlign w:val="bottom"/>
            <w:tcBorders>
              <w:bottom w:val="single" w:sz="8" w:color="F1F2F2"/>
            </w:tcBorders>
            <w:shd w:val="clear" w:color="auto" w:fill="F1F2F2"/>
          </w:tcPr>
          <w:p>
            <w:pPr>
              <w:spacing w:after="0"/>
              <w:rPr>
                <w:sz w:val="18"/>
                <w:szCs w:val="18"/>
                <w:color w:val="auto"/>
              </w:rPr>
            </w:pPr>
          </w:p>
        </w:tc>
        <w:tc>
          <w:tcPr>
            <w:tcW w:w="40" w:type="dxa"/>
            <w:vAlign w:val="bottom"/>
            <w:tcBorders>
              <w:bottom w:val="single" w:sz="8" w:color="F1F2F2"/>
            </w:tcBorders>
            <w:shd w:val="clear" w:color="auto" w:fill="F1F2F2"/>
          </w:tcPr>
          <w:p>
            <w:pPr>
              <w:spacing w:after="0"/>
              <w:rPr>
                <w:sz w:val="18"/>
                <w:szCs w:val="18"/>
                <w:color w:val="auto"/>
              </w:rPr>
            </w:pPr>
          </w:p>
        </w:tc>
        <w:tc>
          <w:tcPr>
            <w:tcW w:w="140" w:type="dxa"/>
            <w:vAlign w:val="bottom"/>
            <w:tcBorders>
              <w:bottom w:val="single" w:sz="8" w:color="F1F2F2"/>
            </w:tcBorders>
            <w:shd w:val="clear" w:color="auto" w:fill="F1F2F2"/>
          </w:tcPr>
          <w:p>
            <w:pPr>
              <w:spacing w:after="0"/>
              <w:rPr>
                <w:sz w:val="18"/>
                <w:szCs w:val="18"/>
                <w:color w:val="auto"/>
              </w:rPr>
            </w:pPr>
          </w:p>
        </w:tc>
        <w:tc>
          <w:tcPr>
            <w:tcW w:w="940" w:type="dxa"/>
            <w:vAlign w:val="bottom"/>
            <w:tcBorders>
              <w:bottom w:val="single" w:sz="8" w:color="F1F2F2"/>
            </w:tcBorders>
            <w:shd w:val="clear" w:color="auto" w:fill="F1F2F2"/>
          </w:tcPr>
          <w:p>
            <w:pPr>
              <w:spacing w:after="0"/>
              <w:rPr>
                <w:sz w:val="18"/>
                <w:szCs w:val="18"/>
                <w:color w:val="auto"/>
              </w:rPr>
            </w:pPr>
          </w:p>
        </w:tc>
        <w:tc>
          <w:tcPr>
            <w:tcW w:w="120" w:type="dxa"/>
            <w:vAlign w:val="bottom"/>
            <w:tcBorders>
              <w:bottom w:val="single" w:sz="8" w:color="F1F2F2"/>
            </w:tcBorders>
            <w:shd w:val="clear" w:color="auto" w:fill="F1F2F2"/>
          </w:tcPr>
          <w:p>
            <w:pPr>
              <w:spacing w:after="0"/>
              <w:rPr>
                <w:sz w:val="18"/>
                <w:szCs w:val="18"/>
                <w:color w:val="auto"/>
              </w:rPr>
            </w:pPr>
          </w:p>
        </w:tc>
      </w:tr>
      <w:tr>
        <w:trPr>
          <w:trHeight w:val="201"/>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5"/>
                <w:szCs w:val="15"/>
                <w:b w:val="1"/>
                <w:bCs w:val="1"/>
                <w:color w:val="auto"/>
              </w:rPr>
              <w:t xml:space="preserve">PROPOSAL 3 </w:t>
            </w:r>
            <w:r>
              <w:rPr>
                <w:rFonts w:ascii="Times New Roman" w:cs="Times New Roman" w:eastAsia="Times New Roman" w:hAnsi="Times New Roman"/>
                <w:sz w:val="7"/>
                <w:szCs w:val="7"/>
                <w:color w:val="auto"/>
                <w:vertAlign w:val="subscript"/>
              </w:rPr>
              <w:t>​</w:t>
            </w:r>
          </w:p>
        </w:tc>
        <w:tc>
          <w:tcPr>
            <w:tcW w:w="8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320" w:type="dxa"/>
            <w:vAlign w:val="bottom"/>
            <w:tcBorders>
              <w:bottom w:val="single" w:sz="8" w:color="ACABC0"/>
            </w:tcBorders>
            <w:shd w:val="clear" w:color="auto" w:fill="ACABC0"/>
          </w:tcPr>
          <w:p>
            <w:pPr>
              <w:ind w:left="60"/>
              <w:spacing w:after="0"/>
              <w:rPr>
                <w:sz w:val="20"/>
                <w:szCs w:val="20"/>
                <w:color w:val="auto"/>
              </w:rPr>
            </w:pPr>
            <w:r>
              <w:rPr>
                <w:rFonts w:ascii="Arial" w:cs="Arial" w:eastAsia="Arial" w:hAnsi="Arial"/>
                <w:sz w:val="15"/>
                <w:szCs w:val="15"/>
                <w:color w:val="auto"/>
              </w:rPr>
              <w:t>To provide a non-binding, advisory vote to</w:t>
            </w:r>
          </w:p>
        </w:tc>
        <w:tc>
          <w:tcPr>
            <w:tcW w:w="8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CABC0"/>
            </w:tcBorders>
            <w:shd w:val="clear" w:color="auto" w:fill="ACABC0"/>
          </w:tcPr>
          <w:p>
            <w:pPr>
              <w:ind w:left="200"/>
              <w:spacing w:after="0"/>
              <w:rPr>
                <w:sz w:val="20"/>
                <w:szCs w:val="20"/>
                <w:color w:val="auto"/>
              </w:rPr>
            </w:pPr>
            <w:r>
              <w:rPr>
                <w:rFonts w:ascii="Arial" w:cs="Arial" w:eastAsia="Arial" w:hAnsi="Arial"/>
                <w:sz w:val="15"/>
                <w:szCs w:val="15"/>
                <w:color w:val="auto"/>
              </w:rPr>
              <w:t>Page</w:t>
            </w:r>
          </w:p>
        </w:tc>
        <w:tc>
          <w:tcPr>
            <w:tcW w:w="180" w:type="dxa"/>
            <w:vAlign w:val="bottom"/>
            <w:tcBorders>
              <w:bottom w:val="single" w:sz="8" w:color="0000EE"/>
            </w:tcBorders>
            <w:gridSpan w:val="3"/>
            <w:shd w:val="clear" w:color="auto" w:fill="ACABC0"/>
          </w:tcPr>
          <w:p>
            <w:pPr>
              <w:jc w:val="right"/>
              <w:spacing w:after="0"/>
              <w:rPr>
                <w:sz w:val="20"/>
                <w:szCs w:val="20"/>
                <w:color w:val="auto"/>
              </w:rPr>
            </w:pPr>
            <w:r>
              <w:rPr>
                <w:rFonts w:ascii="Arial" w:cs="Arial" w:eastAsia="Arial" w:hAnsi="Arial"/>
                <w:sz w:val="15"/>
                <w:szCs w:val="15"/>
                <w:color w:val="0000EE"/>
                <w:w w:val="95"/>
              </w:rPr>
              <w:t>28</w:t>
            </w:r>
          </w:p>
        </w:tc>
        <w:tc>
          <w:tcPr>
            <w:tcW w:w="160" w:type="dxa"/>
            <w:vAlign w:val="bottom"/>
            <w:tcBorders>
              <w:bottom w:val="single" w:sz="8" w:color="ACABC0"/>
            </w:tcBorders>
            <w:shd w:val="clear" w:color="auto" w:fill="ACABC0"/>
          </w:tcPr>
          <w:p>
            <w:pPr>
              <w:spacing w:after="0"/>
              <w:rPr>
                <w:sz w:val="17"/>
                <w:szCs w:val="17"/>
                <w:color w:val="auto"/>
              </w:rPr>
            </w:pPr>
          </w:p>
        </w:tc>
        <w:tc>
          <w:tcPr>
            <w:tcW w:w="8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5"/>
                <w:szCs w:val="15"/>
                <w:b w:val="1"/>
                <w:bCs w:val="1"/>
                <w:color w:val="auto"/>
              </w:rPr>
              <w:t>FOR</w:t>
            </w:r>
          </w:p>
        </w:tc>
        <w:tc>
          <w:tcPr>
            <w:tcW w:w="40" w:type="dxa"/>
            <w:vAlign w:val="bottom"/>
            <w:tcBorders>
              <w:bottom w:val="single" w:sz="8" w:color="ACABC0"/>
            </w:tcBorders>
            <w:shd w:val="clear" w:color="auto" w:fill="ACABC0"/>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5"/>
                <w:szCs w:val="15"/>
                <w:color w:val="auto"/>
              </w:rPr>
              <w:t>Majority of</w:t>
            </w:r>
          </w:p>
        </w:tc>
        <w:tc>
          <w:tcPr>
            <w:tcW w:w="12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08"/>
        </w:trPr>
        <w:tc>
          <w:tcPr>
            <w:tcW w:w="80" w:type="dxa"/>
            <w:vAlign w:val="bottom"/>
            <w:tcBorders>
              <w:right w:val="single" w:sz="8" w:color="ACABC0"/>
            </w:tcBorders>
          </w:tcPr>
          <w:p>
            <w:pPr>
              <w:spacing w:after="0"/>
              <w:rPr>
                <w:sz w:val="18"/>
                <w:szCs w:val="18"/>
                <w:color w:val="auto"/>
              </w:rPr>
            </w:pPr>
          </w:p>
        </w:tc>
        <w:tc>
          <w:tcPr>
            <w:tcW w:w="1120" w:type="dxa"/>
            <w:vAlign w:val="bottom"/>
            <w:shd w:val="clear" w:color="auto" w:fill="ACABC0"/>
          </w:tcPr>
          <w:p>
            <w:pPr>
              <w:spacing w:after="0"/>
              <w:rPr>
                <w:sz w:val="18"/>
                <w:szCs w:val="18"/>
                <w:color w:val="auto"/>
              </w:rPr>
            </w:pPr>
          </w:p>
        </w:tc>
        <w:tc>
          <w:tcPr>
            <w:tcW w:w="80" w:type="dxa"/>
            <w:vAlign w:val="bottom"/>
            <w:shd w:val="clear" w:color="auto" w:fill="ACABC0"/>
          </w:tcPr>
          <w:p>
            <w:pPr>
              <w:spacing w:after="0"/>
              <w:rPr>
                <w:sz w:val="18"/>
                <w:szCs w:val="18"/>
                <w:color w:val="auto"/>
              </w:rPr>
            </w:pPr>
          </w:p>
        </w:tc>
        <w:tc>
          <w:tcPr>
            <w:tcW w:w="3320" w:type="dxa"/>
            <w:vAlign w:val="bottom"/>
            <w:shd w:val="clear" w:color="auto" w:fill="ACABC0"/>
          </w:tcPr>
          <w:p>
            <w:pPr>
              <w:ind w:left="60"/>
              <w:spacing w:after="0"/>
              <w:rPr>
                <w:sz w:val="20"/>
                <w:szCs w:val="20"/>
                <w:color w:val="auto"/>
              </w:rPr>
            </w:pPr>
            <w:r>
              <w:rPr>
                <w:rFonts w:ascii="Arial" w:cs="Arial" w:eastAsia="Arial" w:hAnsi="Arial"/>
                <w:sz w:val="15"/>
                <w:szCs w:val="15"/>
                <w:color w:val="auto"/>
              </w:rPr>
              <w:t>approve named executive officer compensation</w:t>
            </w:r>
          </w:p>
        </w:tc>
        <w:tc>
          <w:tcPr>
            <w:tcW w:w="80" w:type="dxa"/>
            <w:vAlign w:val="bottom"/>
            <w:shd w:val="clear" w:color="auto" w:fill="ACABC0"/>
          </w:tcPr>
          <w:p>
            <w:pPr>
              <w:spacing w:after="0"/>
              <w:rPr>
                <w:sz w:val="18"/>
                <w:szCs w:val="18"/>
                <w:color w:val="auto"/>
              </w:rPr>
            </w:pPr>
          </w:p>
        </w:tc>
        <w:tc>
          <w:tcPr>
            <w:tcW w:w="140" w:type="dxa"/>
            <w:vAlign w:val="bottom"/>
            <w:shd w:val="clear" w:color="auto" w:fill="ACABC0"/>
          </w:tcPr>
          <w:p>
            <w:pPr>
              <w:spacing w:after="0"/>
              <w:rPr>
                <w:sz w:val="18"/>
                <w:szCs w:val="18"/>
                <w:color w:val="auto"/>
              </w:rPr>
            </w:pPr>
          </w:p>
        </w:tc>
        <w:tc>
          <w:tcPr>
            <w:tcW w:w="580" w:type="dxa"/>
            <w:vAlign w:val="bottom"/>
            <w:shd w:val="clear" w:color="auto" w:fill="ACABC0"/>
          </w:tcPr>
          <w:p>
            <w:pPr>
              <w:spacing w:after="0"/>
              <w:rPr>
                <w:sz w:val="18"/>
                <w:szCs w:val="18"/>
                <w:color w:val="auto"/>
              </w:rPr>
            </w:pPr>
          </w:p>
        </w:tc>
        <w:tc>
          <w:tcPr>
            <w:tcW w:w="60" w:type="dxa"/>
            <w:vAlign w:val="bottom"/>
            <w:shd w:val="clear" w:color="auto" w:fill="ACABC0"/>
          </w:tcPr>
          <w:p>
            <w:pPr>
              <w:spacing w:after="0"/>
              <w:rPr>
                <w:sz w:val="18"/>
                <w:szCs w:val="18"/>
                <w:color w:val="auto"/>
              </w:rPr>
            </w:pPr>
          </w:p>
        </w:tc>
        <w:tc>
          <w:tcPr>
            <w:tcW w:w="80" w:type="dxa"/>
            <w:vAlign w:val="bottom"/>
            <w:shd w:val="clear" w:color="auto" w:fill="ACABC0"/>
          </w:tcPr>
          <w:p>
            <w:pPr>
              <w:spacing w:after="0"/>
              <w:rPr>
                <w:sz w:val="18"/>
                <w:szCs w:val="18"/>
                <w:color w:val="auto"/>
              </w:rPr>
            </w:pPr>
          </w:p>
        </w:tc>
        <w:tc>
          <w:tcPr>
            <w:tcW w:w="40" w:type="dxa"/>
            <w:vAlign w:val="bottom"/>
            <w:shd w:val="clear" w:color="auto" w:fill="ACABC0"/>
          </w:tcPr>
          <w:p>
            <w:pPr>
              <w:spacing w:after="0"/>
              <w:rPr>
                <w:sz w:val="18"/>
                <w:szCs w:val="18"/>
                <w:color w:val="auto"/>
              </w:rPr>
            </w:pPr>
          </w:p>
        </w:tc>
        <w:tc>
          <w:tcPr>
            <w:tcW w:w="160" w:type="dxa"/>
            <w:vAlign w:val="bottom"/>
            <w:shd w:val="clear" w:color="auto" w:fill="ACABC0"/>
          </w:tcPr>
          <w:p>
            <w:pPr>
              <w:spacing w:after="0"/>
              <w:rPr>
                <w:sz w:val="18"/>
                <w:szCs w:val="18"/>
                <w:color w:val="auto"/>
              </w:rPr>
            </w:pPr>
          </w:p>
        </w:tc>
        <w:tc>
          <w:tcPr>
            <w:tcW w:w="80" w:type="dxa"/>
            <w:vAlign w:val="bottom"/>
            <w:shd w:val="clear" w:color="auto" w:fill="ACABC0"/>
          </w:tcPr>
          <w:p>
            <w:pPr>
              <w:spacing w:after="0"/>
              <w:rPr>
                <w:sz w:val="18"/>
                <w:szCs w:val="18"/>
                <w:color w:val="auto"/>
              </w:rPr>
            </w:pPr>
          </w:p>
        </w:tc>
        <w:tc>
          <w:tcPr>
            <w:tcW w:w="100" w:type="dxa"/>
            <w:vAlign w:val="bottom"/>
            <w:shd w:val="clear" w:color="auto" w:fill="ACABC0"/>
          </w:tcPr>
          <w:p>
            <w:pPr>
              <w:spacing w:after="0"/>
              <w:rPr>
                <w:sz w:val="18"/>
                <w:szCs w:val="18"/>
                <w:color w:val="auto"/>
              </w:rPr>
            </w:pPr>
          </w:p>
        </w:tc>
        <w:tc>
          <w:tcPr>
            <w:tcW w:w="1200" w:type="dxa"/>
            <w:vAlign w:val="bottom"/>
            <w:shd w:val="clear" w:color="auto" w:fill="ACABC0"/>
          </w:tcPr>
          <w:p>
            <w:pPr>
              <w:spacing w:after="0"/>
              <w:rPr>
                <w:sz w:val="18"/>
                <w:szCs w:val="18"/>
                <w:color w:val="auto"/>
              </w:rPr>
            </w:pPr>
          </w:p>
        </w:tc>
        <w:tc>
          <w:tcPr>
            <w:tcW w:w="40" w:type="dxa"/>
            <w:vAlign w:val="bottom"/>
            <w:shd w:val="clear" w:color="auto" w:fill="ACABC0"/>
          </w:tcPr>
          <w:p>
            <w:pPr>
              <w:spacing w:after="0"/>
              <w:rPr>
                <w:sz w:val="18"/>
                <w:szCs w:val="18"/>
                <w:color w:val="auto"/>
              </w:rPr>
            </w:pPr>
          </w:p>
        </w:tc>
        <w:tc>
          <w:tcPr>
            <w:tcW w:w="140" w:type="dxa"/>
            <w:vAlign w:val="bottom"/>
            <w:shd w:val="clear" w:color="auto" w:fill="ACABC0"/>
          </w:tcPr>
          <w:p>
            <w:pPr>
              <w:spacing w:after="0"/>
              <w:rPr>
                <w:sz w:val="18"/>
                <w:szCs w:val="18"/>
                <w:color w:val="auto"/>
              </w:rPr>
            </w:pPr>
          </w:p>
        </w:tc>
        <w:tc>
          <w:tcPr>
            <w:tcW w:w="940" w:type="dxa"/>
            <w:vAlign w:val="bottom"/>
            <w:shd w:val="clear" w:color="auto" w:fill="ACABC0"/>
          </w:tcPr>
          <w:p>
            <w:pPr>
              <w:jc w:val="center"/>
              <w:spacing w:after="0"/>
              <w:rPr>
                <w:sz w:val="20"/>
                <w:szCs w:val="20"/>
                <w:color w:val="auto"/>
              </w:rPr>
            </w:pPr>
            <w:r>
              <w:rPr>
                <w:rFonts w:ascii="Arial" w:cs="Arial" w:eastAsia="Arial" w:hAnsi="Arial"/>
                <w:sz w:val="15"/>
                <w:szCs w:val="15"/>
                <w:color w:val="auto"/>
              </w:rPr>
              <w:t>votes cast</w:t>
            </w:r>
          </w:p>
        </w:tc>
        <w:tc>
          <w:tcPr>
            <w:tcW w:w="120" w:type="dxa"/>
            <w:vAlign w:val="bottom"/>
            <w:shd w:val="clear" w:color="auto" w:fill="ACABC0"/>
          </w:tcPr>
          <w:p>
            <w:pPr>
              <w:spacing w:after="0"/>
              <w:rPr>
                <w:sz w:val="18"/>
                <w:szCs w:val="18"/>
                <w:color w:val="auto"/>
              </w:rPr>
            </w:pPr>
          </w:p>
        </w:tc>
      </w:tr>
    </w:tbl>
    <w:p>
      <w:pPr>
        <w:spacing w:after="0" w:line="101"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Vote Now</w:t>
      </w:r>
    </w:p>
    <w:p>
      <w:pPr>
        <w:spacing w:after="0" w:line="129" w:lineRule="exact"/>
        <w:rPr>
          <w:sz w:val="20"/>
          <w:szCs w:val="20"/>
          <w:color w:val="auto"/>
        </w:rPr>
      </w:pPr>
    </w:p>
    <w:p>
      <w:pPr>
        <w:ind w:left="320" w:right="539"/>
        <w:spacing w:after="0" w:line="263" w:lineRule="auto"/>
        <w:rPr>
          <w:sz w:val="20"/>
          <w:szCs w:val="20"/>
          <w:color w:val="auto"/>
        </w:rPr>
      </w:pPr>
      <w:r>
        <w:rPr>
          <w:rFonts w:ascii="Arial" w:cs="Arial" w:eastAsia="Arial" w:hAnsi="Arial"/>
          <w:sz w:val="16"/>
          <w:szCs w:val="16"/>
          <w:color w:val="auto"/>
        </w:rPr>
        <w:t>Even if you plan to attend this year’s virtual annual stockholders meeting, it is a good idea to vote your shares now, before the meeting, in the event your plans change. Whether you submit your proxy and vote via the Internet, by telephone or by mail, please have your proxy card or voting instruction form in hand and follow the instructions.</w:t>
      </w:r>
    </w:p>
    <w:p>
      <w:pPr>
        <w:sectPr>
          <w:pgSz w:w="11900" w:h="16838" w:orient="portrait"/>
          <w:cols w:equalWidth="0" w:num="1">
            <w:col w:w="9019"/>
          </w:cols>
          <w:pgMar w:left="1440" w:top="262" w:right="1440" w:bottom="1440" w:gutter="0" w:footer="0" w:header="0"/>
        </w:sectPr>
      </w:pPr>
    </w:p>
    <w:p>
      <w:pPr>
        <w:spacing w:after="0" w:line="207" w:lineRule="exact"/>
        <w:rPr>
          <w:sz w:val="20"/>
          <w:szCs w:val="20"/>
          <w:color w:val="auto"/>
        </w:rPr>
      </w:pPr>
    </w:p>
    <w:p>
      <w:pPr>
        <w:ind w:left="1100" w:hanging="774"/>
        <w:spacing w:after="0"/>
        <w:tabs>
          <w:tab w:leader="none" w:pos="1100" w:val="left"/>
        </w:tabs>
        <w:numPr>
          <w:ilvl w:val="0"/>
          <w:numId w:val="5"/>
        </w:numPr>
        <w:rPr>
          <w:rFonts w:ascii="Times New Roman" w:cs="Times New Roman" w:eastAsia="Times New Roman" w:hAnsi="Times New Roman"/>
          <w:sz w:val="3"/>
          <w:szCs w:val="3"/>
          <w:color w:val="auto"/>
        </w:rPr>
      </w:pPr>
      <w:r>
        <w:rPr>
          <w:rFonts w:ascii="Arial" w:cs="Arial" w:eastAsia="Arial" w:hAnsi="Arial"/>
          <w:sz w:val="17"/>
          <w:szCs w:val="17"/>
          <w:b w:val="1"/>
          <w:bCs w:val="1"/>
          <w:color w:val="auto"/>
        </w:rPr>
        <w:t>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151130</wp:posOffset>
            </wp:positionV>
            <wp:extent cx="671830" cy="637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1830" cy="637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4"/>
          <w:szCs w:val="4"/>
          <w:color w:val="auto"/>
        </w:rPr>
        <w:t>​</w:t>
      </w:r>
    </w:p>
    <w:p>
      <w:pPr>
        <w:spacing w:after="0" w:line="39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By telephone</w:t>
            </w:r>
          </w:p>
        </w:tc>
        <w:tc>
          <w:tcPr>
            <w:tcW w:w="30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640" w:type="dxa"/>
            <w:vAlign w:val="bottom"/>
          </w:tcPr>
          <w:p>
            <w:pPr>
              <w:ind w:left="860"/>
              <w:spacing w:after="0"/>
              <w:rPr>
                <w:sz w:val="20"/>
                <w:szCs w:val="20"/>
                <w:color w:val="auto"/>
              </w:rPr>
            </w:pPr>
            <w:r>
              <w:rPr>
                <w:rFonts w:ascii="Arial" w:cs="Arial" w:eastAsia="Arial" w:hAnsi="Arial"/>
                <w:sz w:val="18"/>
                <w:szCs w:val="18"/>
                <w:b w:val="1"/>
                <w:bCs w:val="1"/>
                <w:color w:val="auto"/>
              </w:rPr>
              <w:t>By mailing your</w:t>
            </w:r>
          </w:p>
        </w:tc>
        <w:tc>
          <w:tcPr>
            <w:tcW w:w="44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proxy card</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0"/>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tcPr>
          <w:p>
            <w:pPr>
              <w:spacing w:after="0"/>
              <w:rPr>
                <w:sz w:val="24"/>
                <w:szCs w:val="24"/>
                <w:color w:val="auto"/>
              </w:rPr>
            </w:pPr>
          </w:p>
        </w:tc>
        <w:tc>
          <w:tcPr>
            <w:tcW w:w="30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640" w:type="dxa"/>
            <w:vAlign w:val="bottom"/>
          </w:tcPr>
          <w:p>
            <w:pPr>
              <w:spacing w:after="0"/>
              <w:rPr>
                <w:sz w:val="24"/>
                <w:szCs w:val="24"/>
                <w:color w:val="auto"/>
              </w:rPr>
            </w:pPr>
          </w:p>
        </w:tc>
        <w:tc>
          <w:tcPr>
            <w:tcW w:w="44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585"/>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Arial" w:cs="Arial" w:eastAsia="Arial" w:hAnsi="Arial"/>
                <w:sz w:val="14"/>
                <w:szCs w:val="14"/>
                <w:color w:val="auto"/>
              </w:rPr>
              <w:t> </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ind w:left="40"/>
              <w:spacing w:after="0"/>
              <w:rPr>
                <w:sz w:val="20"/>
                <w:szCs w:val="20"/>
                <w:color w:val="auto"/>
              </w:rPr>
            </w:pPr>
            <w:r>
              <w:rPr>
                <w:rFonts w:ascii="Arial" w:cs="Arial" w:eastAsia="Arial" w:hAnsi="Arial"/>
                <w:sz w:val="14"/>
                <w:szCs w:val="14"/>
                <w:color w:val="auto"/>
              </w:rPr>
              <w:t xml:space="preserve">  </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-751205</wp:posOffset>
            </wp:positionV>
            <wp:extent cx="348615" cy="637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8615" cy="637540"/>
                    </a:xfrm>
                    <a:prstGeom prst="rect">
                      <a:avLst/>
                    </a:prstGeom>
                    <a:noFill/>
                  </pic:spPr>
                </pic:pic>
              </a:graphicData>
            </a:graphic>
          </wp:anchor>
        </w:drawing>
        <w:drawing>
          <wp:anchor simplePos="0" relativeHeight="251657728" behindDoc="1" locked="0" layoutInCell="0" allowOverlap="1">
            <wp:simplePos x="0" y="0"/>
            <wp:positionH relativeFrom="column">
              <wp:posOffset>2230755</wp:posOffset>
            </wp:positionH>
            <wp:positionV relativeFrom="paragraph">
              <wp:posOffset>-751205</wp:posOffset>
            </wp:positionV>
            <wp:extent cx="620395" cy="620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0395" cy="62039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2380" w:space="680"/>
            <w:col w:w="5959"/>
          </w:cols>
          <w:pgMar w:left="1440" w:top="262" w:right="1440" w:bottom="1440" w:gutter="0" w:footer="0" w:header="0"/>
          <w:type w:val="continuous"/>
        </w:sectPr>
      </w:pPr>
    </w:p>
    <w:p>
      <w:pPr>
        <w:spacing w:after="0" w:line="2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4"/>
          <w:szCs w:val="14"/>
          <w:color w:val="auto"/>
        </w:rPr>
        <w:t>Visit 24/7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http://www.proxyvote.com</w:t>
      </w:r>
    </w:p>
    <w:p>
      <w:pPr>
        <w:spacing w:after="0" w:line="20" w:lineRule="exact"/>
        <w:rPr>
          <w:sz w:val="20"/>
          <w:szCs w:val="20"/>
          <w:color w:val="auto"/>
        </w:rPr>
      </w:pPr>
      <w:r>
        <w:rPr>
          <w:sz w:val="20"/>
          <w:szCs w:val="20"/>
          <w:color w:val="auto"/>
        </w:rPr>
        <w:br w:type="column"/>
      </w:r>
    </w:p>
    <w:p>
      <w:pPr>
        <w:ind w:left="680"/>
        <w:spacing w:after="0"/>
        <w:tabs>
          <w:tab w:leader="none" w:pos="2480" w:val="left"/>
        </w:tabs>
        <w:rPr>
          <w:sz w:val="20"/>
          <w:szCs w:val="20"/>
          <w:color w:val="auto"/>
        </w:rPr>
      </w:pPr>
      <w:r>
        <w:rPr>
          <w:rFonts w:ascii="Arial" w:cs="Arial" w:eastAsia="Arial" w:hAnsi="Arial"/>
          <w:sz w:val="14"/>
          <w:szCs w:val="14"/>
          <w:color w:val="auto"/>
        </w:rPr>
        <w:t>Dial toll-free 24/7</w:t>
      </w:r>
      <w:r>
        <w:rPr>
          <w:sz w:val="20"/>
          <w:szCs w:val="20"/>
          <w:color w:val="auto"/>
        </w:rPr>
        <w:tab/>
      </w:r>
      <w:r>
        <w:rPr>
          <w:rFonts w:ascii="Arial" w:cs="Arial" w:eastAsia="Arial" w:hAnsi="Arial"/>
          <w:sz w:val="14"/>
          <w:szCs w:val="14"/>
          <w:color w:val="auto"/>
        </w:rPr>
        <w:t>Mark, sign and date your proxy card, and return</w:t>
      </w:r>
    </w:p>
    <w:p>
      <w:pPr>
        <w:spacing w:after="0"/>
        <w:tabs>
          <w:tab w:leader="none" w:pos="80" w:val="left"/>
          <w:tab w:leader="none" w:pos="700" w:val="left"/>
          <w:tab w:leader="none" w:pos="2260" w:val="left"/>
          <w:tab w:leader="none" w:pos="2360" w:val="left"/>
          <w:tab w:leader="none" w:pos="2580" w:val="left"/>
          <w:tab w:leader="none" w:pos="5500" w:val="left"/>
        </w:tabs>
        <w:rPr>
          <w:sz w:val="20"/>
          <w:szCs w:val="20"/>
          <w:color w:val="auto"/>
        </w:rPr>
      </w:pPr>
      <w:r>
        <w:rPr>
          <w:rFonts w:ascii="Times New Roman" w:cs="Times New Roman" w:eastAsia="Times New Roman" w:hAnsi="Times New Roman"/>
          <w:sz w:val="6"/>
          <w:szCs w:val="6"/>
          <w:color w:val="auto"/>
          <w:vertAlign w:val="subscript"/>
        </w:rPr>
        <w:t>​</w:t>
      </w:r>
      <w:r>
        <w:rPr>
          <w:sz w:val="20"/>
          <w:szCs w:val="20"/>
          <w:color w:val="auto"/>
        </w:rPr>
        <w:tab/>
      </w:r>
      <w:r>
        <w:rPr>
          <w:rFonts w:ascii="Times New Roman" w:cs="Times New Roman" w:eastAsia="Times New Roman" w:hAnsi="Times New Roman"/>
          <w:sz w:val="6"/>
          <w:szCs w:val="6"/>
          <w:color w:val="auto"/>
          <w:vertAlign w:val="subscript"/>
        </w:rPr>
        <w:t>​</w:t>
      </w:r>
      <w:r>
        <w:rPr>
          <w:sz w:val="20"/>
          <w:szCs w:val="20"/>
          <w:color w:val="auto"/>
        </w:rPr>
        <w:tab/>
      </w:r>
      <w:r>
        <w:rPr>
          <w:rFonts w:ascii="Arial" w:cs="Arial" w:eastAsia="Arial" w:hAnsi="Arial"/>
          <w:sz w:val="14"/>
          <w:szCs w:val="14"/>
          <w:color w:val="auto"/>
        </w:rPr>
        <w:t>1-800-690-6903</w:t>
      </w:r>
      <w:r>
        <w:rPr>
          <w:sz w:val="20"/>
          <w:szCs w:val="20"/>
          <w:color w:val="auto"/>
        </w:rPr>
        <w:tab/>
      </w:r>
      <w:r>
        <w:rPr>
          <w:rFonts w:ascii="Times New Roman" w:cs="Times New Roman" w:eastAsia="Times New Roman" w:hAnsi="Times New Roman"/>
          <w:sz w:val="7"/>
          <w:szCs w:val="7"/>
          <w:color w:val="auto"/>
          <w:vertAlign w:val="subscript"/>
        </w:rPr>
        <w:t>​</w:t>
      </w:r>
      <w:r>
        <w:rPr>
          <w:rFonts w:ascii="Times New Roman" w:cs="Times New Roman" w:eastAsia="Times New Roman" w:hAnsi="Times New Roman"/>
          <w:sz w:val="7"/>
          <w:szCs w:val="7"/>
          <w:color w:val="auto"/>
        </w:rPr>
        <w:tab/>
      </w:r>
      <w:r>
        <w:rPr>
          <w:rFonts w:ascii="Times New Roman" w:cs="Times New Roman" w:eastAsia="Times New Roman" w:hAnsi="Times New Roman"/>
          <w:sz w:val="7"/>
          <w:szCs w:val="7"/>
          <w:color w:val="auto"/>
          <w:vertAlign w:val="subscript"/>
        </w:rPr>
        <w:t>​</w:t>
      </w:r>
      <w:r>
        <w:rPr>
          <w:sz w:val="20"/>
          <w:szCs w:val="20"/>
          <w:color w:val="auto"/>
        </w:rPr>
        <w:tab/>
      </w:r>
      <w:r>
        <w:rPr>
          <w:rFonts w:ascii="Arial" w:cs="Arial" w:eastAsia="Arial" w:hAnsi="Arial"/>
          <w:sz w:val="14"/>
          <w:szCs w:val="14"/>
          <w:color w:val="auto"/>
        </w:rPr>
        <w:t>it in the postage-paid envelope or return it to</w:t>
      </w:r>
      <w:r>
        <w:rPr>
          <w:sz w:val="20"/>
          <w:szCs w:val="20"/>
          <w:color w:val="auto"/>
        </w:rPr>
        <w:tab/>
      </w:r>
      <w:r>
        <w:rPr>
          <w:rFonts w:ascii="Times New Roman" w:cs="Times New Roman" w:eastAsia="Times New Roman" w:hAnsi="Times New Roman"/>
          <w:sz w:val="1"/>
          <w:szCs w:val="1"/>
          <w:color w:val="auto"/>
          <w:vertAlign w:val="subscript"/>
        </w:rPr>
        <w:t>​</w:t>
      </w:r>
    </w:p>
    <w:p>
      <w:pPr>
        <w:jc w:val="center"/>
        <w:ind w:left="-579"/>
        <w:spacing w:after="0"/>
        <w:rPr>
          <w:sz w:val="20"/>
          <w:szCs w:val="20"/>
          <w:color w:val="auto"/>
        </w:rPr>
      </w:pPr>
      <w:r>
        <w:rPr>
          <w:rFonts w:ascii="Arial" w:cs="Arial" w:eastAsia="Arial" w:hAnsi="Arial"/>
          <w:sz w:val="14"/>
          <w:szCs w:val="14"/>
          <w:color w:val="auto"/>
        </w:rPr>
        <w:t>Vote Processing, c/o Broadridge, 51 Mercedes</w:t>
      </w:r>
    </w:p>
    <w:p>
      <w:pPr>
        <w:jc w:val="center"/>
        <w:ind w:left="-579"/>
        <w:spacing w:after="0"/>
        <w:rPr>
          <w:sz w:val="20"/>
          <w:szCs w:val="20"/>
          <w:color w:val="auto"/>
        </w:rPr>
      </w:pPr>
      <w:r>
        <w:rPr>
          <w:rFonts w:ascii="Arial" w:cs="Arial" w:eastAsia="Arial" w:hAnsi="Arial"/>
          <w:sz w:val="14"/>
          <w:szCs w:val="14"/>
          <w:color w:val="auto"/>
        </w:rPr>
        <w:t>Way, Edgewood, NY 11717</w:t>
      </w:r>
    </w:p>
    <w:p>
      <w:pPr>
        <w:spacing w:after="0" w:line="1" w:lineRule="exact"/>
        <w:rPr>
          <w:sz w:val="20"/>
          <w:szCs w:val="20"/>
          <w:color w:val="auto"/>
        </w:rPr>
      </w:pPr>
    </w:p>
    <w:p>
      <w:pPr>
        <w:sectPr>
          <w:pgSz w:w="11900" w:h="16838" w:orient="portrait"/>
          <w:cols w:equalWidth="0" w:num="3">
            <w:col w:w="340" w:space="580"/>
            <w:col w:w="1640" w:space="500"/>
            <w:col w:w="5959"/>
          </w:cols>
          <w:pgMar w:left="1440" w:top="262" w:right="1440" w:bottom="1440" w:gutter="0" w:footer="0" w:header="0"/>
          <w:type w:val="continuous"/>
        </w:sectPr>
      </w:pPr>
    </w:p>
    <w:p>
      <w:pPr>
        <w:ind w:left="480"/>
        <w:spacing w:after="0" w:line="199"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Review and download this Proxy</w:t>
      </w:r>
    </w:p>
    <w:p>
      <w:pPr>
        <w:ind w:left="620" w:hanging="146"/>
        <w:spacing w:after="0"/>
        <w:tabs>
          <w:tab w:leader="none" w:pos="620" w:val="left"/>
        </w:tabs>
        <w:numPr>
          <w:ilvl w:val="1"/>
          <w:numId w:val="6"/>
        </w:numPr>
        <w:rPr>
          <w:rFonts w:ascii="Arial" w:cs="Arial" w:eastAsia="Arial" w:hAnsi="Arial"/>
          <w:sz w:val="14"/>
          <w:szCs w:val="14"/>
          <w:color w:val="auto"/>
        </w:rPr>
      </w:pPr>
      <w:r>
        <w:rPr>
          <w:rFonts w:ascii="Arial" w:cs="Arial" w:eastAsia="Arial" w:hAnsi="Arial"/>
          <w:sz w:val="14"/>
          <w:szCs w:val="14"/>
          <w:color w:val="auto"/>
        </w:rPr>
        <w:t>  Statement, a proxy card and our</w:t>
      </w:r>
    </w:p>
    <w:p>
      <w:pPr>
        <w:ind w:left="620" w:hanging="146"/>
        <w:spacing w:after="0"/>
        <w:tabs>
          <w:tab w:leader="none" w:pos="620" w:val="left"/>
        </w:tabs>
        <w:numPr>
          <w:ilvl w:val="1"/>
          <w:numId w:val="6"/>
        </w:numPr>
        <w:rPr>
          <w:rFonts w:ascii="Arial" w:cs="Arial" w:eastAsia="Arial" w:hAnsi="Arial"/>
          <w:sz w:val="14"/>
          <w:szCs w:val="14"/>
          <w:color w:val="auto"/>
        </w:rPr>
      </w:pPr>
      <w:r>
        <w:rPr>
          <w:rFonts w:ascii="Arial" w:cs="Arial" w:eastAsia="Arial" w:hAnsi="Arial"/>
          <w:sz w:val="14"/>
          <w:szCs w:val="14"/>
          <w:color w:val="auto"/>
        </w:rPr>
        <w:t>  2021 annual report</w:t>
      </w:r>
    </w:p>
    <w:p>
      <w:pPr>
        <w:ind w:left="480" w:hanging="154"/>
        <w:spacing w:after="0" w:line="186" w:lineRule="auto"/>
        <w:tabs>
          <w:tab w:leader="none" w:pos="480" w:val="left"/>
        </w:tabs>
        <w:numPr>
          <w:ilvl w:val="0"/>
          <w:numId w:val="6"/>
        </w:numPr>
        <w:rPr>
          <w:rFonts w:ascii="Times New Roman" w:cs="Times New Roman" w:eastAsia="Times New Roman" w:hAnsi="Times New Roman"/>
          <w:sz w:val="6"/>
          <w:szCs w:val="6"/>
          <w:color w:val="auto"/>
          <w:vertAlign w:val="superscript"/>
        </w:rPr>
      </w:pPr>
      <w:r>
        <w:rPr>
          <w:rFonts w:ascii="Arial" w:cs="Arial" w:eastAsia="Arial" w:hAnsi="Arial"/>
          <w:sz w:val="18"/>
          <w:szCs w:val="18"/>
          <w:color w:val="auto"/>
          <w:vertAlign w:val="superscript"/>
        </w:rPr>
        <w:t>■</w:t>
      </w:r>
      <w:r>
        <w:rPr>
          <w:rFonts w:ascii="Arial" w:cs="Arial" w:eastAsia="Arial" w:hAnsi="Arial"/>
          <w:sz w:val="10"/>
          <w:szCs w:val="10"/>
          <w:color w:val="auto"/>
        </w:rPr>
        <w:t xml:space="preserve">   Request a hard copy of this Proxy</w:t>
      </w:r>
    </w:p>
    <w:p>
      <w:pPr>
        <w:ind w:left="620" w:hanging="146"/>
        <w:spacing w:after="0"/>
        <w:tabs>
          <w:tab w:leader="none" w:pos="620" w:val="left"/>
        </w:tabs>
        <w:numPr>
          <w:ilvl w:val="1"/>
          <w:numId w:val="6"/>
        </w:numPr>
        <w:rPr>
          <w:rFonts w:ascii="Arial" w:cs="Arial" w:eastAsia="Arial" w:hAnsi="Arial"/>
          <w:sz w:val="14"/>
          <w:szCs w:val="14"/>
          <w:color w:val="auto"/>
        </w:rPr>
      </w:pPr>
      <w:r>
        <w:rPr>
          <w:rFonts w:ascii="Arial" w:cs="Arial" w:eastAsia="Arial" w:hAnsi="Arial"/>
          <w:sz w:val="14"/>
          <w:szCs w:val="14"/>
          <w:color w:val="auto"/>
        </w:rPr>
        <w:t>  Statement, a proxy card and our</w:t>
      </w:r>
    </w:p>
    <w:p>
      <w:pPr>
        <w:ind w:left="620" w:hanging="146"/>
        <w:spacing w:after="0"/>
        <w:tabs>
          <w:tab w:leader="none" w:pos="620" w:val="left"/>
        </w:tabs>
        <w:numPr>
          <w:ilvl w:val="1"/>
          <w:numId w:val="6"/>
        </w:numPr>
        <w:rPr>
          <w:rFonts w:ascii="Arial" w:cs="Arial" w:eastAsia="Arial" w:hAnsi="Arial"/>
          <w:sz w:val="14"/>
          <w:szCs w:val="14"/>
          <w:color w:val="auto"/>
        </w:rPr>
      </w:pPr>
      <w:r>
        <w:rPr>
          <w:rFonts w:ascii="Arial" w:cs="Arial" w:eastAsia="Arial" w:hAnsi="Arial"/>
          <w:sz w:val="14"/>
          <w:szCs w:val="14"/>
          <w:color w:val="auto"/>
        </w:rPr>
        <w:t>  2021 annual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tabs>
          <w:tab w:leader="none" w:pos="80" w:val="left"/>
          <w:tab w:leader="none" w:pos="2260" w:val="left"/>
          <w:tab w:leader="none" w:pos="2360" w:val="left"/>
          <w:tab w:leader="none" w:pos="55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619" w:lineRule="exact"/>
        <w:rPr>
          <w:sz w:val="20"/>
          <w:szCs w:val="20"/>
          <w:color w:val="auto"/>
        </w:rPr>
      </w:pPr>
    </w:p>
    <w:p>
      <w:pPr>
        <w:sectPr>
          <w:pgSz w:w="11900" w:h="16838" w:orient="portrait"/>
          <w:cols w:equalWidth="0" w:num="2">
            <w:col w:w="2840" w:space="220"/>
            <w:col w:w="5959"/>
          </w:cols>
          <w:pgMar w:left="1440" w:top="262" w:right="1440" w:bottom="1440" w:gutter="0" w:footer="0" w:header="0"/>
          <w:type w:val="continuous"/>
        </w:sectPr>
      </w:pPr>
    </w:p>
    <w:p>
      <w:pPr>
        <w:ind w:left="320" w:right="399"/>
        <w:spacing w:after="0" w:line="250"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Virtual Annual Stockholders Meeting to be Held on June 9, 2022. </w:t>
      </w:r>
      <w:r>
        <w:rPr>
          <w:rFonts w:ascii="Arial" w:cs="Arial" w:eastAsia="Arial" w:hAnsi="Arial"/>
          <w:sz w:val="16"/>
          <w:szCs w:val="16"/>
          <w:color w:val="auto"/>
        </w:rPr>
        <w:t>The Notice of Virtual Annual Stockholders Meeting, 2022 Proxy Statement, Proxy Card</w:t>
      </w:r>
      <w:r>
        <w:rPr>
          <w:rFonts w:ascii="Arial" w:cs="Arial" w:eastAsia="Arial" w:hAnsi="Arial"/>
          <w:sz w:val="16"/>
          <w:szCs w:val="16"/>
          <w:b w:val="1"/>
          <w:bCs w:val="1"/>
          <w:color w:val="auto"/>
        </w:rPr>
        <w:t xml:space="preserve"> </w:t>
      </w:r>
      <w:r>
        <w:rPr>
          <w:rFonts w:ascii="Arial" w:cs="Arial" w:eastAsia="Arial" w:hAnsi="Arial"/>
          <w:sz w:val="16"/>
          <w:szCs w:val="16"/>
          <w:color w:val="auto"/>
        </w:rPr>
        <w:t>and 2021 Annual Report on Form 10-K are available under the SEC Filings link on the Investors’ page of our website at www.kosmosenergy.com. On this site, you will also be able to access any amendments or supplements to the foregoing materials that are required to be furnished. Information contained on or connected to our website is not incorporated by reference into this Proxy Statement and should not be considered a part of this Proxy Statement or any other filing that we make with the U.S. Securities and Exchange Commission (the “SEC”).</w:t>
      </w:r>
    </w:p>
    <w:p>
      <w:pPr>
        <w:spacing w:after="0" w:line="98"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820" w:type="dxa"/>
            <w:vAlign w:val="bottom"/>
            <w:vMerge w:val="restart"/>
          </w:tcPr>
          <w:p>
            <w:pPr>
              <w:spacing w:after="0"/>
              <w:rPr>
                <w:sz w:val="20"/>
                <w:szCs w:val="20"/>
                <w:color w:val="auto"/>
              </w:rPr>
            </w:pPr>
            <w:r>
              <w:rPr>
                <w:rFonts w:ascii="Arial" w:cs="Arial" w:eastAsia="Arial" w:hAnsi="Arial"/>
                <w:sz w:val="16"/>
                <w:szCs w:val="16"/>
                <w:b w:val="1"/>
                <w:bCs w:val="1"/>
                <w:color w:val="auto"/>
              </w:rPr>
              <w:t>2</w:t>
            </w:r>
            <w:r>
              <w:rPr>
                <w:rFonts w:ascii="Arial" w:cs="Arial" w:eastAsia="Arial" w:hAnsi="Arial"/>
                <w:sz w:val="24"/>
                <w:szCs w:val="24"/>
                <w:b w:val="1"/>
                <w:bCs w:val="1"/>
                <w:color w:val="2A3D6C"/>
              </w:rPr>
              <w:t xml:space="preserve">  |</w:t>
            </w:r>
          </w:p>
        </w:tc>
        <w:tc>
          <w:tcPr>
            <w:tcW w:w="2380" w:type="dxa"/>
            <w:vAlign w:val="bottom"/>
          </w:tcPr>
          <w:p>
            <w:pPr>
              <w:ind w:left="54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820" w:type="dxa"/>
            <w:vAlign w:val="bottom"/>
            <w:vMerge w:val="continue"/>
          </w:tcPr>
          <w:p>
            <w:pPr>
              <w:spacing w:after="0"/>
              <w:rPr>
                <w:sz w:val="23"/>
                <w:szCs w:val="23"/>
                <w:color w:val="auto"/>
              </w:rPr>
            </w:pPr>
          </w:p>
        </w:tc>
        <w:tc>
          <w:tcPr>
            <w:tcW w:w="2380" w:type="dxa"/>
            <w:vAlign w:val="bottom"/>
          </w:tcPr>
          <w:p>
            <w:pPr>
              <w:ind w:left="720"/>
              <w:spacing w:after="0"/>
              <w:rPr>
                <w:sz w:val="20"/>
                <w:szCs w:val="20"/>
                <w:color w:val="auto"/>
              </w:rPr>
            </w:pPr>
            <w:r>
              <w:rPr>
                <w:rFonts w:ascii="Arial" w:cs="Arial" w:eastAsia="Arial" w:hAnsi="Arial"/>
                <w:sz w:val="16"/>
                <w:szCs w:val="16"/>
                <w:color w:val="auto"/>
                <w:w w:val="96"/>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-185420</wp:posOffset>
            </wp:positionV>
            <wp:extent cx="594995" cy="170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7" w:name="page8"/>
    <w:bookmarkEnd w:id="7"/>
    <w:p>
      <w:pPr>
        <w:ind w:left="1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1614170</wp:posOffset>
            </wp:positionH>
            <wp:positionV relativeFrom="paragraph">
              <wp:posOffset>92075</wp:posOffset>
            </wp:positionV>
            <wp:extent cx="2491105" cy="688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1105" cy="68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PROXY STATEMENT AND SUMMARY</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2022 Virtual Annual Stockholders Meeting</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These proxy materials are being furnished to you in connection with the solicitation of proxies by the Board of</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Directors of Kosmos Energy Ltd. for use at the 2022 annual stockholders meeting and any adjournments or</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postponements thereof. </w:t>
      </w:r>
      <w:r>
        <w:rPr>
          <w:rFonts w:ascii="Arial" w:cs="Arial" w:eastAsia="Arial" w:hAnsi="Arial"/>
          <w:sz w:val="16"/>
          <w:szCs w:val="16"/>
          <w:color w:val="auto"/>
        </w:rPr>
        <w:t>We refer to our Board of Directors as the “Board” and to Kosmos Energy Ltd. as “Kosmos,” the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“we” or “us.” The annual stockholders meeting will be held virtually on Thursday, June 9, 2022 beginning at</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8:00 a.m., Central Daylight Time. You will be able to attend the meeting virtually, vote your shares electronically, and submit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your questions during the meeting by visiting:</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www.virtualshareholdermeeting.com/KOS2022</w:t>
      </w:r>
    </w:p>
    <w:p>
      <w:pPr>
        <w:spacing w:after="0" w:line="111" w:lineRule="exact"/>
        <w:rPr>
          <w:sz w:val="20"/>
          <w:szCs w:val="20"/>
          <w:color w:val="auto"/>
        </w:rPr>
      </w:pPr>
    </w:p>
    <w:p>
      <w:pPr>
        <w:jc w:val="both"/>
        <w:ind w:left="120" w:right="159"/>
        <w:spacing w:after="0" w:line="254" w:lineRule="auto"/>
        <w:rPr>
          <w:sz w:val="20"/>
          <w:szCs w:val="20"/>
          <w:color w:val="auto"/>
        </w:rPr>
      </w:pPr>
      <w:r>
        <w:rPr>
          <w:rFonts w:ascii="Arial" w:cs="Arial" w:eastAsia="Arial" w:hAnsi="Arial"/>
          <w:sz w:val="16"/>
          <w:szCs w:val="16"/>
          <w:color w:val="auto"/>
        </w:rPr>
        <w:t>The items to be considered are summarized in the Notice of Virtual Annual Stockholders Meeting and more fully described in this Proxy Statement. The Notice of Virtual Annual Stockholders Meeting, this Proxy Statement, the enclosed Proxy Card and our 2021 Annual Report on Form 10-K are first being mailed and made available starting on or about April 28, 2022 to all record holders of our common shares as of the close of business on April 12, 2022. Our common shares represented by proxies will be voted as described below or as specified by each stockholder.</w:t>
      </w:r>
    </w:p>
    <w:p>
      <w:pPr>
        <w:spacing w:after="0" w:line="71" w:lineRule="exact"/>
        <w:rPr>
          <w:sz w:val="20"/>
          <w:szCs w:val="20"/>
          <w:color w:val="auto"/>
        </w:rPr>
      </w:pPr>
    </w:p>
    <w:p>
      <w:pPr>
        <w:ind w:left="120" w:right="419"/>
        <w:spacing w:after="0" w:line="282" w:lineRule="auto"/>
        <w:rPr>
          <w:sz w:val="20"/>
          <w:szCs w:val="20"/>
          <w:color w:val="auto"/>
        </w:rPr>
      </w:pPr>
      <w:r>
        <w:rPr>
          <w:rFonts w:ascii="Arial" w:cs="Arial" w:eastAsia="Arial" w:hAnsi="Arial"/>
          <w:sz w:val="16"/>
          <w:szCs w:val="16"/>
          <w:color w:val="auto"/>
        </w:rPr>
        <w:t>Stockholders will need the control number included on their notice of internet availability, proxy card or voting instruction form to be admitted to the virtual meeting as a stockholder, vote their shares and ask questions.</w:t>
      </w:r>
    </w:p>
    <w:p>
      <w:pPr>
        <w:spacing w:after="0" w:line="42" w:lineRule="exact"/>
        <w:rPr>
          <w:sz w:val="20"/>
          <w:szCs w:val="20"/>
          <w:color w:val="auto"/>
        </w:rPr>
      </w:pPr>
    </w:p>
    <w:p>
      <w:pPr>
        <w:ind w:left="6480"/>
        <w:spacing w:after="0"/>
        <w:rPr>
          <w:sz w:val="20"/>
          <w:szCs w:val="20"/>
          <w:color w:val="auto"/>
        </w:rPr>
      </w:pPr>
      <w:r>
        <w:rPr>
          <w:rFonts w:ascii="Arial" w:cs="Arial" w:eastAsia="Arial" w:hAnsi="Arial"/>
          <w:sz w:val="23"/>
          <w:szCs w:val="23"/>
          <w:color w:val="auto"/>
        </w:rPr>
        <w:t> </w:t>
      </w:r>
    </w:p>
    <w:p>
      <w:pPr>
        <w:ind w:left="6600"/>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121285</wp:posOffset>
            </wp:positionV>
            <wp:extent cx="69380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-158750</wp:posOffset>
            </wp:positionV>
            <wp:extent cx="594995" cy="170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245110</wp:posOffset>
            </wp:positionV>
            <wp:extent cx="53054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Arial" w:cs="Arial" w:eastAsia="Arial" w:hAnsi="Arial"/>
          <w:sz w:val="43"/>
          <w:szCs w:val="43"/>
          <w:color w:val="2A3D6C"/>
        </w:rPr>
        <w:t>PROXY SUMMARY</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Corporate Governance Highlights and Practices</w:t>
      </w:r>
    </w:p>
    <w:p>
      <w:pPr>
        <w:spacing w:after="0" w:line="129" w:lineRule="exact"/>
        <w:rPr>
          <w:sz w:val="20"/>
          <w:szCs w:val="20"/>
          <w:color w:val="auto"/>
        </w:rPr>
      </w:pPr>
    </w:p>
    <w:p>
      <w:pPr>
        <w:ind w:left="320" w:right="779"/>
        <w:spacing w:after="0" w:line="282" w:lineRule="auto"/>
        <w:rPr>
          <w:sz w:val="20"/>
          <w:szCs w:val="20"/>
          <w:color w:val="auto"/>
        </w:rPr>
      </w:pPr>
      <w:r>
        <w:rPr>
          <w:rFonts w:ascii="Arial" w:cs="Arial" w:eastAsia="Arial" w:hAnsi="Arial"/>
          <w:sz w:val="16"/>
          <w:szCs w:val="16"/>
          <w:color w:val="auto"/>
        </w:rPr>
        <w:t>Our Board of Directors believes that high standards of corporate governance are an essential component of our corporate culture.</w:t>
      </w:r>
    </w:p>
    <w:p>
      <w:pPr>
        <w:spacing w:after="0" w:line="31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Key Corporate Governance Features:</w:t>
      </w:r>
    </w:p>
    <w:p>
      <w:pPr>
        <w:spacing w:after="0" w:line="111" w:lineRule="exact"/>
        <w:rPr>
          <w:sz w:val="20"/>
          <w:szCs w:val="20"/>
          <w:color w:val="auto"/>
        </w:rPr>
      </w:pPr>
    </w:p>
    <w:p>
      <w:pPr>
        <w:ind w:left="1040" w:right="379" w:hanging="357"/>
        <w:spacing w:after="0" w:line="263" w:lineRule="auto"/>
        <w:tabs>
          <w:tab w:leader="none" w:pos="1040" w:val="left"/>
        </w:tabs>
        <w:numPr>
          <w:ilvl w:val="0"/>
          <w:numId w:val="7"/>
        </w:numPr>
        <w:rPr>
          <w:rFonts w:ascii="Arial" w:cs="Arial" w:eastAsia="Arial" w:hAnsi="Arial"/>
          <w:sz w:val="16"/>
          <w:szCs w:val="16"/>
          <w:color w:val="2A3D6C"/>
        </w:rPr>
      </w:pPr>
      <w:r>
        <w:rPr>
          <w:rFonts w:ascii="Arial" w:cs="Arial" w:eastAsia="Arial" w:hAnsi="Arial"/>
          <w:sz w:val="16"/>
          <w:szCs w:val="16"/>
          <w:color w:val="auto"/>
        </w:rPr>
        <w:t>At present, all of our non-employee directors (six out of seven directors) are independent of management under the requirements of the New York Stock Exchange and Rule 10A-3 of the Securities Exchange Act of 1934, as amended (the “Exchange Act”).</w:t>
      </w:r>
    </w:p>
    <w:p>
      <w:pPr>
        <w:spacing w:after="0" w:line="64" w:lineRule="exact"/>
        <w:rPr>
          <w:rFonts w:ascii="Arial" w:cs="Arial" w:eastAsia="Arial" w:hAnsi="Arial"/>
          <w:sz w:val="16"/>
          <w:szCs w:val="16"/>
          <w:color w:val="2A3D6C"/>
        </w:rPr>
      </w:pPr>
    </w:p>
    <w:p>
      <w:pPr>
        <w:ind w:left="1040" w:right="1199" w:hanging="357"/>
        <w:spacing w:after="0" w:line="282" w:lineRule="auto"/>
        <w:tabs>
          <w:tab w:leader="none" w:pos="1040" w:val="left"/>
        </w:tabs>
        <w:numPr>
          <w:ilvl w:val="0"/>
          <w:numId w:val="7"/>
        </w:numPr>
        <w:rPr>
          <w:rFonts w:ascii="Arial" w:cs="Arial" w:eastAsia="Arial" w:hAnsi="Arial"/>
          <w:sz w:val="16"/>
          <w:szCs w:val="16"/>
          <w:color w:val="2A3D6C"/>
        </w:rPr>
      </w:pPr>
      <w:r>
        <w:rPr>
          <w:rFonts w:ascii="Arial" w:cs="Arial" w:eastAsia="Arial" w:hAnsi="Arial"/>
          <w:sz w:val="16"/>
          <w:szCs w:val="16"/>
          <w:color w:val="auto"/>
        </w:rPr>
        <w:t>All of our executive officers (including each of our named executive officers) and directors are in compliance with our robust share ownership guidelines.</w:t>
      </w:r>
    </w:p>
    <w:p>
      <w:pPr>
        <w:spacing w:after="0" w:line="49" w:lineRule="exact"/>
        <w:rPr>
          <w:rFonts w:ascii="Arial" w:cs="Arial" w:eastAsia="Arial" w:hAnsi="Arial"/>
          <w:sz w:val="16"/>
          <w:szCs w:val="16"/>
          <w:color w:val="2A3D6C"/>
        </w:rPr>
      </w:pPr>
    </w:p>
    <w:p>
      <w:pPr>
        <w:ind w:left="1040" w:right="639" w:hanging="357"/>
        <w:spacing w:after="0" w:line="282" w:lineRule="auto"/>
        <w:tabs>
          <w:tab w:leader="none" w:pos="1040" w:val="left"/>
        </w:tabs>
        <w:numPr>
          <w:ilvl w:val="0"/>
          <w:numId w:val="7"/>
        </w:numPr>
        <w:rPr>
          <w:rFonts w:ascii="Arial" w:cs="Arial" w:eastAsia="Arial" w:hAnsi="Arial"/>
          <w:sz w:val="16"/>
          <w:szCs w:val="16"/>
          <w:color w:val="2A3D6C"/>
        </w:rPr>
      </w:pPr>
      <w:r>
        <w:rPr>
          <w:rFonts w:ascii="Arial" w:cs="Arial" w:eastAsia="Arial" w:hAnsi="Arial"/>
          <w:sz w:val="16"/>
          <w:szCs w:val="16"/>
          <w:color w:val="auto"/>
        </w:rPr>
        <w:t>At our 2021 annual stockholders meeting, approximately 97% of our stockholders approved of our 2020 executive compensation program for our named executive officers.</w:t>
      </w:r>
    </w:p>
    <w:p>
      <w:pPr>
        <w:spacing w:after="0" w:line="49" w:lineRule="exact"/>
        <w:rPr>
          <w:rFonts w:ascii="Arial" w:cs="Arial" w:eastAsia="Arial" w:hAnsi="Arial"/>
          <w:sz w:val="16"/>
          <w:szCs w:val="16"/>
          <w:color w:val="2A3D6C"/>
        </w:rPr>
      </w:pPr>
    </w:p>
    <w:p>
      <w:pPr>
        <w:ind w:left="1040" w:right="439" w:hanging="357"/>
        <w:spacing w:after="0" w:line="250" w:lineRule="auto"/>
        <w:tabs>
          <w:tab w:leader="none" w:pos="1040" w:val="left"/>
        </w:tabs>
        <w:numPr>
          <w:ilvl w:val="0"/>
          <w:numId w:val="7"/>
        </w:numPr>
        <w:rPr>
          <w:rFonts w:ascii="Arial" w:cs="Arial" w:eastAsia="Arial" w:hAnsi="Arial"/>
          <w:sz w:val="16"/>
          <w:szCs w:val="16"/>
          <w:color w:val="2A3D6C"/>
        </w:rPr>
      </w:pPr>
      <w:r>
        <w:rPr>
          <w:rFonts w:ascii="Arial" w:cs="Arial" w:eastAsia="Arial" w:hAnsi="Arial"/>
          <w:sz w:val="16"/>
          <w:szCs w:val="16"/>
          <w:color w:val="auto"/>
        </w:rPr>
        <w:t>Our Board of Directors amended the Company’s Bylaws and Corporate Governance Guidelines in March 2022 to provide for the election of directors by a majority of the votes cast in the case of uncontested elections with a requirement that directors who fail to receive the required number of votes must tender their resignation. In such event, the Nominating and Corporate Governance Committee would determine whether to accept such director’s resignation, subject to the Board’s final approval. The Company believes that this majority vote standard ensures accountability and the opportunity for a positive mandate from the Company’s stockholders.</w:t>
      </w:r>
    </w:p>
    <w:p>
      <w:pPr>
        <w:spacing w:after="0" w:line="77" w:lineRule="exact"/>
        <w:rPr>
          <w:rFonts w:ascii="Arial" w:cs="Arial" w:eastAsia="Arial" w:hAnsi="Arial"/>
          <w:sz w:val="16"/>
          <w:szCs w:val="16"/>
          <w:color w:val="2A3D6C"/>
        </w:rPr>
      </w:pPr>
    </w:p>
    <w:p>
      <w:pPr>
        <w:ind w:left="1040" w:right="379" w:hanging="357"/>
        <w:spacing w:after="0" w:line="257" w:lineRule="auto"/>
        <w:tabs>
          <w:tab w:leader="none" w:pos="1040" w:val="left"/>
        </w:tabs>
        <w:numPr>
          <w:ilvl w:val="0"/>
          <w:numId w:val="7"/>
        </w:numPr>
        <w:rPr>
          <w:rFonts w:ascii="Arial" w:cs="Arial" w:eastAsia="Arial" w:hAnsi="Arial"/>
          <w:sz w:val="16"/>
          <w:szCs w:val="16"/>
          <w:color w:val="2A3D6C"/>
        </w:rPr>
      </w:pPr>
      <w:r>
        <w:rPr>
          <w:rFonts w:ascii="Arial" w:cs="Arial" w:eastAsia="Arial" w:hAnsi="Arial"/>
          <w:sz w:val="16"/>
          <w:szCs w:val="16"/>
          <w:color w:val="auto"/>
        </w:rPr>
        <w:t>We further expanded the extensive and varied experience of the Board of Directors with the addition of Roy A. Franklin. Mr. Franklin has over 45 years' experience as a senior executive in the oil and gas industry and his experience in sustainable energy infrastructure is invaluable to Kosmos as we continue to navigate the energy transition.</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are proud of our Board’s independence and diversity with respect to gender and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11430</wp:posOffset>
            </wp:positionV>
            <wp:extent cx="5194935" cy="2720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94935" cy="272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w:t>
      </w:r>
    </w:p>
    <w:p>
      <w:pPr>
        <w:spacing w:after="0" w:line="131"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820" w:type="dxa"/>
            <w:vAlign w:val="bottom"/>
            <w:vMerge w:val="restart"/>
          </w:tcPr>
          <w:p>
            <w:pPr>
              <w:spacing w:after="0"/>
              <w:rPr>
                <w:sz w:val="20"/>
                <w:szCs w:val="20"/>
                <w:color w:val="auto"/>
              </w:rPr>
            </w:pPr>
            <w:r>
              <w:rPr>
                <w:rFonts w:ascii="Arial" w:cs="Arial" w:eastAsia="Arial" w:hAnsi="Arial"/>
                <w:sz w:val="16"/>
                <w:szCs w:val="16"/>
                <w:b w:val="1"/>
                <w:bCs w:val="1"/>
                <w:color w:val="auto"/>
              </w:rPr>
              <w:t>4</w:t>
            </w:r>
            <w:r>
              <w:rPr>
                <w:rFonts w:ascii="Arial" w:cs="Arial" w:eastAsia="Arial" w:hAnsi="Arial"/>
                <w:sz w:val="24"/>
                <w:szCs w:val="24"/>
                <w:b w:val="1"/>
                <w:bCs w:val="1"/>
                <w:color w:val="2A3D6C"/>
              </w:rPr>
              <w:t xml:space="preserve">  |</w:t>
            </w:r>
          </w:p>
        </w:tc>
        <w:tc>
          <w:tcPr>
            <w:tcW w:w="2380" w:type="dxa"/>
            <w:vAlign w:val="bottom"/>
          </w:tcPr>
          <w:p>
            <w:pPr>
              <w:ind w:left="54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820" w:type="dxa"/>
            <w:vAlign w:val="bottom"/>
            <w:vMerge w:val="continue"/>
          </w:tcPr>
          <w:p>
            <w:pPr>
              <w:spacing w:after="0"/>
              <w:rPr>
                <w:sz w:val="23"/>
                <w:szCs w:val="23"/>
                <w:color w:val="auto"/>
              </w:rPr>
            </w:pPr>
          </w:p>
        </w:tc>
        <w:tc>
          <w:tcPr>
            <w:tcW w:w="2380" w:type="dxa"/>
            <w:vAlign w:val="bottom"/>
          </w:tcPr>
          <w:p>
            <w:pPr>
              <w:ind w:left="720"/>
              <w:spacing w:after="0"/>
              <w:rPr>
                <w:sz w:val="20"/>
                <w:szCs w:val="20"/>
                <w:color w:val="auto"/>
              </w:rPr>
            </w:pPr>
            <w:r>
              <w:rPr>
                <w:rFonts w:ascii="Arial" w:cs="Arial" w:eastAsia="Arial" w:hAnsi="Arial"/>
                <w:sz w:val="16"/>
                <w:szCs w:val="16"/>
                <w:color w:val="auto"/>
                <w:w w:val="96"/>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102870</wp:posOffset>
            </wp:positionV>
            <wp:extent cx="69380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-176530</wp:posOffset>
            </wp:positionV>
            <wp:extent cx="594995" cy="170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 w:name="page10"/>
    <w:bookmarkEnd w:id="9"/>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right"/>
        <w:ind w:right="339"/>
        <w:spacing w:after="0"/>
        <w:rPr>
          <w:sz w:val="20"/>
          <w:szCs w:val="20"/>
          <w:color w:val="auto"/>
        </w:rPr>
      </w:pPr>
      <w:r>
        <w:rPr>
          <w:rFonts w:ascii="Arial" w:cs="Arial" w:eastAsia="Arial" w:hAnsi="Arial"/>
          <w:sz w:val="18"/>
          <w:szCs w:val="18"/>
          <w:b w:val="1"/>
          <w:bCs w:val="1"/>
          <w:color w:val="2A3D6C"/>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Sustainability Highlights and Practices</w:t>
      </w:r>
    </w:p>
    <w:p>
      <w:pPr>
        <w:spacing w:after="0" w:line="129" w:lineRule="exact"/>
        <w:rPr>
          <w:sz w:val="20"/>
          <w:szCs w:val="20"/>
          <w:color w:val="auto"/>
        </w:rPr>
      </w:pPr>
    </w:p>
    <w:p>
      <w:pPr>
        <w:ind w:left="320" w:right="419"/>
        <w:spacing w:after="0" w:line="257" w:lineRule="auto"/>
        <w:rPr>
          <w:sz w:val="20"/>
          <w:szCs w:val="20"/>
          <w:color w:val="auto"/>
        </w:rPr>
      </w:pPr>
      <w:r>
        <w:rPr>
          <w:rFonts w:ascii="Arial" w:cs="Arial" w:eastAsia="Arial" w:hAnsi="Arial"/>
          <w:sz w:val="16"/>
          <w:szCs w:val="16"/>
          <w:color w:val="auto"/>
        </w:rPr>
        <w:t>Kosmos was founded with the goal of creating value by engaging with all our stakeholders: investors, employees, host governments, communities, business partners, suppliers, and civil society. Operating in a safe, responsible, and environmentally sound manner is critical to achieving this goal. Kosmos is dedicated to upholding our Business Principles and acting as a force for good in our host countries.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approach to sustainability and reporting on progress is informed by:</w:t>
      </w:r>
    </w:p>
    <w:p>
      <w:pPr>
        <w:spacing w:after="0" w:line="111" w:lineRule="exact"/>
        <w:rPr>
          <w:sz w:val="20"/>
          <w:szCs w:val="20"/>
          <w:color w:val="auto"/>
        </w:rPr>
      </w:pPr>
    </w:p>
    <w:p>
      <w:pPr>
        <w:ind w:left="1040" w:hanging="357"/>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United Nations (U.N.) Sustainable Development Goals (SDGs)</w:t>
      </w:r>
    </w:p>
    <w:p>
      <w:pPr>
        <w:spacing w:after="0" w:line="110" w:lineRule="exact"/>
        <w:rPr>
          <w:rFonts w:ascii="Arial" w:cs="Arial" w:eastAsia="Arial" w:hAnsi="Arial"/>
          <w:sz w:val="16"/>
          <w:szCs w:val="16"/>
          <w:color w:val="auto"/>
        </w:rPr>
      </w:pPr>
    </w:p>
    <w:p>
      <w:pPr>
        <w:ind w:left="1040" w:hanging="357"/>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U.N. Global Compact’s Ten Principles</w:t>
      </w:r>
    </w:p>
    <w:p>
      <w:pPr>
        <w:spacing w:after="0" w:line="110" w:lineRule="exact"/>
        <w:rPr>
          <w:rFonts w:ascii="Arial" w:cs="Arial" w:eastAsia="Arial" w:hAnsi="Arial"/>
          <w:sz w:val="16"/>
          <w:szCs w:val="16"/>
          <w:color w:val="auto"/>
        </w:rPr>
      </w:pPr>
    </w:p>
    <w:p>
      <w:pPr>
        <w:ind w:left="1040" w:hanging="357"/>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Task Force on Climate-related Financial Disclosures (TCFD) Recommendations</w:t>
      </w:r>
    </w:p>
    <w:p>
      <w:pPr>
        <w:spacing w:after="0" w:line="110" w:lineRule="exact"/>
        <w:rPr>
          <w:rFonts w:ascii="Arial" w:cs="Arial" w:eastAsia="Arial" w:hAnsi="Arial"/>
          <w:sz w:val="16"/>
          <w:szCs w:val="16"/>
          <w:color w:val="auto"/>
        </w:rPr>
      </w:pPr>
    </w:p>
    <w:p>
      <w:pPr>
        <w:ind w:left="1040" w:right="619" w:hanging="357"/>
        <w:spacing w:after="0" w:line="282"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Sustainability Accounting Standards Board (SASB) Sustainability Disclosure Topics and Accounting Metrics for Oil &amp; Gas Exploration &amp; Production</w:t>
      </w:r>
    </w:p>
    <w:p>
      <w:pPr>
        <w:spacing w:after="0" w:line="50" w:lineRule="exact"/>
        <w:rPr>
          <w:sz w:val="20"/>
          <w:szCs w:val="20"/>
          <w:color w:val="auto"/>
        </w:rPr>
      </w:pPr>
    </w:p>
    <w:p>
      <w:pPr>
        <w:ind w:left="320" w:right="399"/>
        <w:spacing w:after="0" w:line="250" w:lineRule="auto"/>
        <w:rPr>
          <w:sz w:val="20"/>
          <w:szCs w:val="20"/>
          <w:color w:val="auto"/>
        </w:rPr>
      </w:pPr>
      <w:r>
        <w:rPr>
          <w:rFonts w:ascii="Arial" w:cs="Arial" w:eastAsia="Arial" w:hAnsi="Arial"/>
          <w:sz w:val="16"/>
          <w:szCs w:val="16"/>
          <w:color w:val="auto"/>
        </w:rPr>
        <w:t>The Company’s latest Sustainability Report was published in December 2021 and covers our full ESG agenda, including the actions we have taken to mitigate climate-related risks and enhance the resilience of our business. Given the importance of ESG performance, we are pleased that last year’s report included data that has been independently reviewed by our external auditor, Ernst &amp;Young LLP. This is an added step we have taken to further our commitment to transparency and openness. The report also demonstrates how we are delivering on our ongoing commitment to being both a responsible company and a long-term partner focused on helping our host nations reach their potential.</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are proud of the work we have done to operate responsibly.</w:t>
      </w:r>
    </w:p>
    <w:p>
      <w:pPr>
        <w:spacing w:after="0" w:line="39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Our People</w:t>
      </w:r>
    </w:p>
    <w:p>
      <w:pPr>
        <w:spacing w:after="0" w:line="111" w:lineRule="exact"/>
        <w:rPr>
          <w:sz w:val="20"/>
          <w:szCs w:val="20"/>
          <w:color w:val="auto"/>
        </w:rPr>
      </w:pPr>
    </w:p>
    <w:p>
      <w:pPr>
        <w:ind w:left="1040" w:hanging="357"/>
        <w:spacing w:after="0"/>
        <w:tabs>
          <w:tab w:leader="none" w:pos="1040" w:val="left"/>
        </w:tabs>
        <w:numPr>
          <w:ilvl w:val="0"/>
          <w:numId w:val="9"/>
        </w:numPr>
        <w:rPr>
          <w:rFonts w:ascii="Arial" w:cs="Arial" w:eastAsia="Arial" w:hAnsi="Arial"/>
          <w:sz w:val="16"/>
          <w:szCs w:val="16"/>
          <w:color w:val="2A3D6C"/>
        </w:rPr>
      </w:pPr>
      <w:r>
        <w:rPr>
          <w:rFonts w:ascii="Arial" w:cs="Arial" w:eastAsia="Arial" w:hAnsi="Arial"/>
          <w:sz w:val="16"/>
          <w:szCs w:val="16"/>
          <w:color w:val="auto"/>
        </w:rPr>
        <w:t>Total Recordable Injury Rate in 2021 (0.18) was better than our target (&lt; 0.50).</w:t>
      </w:r>
    </w:p>
    <w:p>
      <w:pPr>
        <w:spacing w:after="0" w:line="39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Environment</w:t>
      </w:r>
    </w:p>
    <w:p>
      <w:pPr>
        <w:spacing w:after="0" w:line="111" w:lineRule="exact"/>
        <w:rPr>
          <w:sz w:val="20"/>
          <w:szCs w:val="20"/>
          <w:color w:val="auto"/>
        </w:rPr>
      </w:pPr>
    </w:p>
    <w:p>
      <w:pPr>
        <w:ind w:left="1040" w:hanging="357"/>
        <w:spacing w:after="0"/>
        <w:tabs>
          <w:tab w:leader="none" w:pos="1040" w:val="left"/>
        </w:tabs>
        <w:numPr>
          <w:ilvl w:val="0"/>
          <w:numId w:val="10"/>
        </w:numPr>
        <w:rPr>
          <w:rFonts w:ascii="Arial" w:cs="Arial" w:eastAsia="Arial" w:hAnsi="Arial"/>
          <w:sz w:val="16"/>
          <w:szCs w:val="16"/>
          <w:color w:val="2A3D6C"/>
        </w:rPr>
      </w:pPr>
      <w:r>
        <w:rPr>
          <w:rFonts w:ascii="Arial" w:cs="Arial" w:eastAsia="Arial" w:hAnsi="Arial"/>
          <w:sz w:val="16"/>
          <w:szCs w:val="16"/>
          <w:color w:val="auto"/>
        </w:rPr>
        <w:t>Looking to accelerate delivery of our carbon neutrality target for Scope 1 and Scope 2 operated emissions.</w:t>
      </w:r>
    </w:p>
    <w:p>
      <w:pPr>
        <w:spacing w:after="0" w:line="37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Transparency</w:t>
      </w:r>
    </w:p>
    <w:p>
      <w:pPr>
        <w:spacing w:after="0" w:line="111" w:lineRule="exact"/>
        <w:rPr>
          <w:sz w:val="20"/>
          <w:szCs w:val="20"/>
          <w:color w:val="auto"/>
        </w:rPr>
      </w:pPr>
    </w:p>
    <w:p>
      <w:pPr>
        <w:ind w:left="1040" w:right="419" w:hanging="357"/>
        <w:spacing w:after="0" w:line="263" w:lineRule="auto"/>
        <w:tabs>
          <w:tab w:leader="none" w:pos="1040" w:val="left"/>
        </w:tabs>
        <w:numPr>
          <w:ilvl w:val="0"/>
          <w:numId w:val="11"/>
        </w:numPr>
        <w:rPr>
          <w:rFonts w:ascii="Arial" w:cs="Arial" w:eastAsia="Arial" w:hAnsi="Arial"/>
          <w:sz w:val="16"/>
          <w:szCs w:val="16"/>
          <w:color w:val="2A3D6C"/>
        </w:rPr>
      </w:pPr>
      <w:r>
        <w:rPr>
          <w:rFonts w:ascii="Arial" w:cs="Arial" w:eastAsia="Arial" w:hAnsi="Arial"/>
          <w:sz w:val="16"/>
          <w:szCs w:val="16"/>
          <w:color w:val="auto"/>
        </w:rPr>
        <w:t>Maintained an industry-leading position on transparency by publishing our petroleum agreements and production sharing contracts with host governments, as well as disclosing our payments to governments at the project level.</w:t>
      </w:r>
    </w:p>
    <w:p>
      <w:pPr>
        <w:spacing w:after="0" w:line="34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Social Investment</w:t>
      </w:r>
    </w:p>
    <w:p>
      <w:pPr>
        <w:spacing w:after="0" w:line="111" w:lineRule="exact"/>
        <w:rPr>
          <w:sz w:val="20"/>
          <w:szCs w:val="20"/>
          <w:color w:val="auto"/>
        </w:rPr>
      </w:pPr>
    </w:p>
    <w:p>
      <w:pPr>
        <w:ind w:left="1040" w:right="859" w:hanging="357"/>
        <w:spacing w:after="0" w:line="282" w:lineRule="auto"/>
        <w:tabs>
          <w:tab w:leader="none" w:pos="1040" w:val="left"/>
        </w:tabs>
        <w:numPr>
          <w:ilvl w:val="0"/>
          <w:numId w:val="12"/>
        </w:numPr>
        <w:rPr>
          <w:rFonts w:ascii="Arial" w:cs="Arial" w:eastAsia="Arial" w:hAnsi="Arial"/>
          <w:sz w:val="16"/>
          <w:szCs w:val="16"/>
          <w:color w:val="2A3D6C"/>
        </w:rPr>
      </w:pPr>
      <w:r>
        <w:rPr>
          <w:rFonts w:ascii="Arial" w:cs="Arial" w:eastAsia="Arial" w:hAnsi="Arial"/>
          <w:sz w:val="16"/>
          <w:szCs w:val="16"/>
          <w:color w:val="auto"/>
        </w:rPr>
        <w:t>Since its founding, the Kosmos Innovation Center has trained more than 600 aspiring entrepreneurs, leading to the creation of more than 35 promising start-ups.</w:t>
      </w:r>
    </w:p>
    <w:p>
      <w:pPr>
        <w:spacing w:after="0" w:line="42" w:lineRule="exact"/>
        <w:rPr>
          <w:sz w:val="20"/>
          <w:szCs w:val="20"/>
          <w:color w:val="auto"/>
        </w:rPr>
      </w:pPr>
    </w:p>
    <w:p>
      <w:pPr>
        <w:ind w:left="648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130175</wp:posOffset>
            </wp:positionV>
            <wp:extent cx="693801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-149860</wp:posOffset>
            </wp:positionV>
            <wp:extent cx="594995" cy="170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167"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280" w:type="dxa"/>
            <w:vAlign w:val="bottom"/>
            <w:shd w:val="clear" w:color="auto" w:fill="606489"/>
          </w:tcPr>
          <w:p>
            <w:pPr>
              <w:ind w:left="1660"/>
              <w:spacing w:after="0"/>
              <w:rPr>
                <w:sz w:val="20"/>
                <w:szCs w:val="20"/>
                <w:color w:val="auto"/>
              </w:rPr>
            </w:pPr>
            <w:r>
              <w:rPr>
                <w:rFonts w:ascii="Arial" w:cs="Arial" w:eastAsia="Arial" w:hAnsi="Arial"/>
                <w:sz w:val="14"/>
                <w:szCs w:val="14"/>
                <w:b w:val="1"/>
                <w:bCs w:val="1"/>
                <w:color w:val="FFFFFF"/>
              </w:rPr>
              <w:t>What We Do</w:t>
            </w:r>
          </w:p>
        </w:tc>
        <w:tc>
          <w:tcPr>
            <w:tcW w:w="1620" w:type="dxa"/>
            <w:vAlign w:val="bottom"/>
            <w:shd w:val="clear" w:color="auto" w:fill="606489"/>
          </w:tcPr>
          <w:p>
            <w:pPr>
              <w:ind w:left="7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2640" w:type="dxa"/>
            <w:vAlign w:val="bottom"/>
            <w:shd w:val="clear" w:color="auto" w:fill="606489"/>
          </w:tcPr>
          <w:p>
            <w:pPr>
              <w:ind w:left="720"/>
              <w:spacing w:after="0"/>
              <w:rPr>
                <w:sz w:val="20"/>
                <w:szCs w:val="20"/>
                <w:color w:val="auto"/>
              </w:rPr>
            </w:pPr>
            <w:r>
              <w:rPr>
                <w:rFonts w:ascii="Arial" w:cs="Arial" w:eastAsia="Arial" w:hAnsi="Arial"/>
                <w:sz w:val="14"/>
                <w:szCs w:val="14"/>
                <w:b w:val="1"/>
                <w:bCs w:val="1"/>
                <w:color w:val="FFFFFF"/>
              </w:rPr>
              <w:t>What We Don’t Do</w:t>
            </w:r>
          </w:p>
        </w:tc>
        <w:tc>
          <w:tcPr>
            <w:tcW w:w="800" w:type="dxa"/>
            <w:vAlign w:val="bottom"/>
            <w:shd w:val="clear" w:color="auto" w:fill="606489"/>
          </w:tcPr>
          <w:p>
            <w:pPr>
              <w:ind w:left="700"/>
              <w:spacing w:after="0"/>
              <w:rPr>
                <w:sz w:val="20"/>
                <w:szCs w:val="20"/>
                <w:color w:val="auto"/>
              </w:rPr>
            </w:pPr>
            <w:r>
              <w:rPr>
                <w:rFonts w:ascii="Times New Roman" w:cs="Times New Roman" w:eastAsia="Times New Roman" w:hAnsi="Times New Roman"/>
                <w:sz w:val="4"/>
                <w:szCs w:val="4"/>
                <w:color w:val="auto"/>
              </w:rPr>
              <w:t>​</w:t>
            </w:r>
          </w:p>
        </w:tc>
      </w:tr>
      <w:tr>
        <w:trPr>
          <w:trHeight w:val="124"/>
        </w:trPr>
        <w:tc>
          <w:tcPr>
            <w:tcW w:w="20" w:type="dxa"/>
            <w:vAlign w:val="bottom"/>
          </w:tcPr>
          <w:p>
            <w:pPr>
              <w:spacing w:after="0"/>
              <w:rPr>
                <w:sz w:val="10"/>
                <w:szCs w:val="10"/>
                <w:color w:val="auto"/>
              </w:rPr>
            </w:pPr>
          </w:p>
        </w:tc>
        <w:tc>
          <w:tcPr>
            <w:tcW w:w="3280" w:type="dxa"/>
            <w:vAlign w:val="bottom"/>
            <w:shd w:val="clear" w:color="auto" w:fill="606489"/>
          </w:tcPr>
          <w:p>
            <w:pPr>
              <w:spacing w:after="0"/>
              <w:rPr>
                <w:sz w:val="10"/>
                <w:szCs w:val="10"/>
                <w:color w:val="auto"/>
              </w:rPr>
            </w:pPr>
          </w:p>
        </w:tc>
        <w:tc>
          <w:tcPr>
            <w:tcW w:w="1620" w:type="dxa"/>
            <w:vAlign w:val="bottom"/>
            <w:shd w:val="clear" w:color="auto" w:fill="606489"/>
          </w:tcPr>
          <w:p>
            <w:pPr>
              <w:spacing w:after="0"/>
              <w:rPr>
                <w:sz w:val="10"/>
                <w:szCs w:val="10"/>
                <w:color w:val="auto"/>
              </w:rPr>
            </w:pPr>
          </w:p>
        </w:tc>
        <w:tc>
          <w:tcPr>
            <w:tcW w:w="2640" w:type="dxa"/>
            <w:vAlign w:val="bottom"/>
            <w:shd w:val="clear" w:color="auto" w:fill="606489"/>
          </w:tcPr>
          <w:p>
            <w:pPr>
              <w:spacing w:after="0"/>
              <w:rPr>
                <w:sz w:val="10"/>
                <w:szCs w:val="10"/>
                <w:color w:val="auto"/>
              </w:rPr>
            </w:pPr>
          </w:p>
        </w:tc>
        <w:tc>
          <w:tcPr>
            <w:tcW w:w="800" w:type="dxa"/>
            <w:vAlign w:val="bottom"/>
            <w:shd w:val="clear" w:color="auto" w:fill="606489"/>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0</wp:posOffset>
            </wp:positionV>
            <wp:extent cx="2644140" cy="36391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44140" cy="363918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ind w:left="20" w:right="20" w:hanging="281"/>
        <w:spacing w:after="0" w:line="19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Pay-for-Performance</w:t>
      </w:r>
      <w:r>
        <w:rPr>
          <w:rFonts w:ascii="Arial" w:cs="Arial" w:eastAsia="Arial" w:hAnsi="Arial"/>
          <w:sz w:val="16"/>
          <w:szCs w:val="16"/>
          <w:color w:val="auto"/>
        </w:rPr>
        <w:t>—we align pay and performance by awarding a majority of the compensation paid to our executives in the form of “at-risk” performance-based compensation linked to Company and individual performance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w:t>
      </w:r>
    </w:p>
    <w:p>
      <w:pPr>
        <w:ind w:left="20" w:right="100" w:hanging="281"/>
        <w:spacing w:after="0" w:line="188"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Balanced Short-Term and Long-Term</w:t>
      </w:r>
      <w:r>
        <w:rPr>
          <w:rFonts w:ascii="Arial" w:cs="Arial" w:eastAsia="Arial" w:hAnsi="Arial"/>
          <w:sz w:val="16"/>
          <w:szCs w:val="16"/>
          <w:color w:val="auto"/>
        </w:rPr>
        <w:t xml:space="preserve"> </w:t>
      </w:r>
      <w:r>
        <w:rPr>
          <w:rFonts w:ascii="Arial" w:cs="Arial" w:eastAsia="Arial" w:hAnsi="Arial"/>
          <w:sz w:val="16"/>
          <w:szCs w:val="16"/>
          <w:b w:val="1"/>
          <w:bCs w:val="1"/>
          <w:color w:val="auto"/>
        </w:rPr>
        <w:t>Compensation</w:t>
      </w:r>
      <w:r>
        <w:rPr>
          <w:rFonts w:ascii="Arial" w:cs="Arial" w:eastAsia="Arial" w:hAnsi="Arial"/>
          <w:sz w:val="16"/>
          <w:szCs w:val="16"/>
          <w:color w:val="auto"/>
        </w:rPr>
        <w:t>—we grant compensation that</w:t>
      </w:r>
      <w:r>
        <w:rPr>
          <w:rFonts w:ascii="Arial" w:cs="Arial" w:eastAsia="Arial" w:hAnsi="Arial"/>
          <w:sz w:val="16"/>
          <w:szCs w:val="16"/>
          <w:b w:val="1"/>
          <w:bCs w:val="1"/>
          <w:color w:val="auto"/>
        </w:rPr>
        <w:t xml:space="preserve"> </w:t>
      </w:r>
      <w:r>
        <w:rPr>
          <w:rFonts w:ascii="Arial" w:cs="Arial" w:eastAsia="Arial" w:hAnsi="Arial"/>
          <w:sz w:val="16"/>
          <w:szCs w:val="16"/>
          <w:color w:val="auto"/>
        </w:rPr>
        <w:t>discourages short-term risk taking at the expense of long-term results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w:t>
      </w:r>
    </w:p>
    <w:p>
      <w:pPr>
        <w:ind w:left="20" w:right="200" w:hanging="281"/>
        <w:spacing w:after="0" w:line="189"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Independent Compensation Consultant</w:t>
      </w:r>
      <w:r>
        <w:rPr>
          <w:rFonts w:ascii="Arial" w:cs="Arial" w:eastAsia="Arial" w:hAnsi="Arial"/>
          <w:sz w:val="16"/>
          <w:szCs w:val="16"/>
          <w:color w:val="auto"/>
        </w:rPr>
        <w:t>—our Compensation Committee engages an independent compensation consultant</w:t>
      </w:r>
    </w:p>
    <w:p>
      <w:pPr>
        <w:ind w:left="20"/>
        <w:spacing w:after="0"/>
        <w:rPr>
          <w:sz w:val="20"/>
          <w:szCs w:val="20"/>
          <w:color w:val="auto"/>
        </w:rPr>
      </w:pPr>
      <w:r>
        <w:rPr>
          <w:rFonts w:ascii="Arial" w:cs="Arial" w:eastAsia="Arial" w:hAnsi="Arial"/>
          <w:sz w:val="16"/>
          <w:szCs w:val="16"/>
          <w:color w:val="auto"/>
        </w:rPr>
        <w:t> </w:t>
      </w:r>
    </w:p>
    <w:p>
      <w:pPr>
        <w:ind w:left="20" w:right="120" w:hanging="281"/>
        <w:spacing w:after="0" w:line="188"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Share Ownership Guidelines</w:t>
      </w:r>
      <w:r>
        <w:rPr>
          <w:rFonts w:ascii="Arial" w:cs="Arial" w:eastAsia="Arial" w:hAnsi="Arial"/>
          <w:sz w:val="16"/>
          <w:szCs w:val="16"/>
          <w:color w:val="auto"/>
        </w:rPr>
        <w:t>—our executive officers are subject to robust share ownership guidelines, further aligning their interests with our stockholders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w:t>
      </w:r>
    </w:p>
    <w:p>
      <w:pPr>
        <w:ind w:left="20" w:right="220" w:hanging="281"/>
        <w:spacing w:after="0" w:line="189"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Compensation Recoupment Policy</w:t>
      </w:r>
      <w:r>
        <w:rPr>
          <w:rFonts w:ascii="Arial" w:cs="Arial" w:eastAsia="Arial" w:hAnsi="Arial"/>
          <w:sz w:val="16"/>
          <w:szCs w:val="16"/>
          <w:color w:val="auto"/>
        </w:rPr>
        <w:t>—we maintain a compensation recoupment/clawback policy applicable to our executive officers</w:t>
      </w:r>
    </w:p>
    <w:p>
      <w:pPr>
        <w:ind w:left="20"/>
        <w:spacing w:after="0"/>
        <w:rPr>
          <w:sz w:val="20"/>
          <w:szCs w:val="20"/>
          <w:color w:val="auto"/>
        </w:rPr>
      </w:pPr>
      <w:r>
        <w:rPr>
          <w:rFonts w:ascii="Arial" w:cs="Arial" w:eastAsia="Arial" w:hAnsi="Arial"/>
          <w:sz w:val="16"/>
          <w:szCs w:val="16"/>
          <w:color w:val="auto"/>
        </w:rPr>
        <w:t> </w:t>
      </w:r>
    </w:p>
    <w:p>
      <w:pPr>
        <w:ind w:hanging="274"/>
        <w:spacing w:after="0" w:line="188"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Risk Mitigation</w:t>
      </w:r>
      <w:r>
        <w:rPr>
          <w:rFonts w:ascii="Arial" w:cs="Arial" w:eastAsia="Arial" w:hAnsi="Arial"/>
          <w:sz w:val="16"/>
          <w:szCs w:val="16"/>
          <w:color w:val="auto"/>
        </w:rPr>
        <w:t>—we have strong risk and control policies, we take risk management into account in making executive compensation decisions, and we perform an annual risk assessment of our executive compensation programs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jc w:val="center"/>
        <w:ind w:right="439"/>
        <w:spacing w:after="0" w:line="178"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 Excise Tax Gross-Ups</w:t>
      </w:r>
      <w:r>
        <w:rPr>
          <w:rFonts w:ascii="Arial" w:cs="Arial" w:eastAsia="Arial" w:hAnsi="Arial"/>
          <w:sz w:val="16"/>
          <w:szCs w:val="16"/>
          <w:color w:val="auto"/>
        </w:rPr>
        <w:t>—we do not provide our</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executives with gross-ups for the excise tax that</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would be imposed on the executives under Section</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4999 of the Internal Revenue Code, if they received</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“excess” payments and benefits in connection with a</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change in control</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w:t>
      </w:r>
    </w:p>
    <w:p>
      <w:pPr>
        <w:ind w:left="320" w:right="559" w:hanging="262"/>
        <w:spacing w:after="0" w:line="189"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 Special Executive Defined Benefit</w:t>
      </w:r>
      <w:r>
        <w:rPr>
          <w:rFonts w:ascii="Arial" w:cs="Arial" w:eastAsia="Arial" w:hAnsi="Arial"/>
          <w:sz w:val="16"/>
          <w:szCs w:val="16"/>
          <w:color w:val="auto"/>
        </w:rPr>
        <w:t xml:space="preserve"> </w:t>
      </w:r>
      <w:r>
        <w:rPr>
          <w:rFonts w:ascii="Arial" w:cs="Arial" w:eastAsia="Arial" w:hAnsi="Arial"/>
          <w:sz w:val="16"/>
          <w:szCs w:val="16"/>
          <w:b w:val="1"/>
          <w:bCs w:val="1"/>
          <w:color w:val="auto"/>
        </w:rPr>
        <w:t>Retirement Programs</w:t>
      </w:r>
      <w:r>
        <w:rPr>
          <w:rFonts w:ascii="Arial" w:cs="Arial" w:eastAsia="Arial" w:hAnsi="Arial"/>
          <w:sz w:val="16"/>
          <w:szCs w:val="16"/>
          <w:color w:val="auto"/>
        </w:rPr>
        <w:t>—we do not provide special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defined benefit retirement programs</w:t>
      </w:r>
    </w:p>
    <w:p>
      <w:pPr>
        <w:ind w:left="320"/>
        <w:spacing w:after="0"/>
        <w:rPr>
          <w:sz w:val="20"/>
          <w:szCs w:val="20"/>
          <w:color w:val="auto"/>
        </w:rPr>
      </w:pPr>
      <w:r>
        <w:rPr>
          <w:rFonts w:ascii="Arial" w:cs="Arial" w:eastAsia="Arial" w:hAnsi="Arial"/>
          <w:sz w:val="16"/>
          <w:szCs w:val="16"/>
          <w:color w:val="auto"/>
        </w:rPr>
        <w:t> </w:t>
      </w:r>
    </w:p>
    <w:p>
      <w:pPr>
        <w:ind w:left="320" w:right="559" w:hanging="262"/>
        <w:spacing w:after="0" w:line="189"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 Excessive Perquisites</w:t>
      </w:r>
      <w:r>
        <w:rPr>
          <w:rFonts w:ascii="Arial" w:cs="Arial" w:eastAsia="Arial" w:hAnsi="Arial"/>
          <w:sz w:val="16"/>
          <w:szCs w:val="16"/>
          <w:color w:val="auto"/>
        </w:rPr>
        <w:t>—consistent with our pay-for-performance philosophy, we do not provide our executives with excessive perquisites</w:t>
      </w:r>
    </w:p>
    <w:p>
      <w:pPr>
        <w:ind w:left="320"/>
        <w:spacing w:after="0" w:line="201" w:lineRule="auto"/>
        <w:rPr>
          <w:sz w:val="20"/>
          <w:szCs w:val="20"/>
          <w:color w:val="auto"/>
        </w:rPr>
      </w:pPr>
      <w:r>
        <w:rPr>
          <w:rFonts w:ascii="Arial" w:cs="Arial" w:eastAsia="Arial" w:hAnsi="Arial"/>
          <w:sz w:val="16"/>
          <w:szCs w:val="16"/>
          <w:color w:val="auto"/>
        </w:rPr>
        <w:t> </w:t>
      </w:r>
    </w:p>
    <w:p>
      <w:pPr>
        <w:ind w:left="320" w:right="439" w:hanging="450"/>
        <w:spacing w:after="0" w:line="199" w:lineRule="exact"/>
        <w:rPr>
          <w:sz w:val="20"/>
          <w:szCs w:val="20"/>
          <w:color w:val="auto"/>
        </w:rPr>
      </w:pPr>
      <w:r>
        <w:rPr>
          <w:rFonts w:ascii="Times New Roman" w:cs="Times New Roman" w:eastAsia="Times New Roman" w:hAnsi="Times New Roman"/>
          <w:sz w:val="7"/>
          <w:szCs w:val="7"/>
          <w:color w:val="auto"/>
          <w:vertAlign w:val="superscript"/>
        </w:rPr>
        <w:t>​ ​</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 Guaranteed Payouts</w:t>
      </w:r>
      <w:r>
        <w:rPr>
          <w:rFonts w:ascii="Arial" w:cs="Arial" w:eastAsia="Arial" w:hAnsi="Arial"/>
          <w:sz w:val="16"/>
          <w:szCs w:val="16"/>
          <w:color w:val="auto"/>
        </w:rPr>
        <w:t xml:space="preserve">—we do not grant cash or </w:t>
      </w:r>
      <w:r>
        <w:rPr>
          <w:rFonts w:ascii="Times New Roman" w:cs="Times New Roman" w:eastAsia="Times New Roman" w:hAnsi="Times New Roman"/>
          <w:sz w:val="7"/>
          <w:szCs w:val="7"/>
          <w:color w:val="auto"/>
          <w:vertAlign w:val="superscript"/>
        </w:rPr>
        <w:t>​</w:t>
      </w:r>
      <w:r>
        <w:rPr>
          <w:rFonts w:ascii="Arial" w:cs="Arial" w:eastAsia="Arial" w:hAnsi="Arial"/>
          <w:sz w:val="16"/>
          <w:szCs w:val="16"/>
          <w:color w:val="auto"/>
        </w:rPr>
        <w:t xml:space="preserve"> equity incentive compensation with guaranteed payouts</w:t>
      </w:r>
    </w:p>
    <w:p>
      <w:pPr>
        <w:ind w:left="320"/>
        <w:spacing w:after="0"/>
        <w:rPr>
          <w:sz w:val="20"/>
          <w:szCs w:val="20"/>
          <w:color w:val="auto"/>
        </w:rPr>
      </w:pPr>
      <w:r>
        <w:rPr>
          <w:rFonts w:ascii="Arial" w:cs="Arial" w:eastAsia="Arial" w:hAnsi="Arial"/>
          <w:sz w:val="16"/>
          <w:szCs w:val="16"/>
          <w:color w:val="auto"/>
        </w:rPr>
        <w:t> </w:t>
      </w:r>
    </w:p>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 Hedging Shares</w:t>
      </w:r>
      <w:r>
        <w:rPr>
          <w:rFonts w:ascii="Arial" w:cs="Arial" w:eastAsia="Arial" w:hAnsi="Arial"/>
          <w:sz w:val="16"/>
          <w:szCs w:val="16"/>
          <w:color w:val="auto"/>
        </w:rPr>
        <w:t>—we do not permit our</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employees, including our named executive officers,</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 engage in hedging transactions in the Company’s</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securities, unless our General Counsel provides</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prior written authorization</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w:t>
      </w:r>
    </w:p>
    <w:p>
      <w:pPr>
        <w:jc w:val="both"/>
        <w:ind w:left="320" w:right="519" w:hanging="262"/>
        <w:spacing w:after="0" w:line="19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 Top-Up Share Grants</w:t>
      </w:r>
      <w:r>
        <w:rPr>
          <w:rFonts w:ascii="Arial" w:cs="Arial" w:eastAsia="Arial" w:hAnsi="Arial"/>
          <w:sz w:val="16"/>
          <w:szCs w:val="16"/>
          <w:color w:val="auto"/>
        </w:rPr>
        <w:t>—no additional issuance of equity awards to compensate for losses in value of outstanding equity awards</w:t>
      </w:r>
    </w:p>
    <w:p>
      <w:pPr>
        <w:spacing w:after="0" w:line="531" w:lineRule="exact"/>
        <w:rPr>
          <w:sz w:val="20"/>
          <w:szCs w:val="20"/>
          <w:color w:val="auto"/>
        </w:rPr>
      </w:pPr>
    </w:p>
    <w:p>
      <w:pPr>
        <w:sectPr>
          <w:pgSz w:w="11900" w:h="16838" w:orient="portrait"/>
          <w:cols w:equalWidth="0" w:num="3">
            <w:col w:w="340" w:space="400"/>
            <w:col w:w="3620" w:space="160"/>
            <w:col w:w="4499"/>
          </w:cols>
          <w:pgMar w:left="1440" w:top="262" w:right="1440" w:bottom="1440" w:gutter="0" w:footer="0" w:header="0"/>
          <w:type w:val="continuous"/>
        </w:sectPr>
      </w:pPr>
    </w:p>
    <w:tbl>
      <w:tblPr>
        <w:tblLayout w:type="fixed"/>
        <w:tblInd w:w="320" w:type="dxa"/>
        <w:tblCellMar>
          <w:top w:w="0" w:type="dxa"/>
          <w:left w:w="0" w:type="dxa"/>
          <w:bottom w:w="0" w:type="dxa"/>
          <w:right w:w="0" w:type="dxa"/>
        </w:tblCellMar>
      </w:tblPr>
      <w:tr>
        <w:trPr>
          <w:trHeight w:val="287"/>
        </w:trPr>
        <w:tc>
          <w:tcPr>
            <w:tcW w:w="820" w:type="dxa"/>
            <w:vAlign w:val="bottom"/>
            <w:vMerge w:val="restart"/>
          </w:tcPr>
          <w:p>
            <w:pPr>
              <w:spacing w:after="0"/>
              <w:rPr>
                <w:sz w:val="20"/>
                <w:szCs w:val="20"/>
                <w:color w:val="auto"/>
              </w:rPr>
            </w:pPr>
            <w:r>
              <w:rPr>
                <w:rFonts w:ascii="Arial" w:cs="Arial" w:eastAsia="Arial" w:hAnsi="Arial"/>
                <w:sz w:val="16"/>
                <w:szCs w:val="16"/>
                <w:b w:val="1"/>
                <w:bCs w:val="1"/>
                <w:color w:val="auto"/>
              </w:rPr>
              <w:t>6</w:t>
            </w:r>
            <w:r>
              <w:rPr>
                <w:rFonts w:ascii="Arial" w:cs="Arial" w:eastAsia="Arial" w:hAnsi="Arial"/>
                <w:sz w:val="24"/>
                <w:szCs w:val="24"/>
                <w:b w:val="1"/>
                <w:bCs w:val="1"/>
                <w:color w:val="2A3D6C"/>
              </w:rPr>
              <w:t xml:space="preserve">  |</w:t>
            </w:r>
          </w:p>
        </w:tc>
        <w:tc>
          <w:tcPr>
            <w:tcW w:w="2380" w:type="dxa"/>
            <w:vAlign w:val="bottom"/>
          </w:tcPr>
          <w:p>
            <w:pPr>
              <w:ind w:left="54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820" w:type="dxa"/>
            <w:vAlign w:val="bottom"/>
            <w:vMerge w:val="continue"/>
          </w:tcPr>
          <w:p>
            <w:pPr>
              <w:spacing w:after="0"/>
              <w:rPr>
                <w:sz w:val="23"/>
                <w:szCs w:val="23"/>
                <w:color w:val="auto"/>
              </w:rPr>
            </w:pPr>
          </w:p>
        </w:tc>
        <w:tc>
          <w:tcPr>
            <w:tcW w:w="2380" w:type="dxa"/>
            <w:vAlign w:val="bottom"/>
          </w:tcPr>
          <w:p>
            <w:pPr>
              <w:ind w:left="720"/>
              <w:spacing w:after="0"/>
              <w:rPr>
                <w:sz w:val="20"/>
                <w:szCs w:val="20"/>
                <w:color w:val="auto"/>
              </w:rPr>
            </w:pPr>
            <w:r>
              <w:rPr>
                <w:rFonts w:ascii="Arial" w:cs="Arial" w:eastAsia="Arial" w:hAnsi="Arial"/>
                <w:sz w:val="16"/>
                <w:szCs w:val="16"/>
                <w:color w:val="auto"/>
                <w:w w:val="96"/>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-185420</wp:posOffset>
            </wp:positionV>
            <wp:extent cx="594995" cy="170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1" w:name="page12"/>
    <w:bookmarkEnd w:id="11"/>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245110</wp:posOffset>
            </wp:positionV>
            <wp:extent cx="5305425" cy="714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05425" cy="71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43"/>
          <w:szCs w:val="43"/>
          <w:color w:val="2A3D6C"/>
        </w:rPr>
        <w:t>PROPOSAL 1</w:t>
      </w:r>
    </w:p>
    <w:p>
      <w:pPr>
        <w:spacing w:after="0" w:line="20" w:lineRule="exact"/>
        <w:rPr>
          <w:sz w:val="20"/>
          <w:szCs w:val="20"/>
          <w:color w:val="auto"/>
        </w:rPr>
      </w:pPr>
    </w:p>
    <w:p>
      <w:pPr>
        <w:ind w:left="320" w:right="639"/>
        <w:spacing w:after="0" w:line="283" w:lineRule="auto"/>
        <w:rPr>
          <w:sz w:val="20"/>
          <w:szCs w:val="20"/>
          <w:color w:val="auto"/>
        </w:rPr>
      </w:pPr>
      <w:r>
        <w:rPr>
          <w:rFonts w:ascii="Arial" w:cs="Arial" w:eastAsia="Arial" w:hAnsi="Arial"/>
          <w:sz w:val="23"/>
          <w:szCs w:val="23"/>
          <w:b w:val="1"/>
          <w:bCs w:val="1"/>
          <w:color w:val="595959"/>
        </w:rPr>
        <w:t>To elect two Class III directors to a three-year term to serve until the 2025 annual stockholders meeting</w:t>
      </w:r>
    </w:p>
    <w:p>
      <w:pPr>
        <w:spacing w:after="0" w:line="27" w:lineRule="exact"/>
        <w:rPr>
          <w:sz w:val="20"/>
          <w:szCs w:val="20"/>
          <w:color w:val="auto"/>
        </w:rPr>
      </w:pPr>
    </w:p>
    <w:p>
      <w:pPr>
        <w:ind w:left="320" w:right="419"/>
        <w:spacing w:after="0" w:line="254" w:lineRule="auto"/>
        <w:rPr>
          <w:sz w:val="20"/>
          <w:szCs w:val="20"/>
          <w:color w:val="auto"/>
        </w:rPr>
      </w:pPr>
      <w:r>
        <w:rPr>
          <w:rFonts w:ascii="Arial" w:cs="Arial" w:eastAsia="Arial" w:hAnsi="Arial"/>
          <w:sz w:val="16"/>
          <w:szCs w:val="16"/>
          <w:color w:val="auto"/>
        </w:rPr>
        <w:t>The Board currently consists of seven directors. The Company’s Certificate of Incorporation divides our directors into three classes. One class is elected at each annual stockholders meeting, to hold office for a three-year term. Current Class III directors, Mr. Steven M. Sterin and Mr. Roy A. Franklin, if re-elected, will serve a three-year term until the 2025 annual stockholders meeting. Ms. Lisa Davis, a current Class III director, has chosen not to stand for re-election.</w:t>
      </w:r>
    </w:p>
    <w:p>
      <w:pPr>
        <w:spacing w:after="0" w:line="71" w:lineRule="exact"/>
        <w:rPr>
          <w:sz w:val="20"/>
          <w:szCs w:val="20"/>
          <w:color w:val="auto"/>
        </w:rPr>
      </w:pPr>
    </w:p>
    <w:p>
      <w:pPr>
        <w:ind w:left="320" w:right="419"/>
        <w:spacing w:after="0" w:line="254" w:lineRule="auto"/>
        <w:rPr>
          <w:sz w:val="20"/>
          <w:szCs w:val="20"/>
          <w:color w:val="auto"/>
        </w:rPr>
      </w:pPr>
      <w:r>
        <w:rPr>
          <w:rFonts w:ascii="Arial" w:cs="Arial" w:eastAsia="Arial" w:hAnsi="Arial"/>
          <w:sz w:val="16"/>
          <w:szCs w:val="16"/>
          <w:color w:val="auto"/>
        </w:rPr>
        <w:t>Our Bylaws provide that our Board shall consist of not less than five and not more than 15 directors, as determined by the Board. Our stockholders do not have cumulative voting rights and, accordingly, the holders of a majority of the votes cast at the annual stockholders meeting, at which a quorum is present, can elect each of the directors then standing for election. Stockholders are not entitled to cumulate votes in the election of directors and may not vote for a greater number of persons than the number of nominees named.</w:t>
      </w:r>
    </w:p>
    <w:p>
      <w:pPr>
        <w:spacing w:after="0" w:line="71" w:lineRule="exact"/>
        <w:rPr>
          <w:sz w:val="20"/>
          <w:szCs w:val="20"/>
          <w:color w:val="auto"/>
        </w:rPr>
      </w:pPr>
    </w:p>
    <w:p>
      <w:pPr>
        <w:ind w:left="320" w:right="399"/>
        <w:spacing w:after="0" w:line="254" w:lineRule="auto"/>
        <w:rPr>
          <w:sz w:val="20"/>
          <w:szCs w:val="20"/>
          <w:color w:val="auto"/>
        </w:rPr>
      </w:pPr>
      <w:r>
        <w:rPr>
          <w:rFonts w:ascii="Arial" w:cs="Arial" w:eastAsia="Arial" w:hAnsi="Arial"/>
          <w:sz w:val="16"/>
          <w:szCs w:val="16"/>
          <w:color w:val="auto"/>
        </w:rPr>
        <w:t>We are soliciting proxies in favor of the election of each of the director nominees identified below. We intend that all properly executed proxies will be voted for these nominees unless otherwise specified. All nominees have consented to serve as directors, if elected. If any nominee is unwilling to serve as a director at the time of the annual stockholders meeting, the persons who are designated as proxies intend to vote, in their discretion, for such other persons, if any, as may be designated by the Board.</w:t>
      </w:r>
    </w:p>
    <w:p>
      <w:pPr>
        <w:spacing w:after="0" w:line="71" w:lineRule="exact"/>
        <w:rPr>
          <w:sz w:val="20"/>
          <w:szCs w:val="20"/>
          <w:color w:val="auto"/>
        </w:rPr>
      </w:pPr>
    </w:p>
    <w:p>
      <w:pPr>
        <w:ind w:left="320" w:right="399"/>
        <w:spacing w:after="0" w:line="252" w:lineRule="auto"/>
        <w:rPr>
          <w:sz w:val="20"/>
          <w:szCs w:val="20"/>
          <w:color w:val="auto"/>
        </w:rPr>
      </w:pPr>
      <w:r>
        <w:rPr>
          <w:rFonts w:ascii="Arial" w:cs="Arial" w:eastAsia="Arial" w:hAnsi="Arial"/>
          <w:sz w:val="16"/>
          <w:szCs w:val="16"/>
          <w:color w:val="auto"/>
        </w:rPr>
        <w:t>As of the date of this Proxy Statement, the Board has no reason to believe that any of the persons named below will be unable or unwilling to stand as a nominee or serve as a director, if elected. The Board believes that each nominee has valuable individual skills and experiences that, taken together, provide us with the knowledge, judgment and strategic vision necessary to provide effective oversight of the Company. The biographies below reflect the particular experience, qualifications, attributes and skills that led the Board to conclude that each nominee should serve on the Board. Ages are correct as of the date of this Proxy Statement.</w:t>
      </w:r>
    </w:p>
    <w:p>
      <w:pPr>
        <w:spacing w:after="0" w:line="78" w:lineRule="exact"/>
        <w:rPr>
          <w:sz w:val="20"/>
          <w:szCs w:val="20"/>
          <w:color w:val="auto"/>
        </w:rPr>
      </w:pPr>
    </w:p>
    <w:p>
      <w:pPr>
        <w:ind w:left="648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121285</wp:posOffset>
            </wp:positionV>
            <wp:extent cx="693801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-158750</wp:posOffset>
            </wp:positionV>
            <wp:extent cx="594995" cy="170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Class III Director Nominees</w:t>
      </w:r>
    </w:p>
    <w:p>
      <w:pPr>
        <w:spacing w:after="0" w:line="196"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2A3D6C"/>
        </w:rPr>
        <w:t>Steven M. Sterin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-47625</wp:posOffset>
            </wp:positionV>
            <wp:extent cx="5220335" cy="10204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20335" cy="1020445"/>
                    </a:xfrm>
                    <a:prstGeom prst="rect">
                      <a:avLst/>
                    </a:prstGeom>
                    <a:noFill/>
                  </pic:spPr>
                </pic:pic>
              </a:graphicData>
            </a:graphic>
          </wp:anchor>
        </w:drawing>
      </w:r>
    </w:p>
    <w:p>
      <w:pPr>
        <w:spacing w:after="0" w:line="77"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Current Class III Director</w:t>
      </w:r>
    </w:p>
    <w:p>
      <w:pPr>
        <w:spacing w:after="0" w:line="19"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50</w:t>
      </w:r>
    </w:p>
    <w:p>
      <w:pPr>
        <w:spacing w:after="0" w:line="3"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tbl>
      <w:tblPr>
        <w:tblLayout w:type="fixed"/>
        <w:tblInd w:w="320" w:type="dxa"/>
        <w:tblCellMar>
          <w:top w:w="0" w:type="dxa"/>
          <w:left w:w="0" w:type="dxa"/>
          <w:bottom w:w="0" w:type="dxa"/>
          <w:right w:w="0" w:type="dxa"/>
        </w:tblCellMar>
      </w:tblPr>
      <w:tr>
        <w:trPr>
          <w:trHeight w:val="175"/>
        </w:trPr>
        <w:tc>
          <w:tcPr>
            <w:tcW w:w="840" w:type="dxa"/>
            <w:vAlign w:val="bottom"/>
          </w:tcPr>
          <w:p>
            <w:pPr>
              <w:spacing w:after="0"/>
              <w:rPr>
                <w:sz w:val="15"/>
                <w:szCs w:val="15"/>
                <w:color w:val="auto"/>
              </w:rPr>
            </w:pPr>
          </w:p>
        </w:tc>
        <w:tc>
          <w:tcPr>
            <w:tcW w:w="5520" w:type="dxa"/>
            <w:vAlign w:val="bottom"/>
            <w:gridSpan w:val="3"/>
          </w:tcPr>
          <w:p>
            <w:pPr>
              <w:ind w:left="780"/>
              <w:spacing w:after="0" w:line="175" w:lineRule="exact"/>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6"/>
                <w:szCs w:val="16"/>
                <w:b w:val="1"/>
                <w:bCs w:val="1"/>
                <w:color w:val="auto"/>
              </w:rPr>
              <w:t>Committees:</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1100" w:type="dxa"/>
            <w:vAlign w:val="bottom"/>
          </w:tcPr>
          <w:p>
            <w:pPr>
              <w:ind w:left="980"/>
              <w:spacing w:after="0"/>
              <w:rPr>
                <w:sz w:val="20"/>
                <w:szCs w:val="20"/>
                <w:color w:val="auto"/>
              </w:rPr>
            </w:pPr>
            <w:r>
              <w:rPr>
                <w:rFonts w:ascii="Arial" w:cs="Arial" w:eastAsia="Arial" w:hAnsi="Arial"/>
                <w:sz w:val="14"/>
                <w:szCs w:val="14"/>
                <w:color w:val="auto"/>
                <w:w w:val="71"/>
              </w:rPr>
              <w:t> </w:t>
            </w:r>
          </w:p>
        </w:tc>
        <w:tc>
          <w:tcPr>
            <w:tcW w:w="240" w:type="dxa"/>
            <w:vAlign w:val="bottom"/>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w:t>
            </w:r>
          </w:p>
        </w:tc>
        <w:tc>
          <w:tcPr>
            <w:tcW w:w="4180" w:type="dxa"/>
            <w:vAlign w:val="bottom"/>
          </w:tcPr>
          <w:p>
            <w:pPr>
              <w:ind w:left="60"/>
              <w:spacing w:after="0"/>
              <w:rPr>
                <w:sz w:val="20"/>
                <w:szCs w:val="20"/>
                <w:color w:val="auto"/>
              </w:rPr>
            </w:pPr>
            <w:r>
              <w:rPr>
                <w:rFonts w:ascii="Arial" w:cs="Arial" w:eastAsia="Arial" w:hAnsi="Arial"/>
                <w:sz w:val="16"/>
                <w:szCs w:val="16"/>
                <w:color w:val="auto"/>
              </w:rPr>
              <w:t>Audit Committee (Chair)</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1100" w:type="dxa"/>
            <w:vAlign w:val="bottom"/>
          </w:tcPr>
          <w:p>
            <w:pPr>
              <w:ind w:left="980"/>
              <w:spacing w:after="0"/>
              <w:rPr>
                <w:sz w:val="20"/>
                <w:szCs w:val="20"/>
                <w:color w:val="auto"/>
              </w:rPr>
            </w:pPr>
            <w:r>
              <w:rPr>
                <w:rFonts w:ascii="Arial" w:cs="Arial" w:eastAsia="Arial" w:hAnsi="Arial"/>
                <w:sz w:val="14"/>
                <w:szCs w:val="14"/>
                <w:color w:val="auto"/>
                <w:w w:val="71"/>
              </w:rPr>
              <w:t> </w:t>
            </w:r>
          </w:p>
        </w:tc>
        <w:tc>
          <w:tcPr>
            <w:tcW w:w="240" w:type="dxa"/>
            <w:vAlign w:val="bottom"/>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w:t>
            </w:r>
          </w:p>
        </w:tc>
        <w:tc>
          <w:tcPr>
            <w:tcW w:w="4180" w:type="dxa"/>
            <w:vAlign w:val="bottom"/>
          </w:tcPr>
          <w:p>
            <w:pPr>
              <w:ind w:left="60"/>
              <w:spacing w:after="0"/>
              <w:rPr>
                <w:sz w:val="20"/>
                <w:szCs w:val="20"/>
                <w:color w:val="auto"/>
              </w:rPr>
            </w:pPr>
            <w:r>
              <w:rPr>
                <w:rFonts w:ascii="Arial" w:cs="Arial" w:eastAsia="Arial" w:hAnsi="Arial"/>
                <w:sz w:val="16"/>
                <w:szCs w:val="16"/>
                <w:color w:val="auto"/>
              </w:rPr>
              <w:t>Compensation Committee</w:t>
            </w: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1100" w:type="dxa"/>
            <w:vAlign w:val="bottom"/>
          </w:tcPr>
          <w:p>
            <w:pPr>
              <w:ind w:left="980"/>
              <w:spacing w:after="0"/>
              <w:rPr>
                <w:sz w:val="20"/>
                <w:szCs w:val="20"/>
                <w:color w:val="auto"/>
              </w:rPr>
            </w:pPr>
            <w:r>
              <w:rPr>
                <w:rFonts w:ascii="Arial" w:cs="Arial" w:eastAsia="Arial" w:hAnsi="Arial"/>
                <w:sz w:val="14"/>
                <w:szCs w:val="14"/>
                <w:color w:val="auto"/>
                <w:w w:val="71"/>
              </w:rPr>
              <w:t> </w:t>
            </w:r>
          </w:p>
        </w:tc>
        <w:tc>
          <w:tcPr>
            <w:tcW w:w="4420" w:type="dxa"/>
            <w:vAlign w:val="bottom"/>
            <w:gridSpan w:val="2"/>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Health, Safety, Environment and Sustainability Committee</w:t>
            </w:r>
          </w:p>
        </w:tc>
        <w:tc>
          <w:tcPr>
            <w:tcW w:w="0" w:type="dxa"/>
            <w:vAlign w:val="bottom"/>
          </w:tcPr>
          <w:p>
            <w:pPr>
              <w:spacing w:after="0"/>
              <w:rPr>
                <w:sz w:val="1"/>
                <w:szCs w:val="1"/>
                <w:color w:val="auto"/>
              </w:rPr>
            </w:pPr>
          </w:p>
        </w:tc>
      </w:tr>
      <w:tr>
        <w:trPr>
          <w:trHeight w:val="162"/>
        </w:trPr>
        <w:tc>
          <w:tcPr>
            <w:tcW w:w="840" w:type="dxa"/>
            <w:vAlign w:val="bottom"/>
            <w:vMerge w:val="restart"/>
          </w:tcPr>
          <w:p>
            <w:pPr>
              <w:spacing w:after="0"/>
              <w:rPr>
                <w:sz w:val="20"/>
                <w:szCs w:val="20"/>
                <w:color w:val="auto"/>
              </w:rPr>
            </w:pPr>
            <w:r>
              <w:rPr>
                <w:rFonts w:ascii="Arial" w:cs="Arial" w:eastAsia="Arial" w:hAnsi="Arial"/>
                <w:sz w:val="16"/>
                <w:szCs w:val="16"/>
                <w:color w:val="auto"/>
              </w:rPr>
              <w:t> </w:t>
            </w:r>
          </w:p>
        </w:tc>
        <w:tc>
          <w:tcPr>
            <w:tcW w:w="5520" w:type="dxa"/>
            <w:vAlign w:val="bottom"/>
            <w:gridSpan w:val="3"/>
          </w:tcPr>
          <w:p>
            <w:pPr>
              <w:ind w:left="980"/>
              <w:spacing w:after="0" w:line="162" w:lineRule="exact"/>
              <w:rPr>
                <w:sz w:val="20"/>
                <w:szCs w:val="20"/>
                <w:color w:val="auto"/>
              </w:rPr>
            </w:pPr>
            <w:r>
              <w:rPr>
                <w:rFonts w:ascii="Arial" w:cs="Arial" w:eastAsia="Arial" w:hAnsi="Arial"/>
                <w:sz w:val="16"/>
                <w:szCs w:val="16"/>
                <w:b w:val="1"/>
                <w:bCs w:val="1"/>
                <w:color w:val="auto"/>
              </w:rPr>
              <w:t>Other current public directorships:</w:t>
            </w:r>
          </w:p>
        </w:tc>
        <w:tc>
          <w:tcPr>
            <w:tcW w:w="0" w:type="dxa"/>
            <w:vAlign w:val="bottom"/>
          </w:tcPr>
          <w:p>
            <w:pPr>
              <w:spacing w:after="0"/>
              <w:rPr>
                <w:sz w:val="1"/>
                <w:szCs w:val="1"/>
                <w:color w:val="auto"/>
              </w:rPr>
            </w:pPr>
          </w:p>
        </w:tc>
      </w:tr>
      <w:tr>
        <w:trPr>
          <w:trHeight w:val="119"/>
        </w:trPr>
        <w:tc>
          <w:tcPr>
            <w:tcW w:w="840" w:type="dxa"/>
            <w:vAlign w:val="bottom"/>
            <w:vMerge w:val="continue"/>
          </w:tcPr>
          <w:p>
            <w:pPr>
              <w:spacing w:after="0"/>
              <w:rPr>
                <w:sz w:val="10"/>
                <w:szCs w:val="10"/>
                <w:color w:val="auto"/>
              </w:rPr>
            </w:pPr>
          </w:p>
        </w:tc>
        <w:tc>
          <w:tcPr>
            <w:tcW w:w="1100" w:type="dxa"/>
            <w:vAlign w:val="bottom"/>
            <w:vMerge w:val="restart"/>
          </w:tcPr>
          <w:p>
            <w:pPr>
              <w:ind w:left="980"/>
              <w:spacing w:after="0"/>
              <w:rPr>
                <w:sz w:val="20"/>
                <w:szCs w:val="20"/>
                <w:color w:val="auto"/>
              </w:rPr>
            </w:pPr>
            <w:r>
              <w:rPr>
                <w:rFonts w:ascii="Arial" w:cs="Arial" w:eastAsia="Arial" w:hAnsi="Arial"/>
                <w:sz w:val="14"/>
                <w:szCs w:val="14"/>
                <w:color w:val="auto"/>
                <w:w w:val="71"/>
              </w:rPr>
              <w:t> </w:t>
            </w:r>
          </w:p>
        </w:tc>
        <w:tc>
          <w:tcPr>
            <w:tcW w:w="4420" w:type="dxa"/>
            <w:vAlign w:val="bottom"/>
            <w:gridSpan w:val="2"/>
            <w:vMerge w:val="restart"/>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DuPont de Nemours, Inc.</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4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320" w:right="999"/>
        <w:spacing w:after="0" w:line="254" w:lineRule="auto"/>
        <w:rPr>
          <w:sz w:val="20"/>
          <w:szCs w:val="20"/>
          <w:color w:val="auto"/>
        </w:rPr>
      </w:pPr>
      <w:r>
        <w:rPr>
          <w:rFonts w:ascii="Arial" w:cs="Arial" w:eastAsia="Arial" w:hAnsi="Arial"/>
          <w:sz w:val="16"/>
          <w:szCs w:val="16"/>
          <w:color w:val="auto"/>
        </w:rPr>
        <w:t>Mr. Sterin currently serves on the Board of Directors of DuPont de Nemours, Inc. and is the Chair of its Audit Committee and a member of its Sustainability, Public Policy, Environment and Health and Safety Committee.</w:t>
      </w:r>
    </w:p>
    <w:p>
      <w:pPr>
        <w:spacing w:after="0" w:line="1" w:lineRule="exact"/>
        <w:rPr>
          <w:sz w:val="20"/>
          <w:szCs w:val="20"/>
          <w:color w:val="auto"/>
        </w:rPr>
      </w:pPr>
    </w:p>
    <w:p>
      <w:pPr>
        <w:ind w:left="320" w:right="379"/>
        <w:spacing w:after="0" w:line="245" w:lineRule="auto"/>
        <w:rPr>
          <w:sz w:val="20"/>
          <w:szCs w:val="20"/>
          <w:color w:val="auto"/>
        </w:rPr>
      </w:pPr>
      <w:r>
        <w:rPr>
          <w:rFonts w:ascii="Arial" w:cs="Arial" w:eastAsia="Arial" w:hAnsi="Arial"/>
          <w:sz w:val="16"/>
          <w:szCs w:val="16"/>
          <w:color w:val="auto"/>
        </w:rPr>
        <w:t>Mr. Sterin is currently Co-Founder &amp; President of G&amp;S Energy Holdings, LLC. G&amp;S Energy is an independent energy company focused on the acquisition, safe operation and optimization of downstream and renewable energy assets in the U.S. He previously served as a Senior External Advisor to McKinsey &amp; Company from June 2019 until August 2021. Mr. Sterin was most recently an Executive Vice President and the Chief Financial Officer of Andeavor &amp; Andeavor Logistics from 2014 until the merger with Marathon Petroleum Company in October 2018. He served as President of Andeavor Logistics from 2017 to October 2018 and was a member of the Board of Directors for Andeavor Logistics GP, LLC from 2014 to 2018. Mr. Sterin was also responsible for Corporate Strategy &amp; Business Development for both companies from 2016 to 2017. From 2007 to 2014, Mr. Sterin was the Senior Vice President and Chief Financial Officer for Celanese Corporation, a global technology and specialty material company. During his eleven years with Celanese, he served as Corporate Controller and Principal Accounting Officer as well as held other financial and business leadership roles. Prior to his tenure at Celanese, Mr. Sterin spent six years with Reichhold, Inc., a global chemical company, in a variety of financial positions, including Director of Tax and Treasury in the Netherlands, Global Treasurer and Vice President of Finance. Mr. Sterin’s career started with Price Waterhouse Coopers. Mr. Sterin holds a Master’s degree in Professional Accounting and a Bachelor’s degree in Business Administration and Accounting, which he earned concurrently at the University of Texas at Austin. He is a Certified Public Accountant in Texas. For these reasons, we believe he is well qualified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-4445</wp:posOffset>
            </wp:positionV>
            <wp:extent cx="53054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05425" cy="8255"/>
                    </a:xfrm>
                    <a:prstGeom prst="rect">
                      <a:avLst/>
                    </a:prstGeom>
                    <a:noFill/>
                  </pic:spPr>
                </pic:pic>
              </a:graphicData>
            </a:graphic>
          </wp:anchor>
        </w:drawing>
      </w:r>
    </w:p>
    <w:p>
      <w:pPr>
        <w:spacing w:after="0" w:line="99"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820" w:type="dxa"/>
            <w:vAlign w:val="bottom"/>
            <w:vMerge w:val="restart"/>
          </w:tcPr>
          <w:p>
            <w:pPr>
              <w:spacing w:after="0"/>
              <w:rPr>
                <w:sz w:val="20"/>
                <w:szCs w:val="20"/>
                <w:color w:val="auto"/>
              </w:rPr>
            </w:pPr>
            <w:r>
              <w:rPr>
                <w:rFonts w:ascii="Arial" w:cs="Arial" w:eastAsia="Arial" w:hAnsi="Arial"/>
                <w:sz w:val="16"/>
                <w:szCs w:val="16"/>
                <w:b w:val="1"/>
                <w:bCs w:val="1"/>
                <w:color w:val="auto"/>
              </w:rPr>
              <w:t>8</w:t>
            </w:r>
            <w:r>
              <w:rPr>
                <w:rFonts w:ascii="Arial" w:cs="Arial" w:eastAsia="Arial" w:hAnsi="Arial"/>
                <w:sz w:val="24"/>
                <w:szCs w:val="24"/>
                <w:b w:val="1"/>
                <w:bCs w:val="1"/>
                <w:color w:val="2A3D6C"/>
              </w:rPr>
              <w:t xml:space="preserve">  |</w:t>
            </w:r>
          </w:p>
        </w:tc>
        <w:tc>
          <w:tcPr>
            <w:tcW w:w="2380" w:type="dxa"/>
            <w:vAlign w:val="bottom"/>
          </w:tcPr>
          <w:p>
            <w:pPr>
              <w:ind w:left="54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80"/>
        </w:trPr>
        <w:tc>
          <w:tcPr>
            <w:tcW w:w="820" w:type="dxa"/>
            <w:vAlign w:val="bottom"/>
            <w:vMerge w:val="continue"/>
          </w:tcPr>
          <w:p>
            <w:pPr>
              <w:spacing w:after="0"/>
              <w:rPr>
                <w:sz w:val="24"/>
                <w:szCs w:val="24"/>
                <w:color w:val="auto"/>
              </w:rPr>
            </w:pPr>
          </w:p>
        </w:tc>
        <w:tc>
          <w:tcPr>
            <w:tcW w:w="2380" w:type="dxa"/>
            <w:vAlign w:val="bottom"/>
          </w:tcPr>
          <w:p>
            <w:pPr>
              <w:ind w:left="720"/>
              <w:spacing w:after="0"/>
              <w:rPr>
                <w:sz w:val="20"/>
                <w:szCs w:val="20"/>
                <w:color w:val="auto"/>
              </w:rPr>
            </w:pPr>
            <w:r>
              <w:rPr>
                <w:rFonts w:ascii="Arial" w:cs="Arial" w:eastAsia="Arial" w:hAnsi="Arial"/>
                <w:sz w:val="16"/>
                <w:szCs w:val="16"/>
                <w:color w:val="auto"/>
                <w:w w:val="96"/>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-185420</wp:posOffset>
            </wp:positionV>
            <wp:extent cx="594995" cy="170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3" w:name="page14"/>
    <w:bookmarkEnd w:id="13"/>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right"/>
        <w:ind w:right="1300"/>
        <w:spacing w:after="0"/>
        <w:rPr>
          <w:sz w:val="20"/>
          <w:szCs w:val="20"/>
          <w:color w:val="auto"/>
        </w:rPr>
      </w:pPr>
      <w:r>
        <w:rPr>
          <w:rFonts w:ascii="Arial" w:cs="Arial" w:eastAsia="Arial" w:hAnsi="Arial"/>
          <w:sz w:val="18"/>
          <w:szCs w:val="18"/>
          <w:b w:val="1"/>
          <w:bCs w:val="1"/>
          <w:color w:val="2A3D6C"/>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50800</wp:posOffset>
            </wp:positionV>
            <wp:extent cx="53054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60"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2A3D6C"/>
        </w:rPr>
        <w:t>Roy A.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-47625</wp:posOffset>
            </wp:positionV>
            <wp:extent cx="5271135" cy="10204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71135" cy="1020445"/>
                    </a:xfrm>
                    <a:prstGeom prst="rect">
                      <a:avLst/>
                    </a:prstGeom>
                    <a:noFill/>
                  </pic:spPr>
                </pic:pic>
              </a:graphicData>
            </a:graphic>
          </wp:anchor>
        </w:drawing>
      </w:r>
    </w:p>
    <w:p>
      <w:pPr>
        <w:spacing w:after="0" w:line="64"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Current Class III Director</w:t>
      </w:r>
    </w:p>
    <w:p>
      <w:pPr>
        <w:spacing w:after="0" w:line="19"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27" w:lineRule="exact"/>
        <w:rPr>
          <w:sz w:val="20"/>
          <w:szCs w:val="20"/>
          <w:color w:val="auto"/>
        </w:rPr>
      </w:pPr>
    </w:p>
    <w:p>
      <w:pPr>
        <w:ind w:left="2900"/>
        <w:spacing w:after="0"/>
        <w:tabs>
          <w:tab w:leader="none" w:pos="2980" w:val="left"/>
          <w:tab w:leader="none" w:pos="30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6"/>
          <w:szCs w:val="16"/>
          <w:b w:val="1"/>
          <w:bCs w:val="1"/>
          <w:color w:val="auto"/>
        </w:rPr>
        <w:t>Committees:</w:t>
      </w:r>
    </w:p>
    <w:p>
      <w:pPr>
        <w:spacing w:after="0" w:line="6" w:lineRule="exact"/>
        <w:rPr>
          <w:sz w:val="20"/>
          <w:szCs w:val="20"/>
          <w:color w:val="auto"/>
        </w:rPr>
      </w:pPr>
    </w:p>
    <w:p>
      <w:pPr>
        <w:ind w:left="3260" w:hanging="153"/>
        <w:spacing w:after="0"/>
        <w:tabs>
          <w:tab w:leader="none" w:pos="3260" w:val="left"/>
        </w:tabs>
        <w:numPr>
          <w:ilvl w:val="0"/>
          <w:numId w:val="13"/>
        </w:numPr>
        <w:rPr>
          <w:rFonts w:ascii="Arial" w:cs="Arial" w:eastAsia="Arial" w:hAnsi="Arial"/>
          <w:sz w:val="15"/>
          <w:szCs w:val="15"/>
          <w:color w:val="auto"/>
        </w:rPr>
      </w:pPr>
      <w:r>
        <w:rPr>
          <w:rFonts w:ascii="Arial" w:cs="Arial" w:eastAsia="Arial" w:hAnsi="Arial"/>
          <w:sz w:val="15"/>
          <w:szCs w:val="15"/>
          <w:color w:val="2A3D6C"/>
        </w:rPr>
        <w:t>■</w:t>
      </w:r>
      <w:r>
        <w:rPr>
          <w:rFonts w:ascii="Arial" w:cs="Arial" w:eastAsia="Arial" w:hAnsi="Arial"/>
          <w:sz w:val="15"/>
          <w:szCs w:val="15"/>
          <w:color w:val="000000"/>
        </w:rPr>
        <w:t xml:space="preserve">  Audit Committee</w:t>
      </w:r>
    </w:p>
    <w:p>
      <w:pPr>
        <w:spacing w:after="0" w:line="28" w:lineRule="exact"/>
        <w:rPr>
          <w:rFonts w:ascii="Arial" w:cs="Arial" w:eastAsia="Arial" w:hAnsi="Arial"/>
          <w:sz w:val="15"/>
          <w:szCs w:val="15"/>
          <w:color w:val="auto"/>
        </w:rPr>
      </w:pPr>
    </w:p>
    <w:p>
      <w:pPr>
        <w:ind w:left="3260" w:hanging="153"/>
        <w:spacing w:after="0"/>
        <w:tabs>
          <w:tab w:leader="none" w:pos="3260" w:val="left"/>
        </w:tabs>
        <w:numPr>
          <w:ilvl w:val="0"/>
          <w:numId w:val="13"/>
        </w:numPr>
        <w:rPr>
          <w:rFonts w:ascii="Arial" w:cs="Arial" w:eastAsia="Arial" w:hAnsi="Arial"/>
          <w:sz w:val="15"/>
          <w:szCs w:val="15"/>
          <w:color w:val="auto"/>
        </w:rPr>
      </w:pPr>
      <w:r>
        <w:rPr>
          <w:rFonts w:ascii="Arial" w:cs="Arial" w:eastAsia="Arial" w:hAnsi="Arial"/>
          <w:sz w:val="15"/>
          <w:szCs w:val="15"/>
          <w:color w:val="2A3D6C"/>
        </w:rPr>
        <w:t>■</w:t>
      </w:r>
      <w:r>
        <w:rPr>
          <w:rFonts w:ascii="Arial" w:cs="Arial" w:eastAsia="Arial" w:hAnsi="Arial"/>
          <w:sz w:val="15"/>
          <w:szCs w:val="15"/>
          <w:color w:val="000000"/>
        </w:rPr>
        <w:t xml:space="preserve">   Nominating and Corporate Governance Committee</w:t>
      </w:r>
    </w:p>
    <w:p>
      <w:pPr>
        <w:spacing w:after="0" w:line="14" w:lineRule="exact"/>
        <w:rPr>
          <w:rFonts w:ascii="Arial" w:cs="Arial" w:eastAsia="Arial" w:hAnsi="Arial"/>
          <w:sz w:val="15"/>
          <w:szCs w:val="15"/>
          <w:color w:val="auto"/>
        </w:rPr>
      </w:pPr>
    </w:p>
    <w:p>
      <w:pPr>
        <w:ind w:left="3100"/>
        <w:spacing w:after="0" w:line="227" w:lineRule="auto"/>
        <w:rPr>
          <w:rFonts w:ascii="Arial" w:cs="Arial" w:eastAsia="Arial" w:hAnsi="Arial"/>
          <w:sz w:val="15"/>
          <w:szCs w:val="15"/>
          <w:color w:val="auto"/>
        </w:rPr>
      </w:pPr>
      <w:r>
        <w:rPr>
          <w:rFonts w:ascii="Arial" w:cs="Arial" w:eastAsia="Arial" w:hAnsi="Arial"/>
          <w:sz w:val="16"/>
          <w:szCs w:val="16"/>
          <w:b w:val="1"/>
          <w:bCs w:val="1"/>
          <w:color w:val="auto"/>
        </w:rPr>
        <w:t>Other current public directorships:</w:t>
      </w:r>
    </w:p>
    <w:tbl>
      <w:tblPr>
        <w:tblLayout w:type="fixed"/>
        <w:tblInd w:w="1280" w:type="dxa"/>
        <w:tblCellMar>
          <w:top w:w="0" w:type="dxa"/>
          <w:left w:w="0" w:type="dxa"/>
          <w:bottom w:w="0" w:type="dxa"/>
          <w:right w:w="0" w:type="dxa"/>
        </w:tblCellMar>
      </w:tblPr>
      <w:tr>
        <w:trPr>
          <w:trHeight w:val="171"/>
        </w:trPr>
        <w:tc>
          <w:tcPr>
            <w:tcW w:w="940" w:type="dxa"/>
            <w:vAlign w:val="bottom"/>
            <w:vMerge w:val="restart"/>
          </w:tcPr>
          <w:p>
            <w:pPr>
              <w:spacing w:after="0"/>
              <w:rPr>
                <w:sz w:val="20"/>
                <w:szCs w:val="20"/>
                <w:color w:val="auto"/>
              </w:rPr>
            </w:pPr>
            <w:r>
              <w:rPr>
                <w:rFonts w:ascii="Arial" w:cs="Arial" w:eastAsia="Arial" w:hAnsi="Arial"/>
                <w:sz w:val="16"/>
                <w:szCs w:val="16"/>
                <w:color w:val="auto"/>
              </w:rPr>
              <w:t> </w:t>
            </w:r>
          </w:p>
        </w:tc>
        <w:tc>
          <w:tcPr>
            <w:tcW w:w="1000" w:type="dxa"/>
            <w:vAlign w:val="bottom"/>
          </w:tcPr>
          <w:p>
            <w:pPr>
              <w:ind w:left="880"/>
              <w:spacing w:after="0"/>
              <w:rPr>
                <w:sz w:val="20"/>
                <w:szCs w:val="20"/>
                <w:color w:val="auto"/>
              </w:rPr>
            </w:pPr>
            <w:r>
              <w:rPr>
                <w:rFonts w:ascii="Arial" w:cs="Arial" w:eastAsia="Arial" w:hAnsi="Arial"/>
                <w:sz w:val="14"/>
                <w:szCs w:val="14"/>
                <w:color w:val="auto"/>
                <w:w w:val="71"/>
              </w:rPr>
              <w:t> </w:t>
            </w:r>
          </w:p>
        </w:tc>
        <w:tc>
          <w:tcPr>
            <w:tcW w:w="240" w:type="dxa"/>
            <w:vAlign w:val="bottom"/>
          </w:tcPr>
          <w:p>
            <w:pPr>
              <w:ind w:left="40"/>
              <w:spacing w:after="0" w:line="171" w:lineRule="exact"/>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w:t>
            </w:r>
          </w:p>
        </w:tc>
        <w:tc>
          <w:tcPr>
            <w:tcW w:w="1720" w:type="dxa"/>
            <w:vAlign w:val="bottom"/>
          </w:tcPr>
          <w:p>
            <w:pPr>
              <w:ind w:left="60"/>
              <w:spacing w:after="0" w:line="171" w:lineRule="exact"/>
              <w:rPr>
                <w:sz w:val="20"/>
                <w:szCs w:val="20"/>
                <w:color w:val="auto"/>
              </w:rPr>
            </w:pPr>
            <w:r>
              <w:rPr>
                <w:rFonts w:ascii="Arial" w:cs="Arial" w:eastAsia="Arial" w:hAnsi="Arial"/>
                <w:sz w:val="16"/>
                <w:szCs w:val="16"/>
                <w:color w:val="auto"/>
                <w:w w:val="99"/>
              </w:rPr>
              <w:t>John Wood Group PLC</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1000" w:type="dxa"/>
            <w:vAlign w:val="bottom"/>
            <w:vMerge w:val="restart"/>
          </w:tcPr>
          <w:p>
            <w:pPr>
              <w:ind w:left="880"/>
              <w:spacing w:after="0"/>
              <w:rPr>
                <w:sz w:val="20"/>
                <w:szCs w:val="20"/>
                <w:color w:val="auto"/>
              </w:rPr>
            </w:pPr>
            <w:r>
              <w:rPr>
                <w:rFonts w:ascii="Arial" w:cs="Arial" w:eastAsia="Arial" w:hAnsi="Arial"/>
                <w:sz w:val="14"/>
                <w:szCs w:val="14"/>
                <w:color w:val="auto"/>
                <w:w w:val="71"/>
              </w:rPr>
              <w:t> </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w:t>
            </w:r>
          </w:p>
        </w:tc>
        <w:tc>
          <w:tcPr>
            <w:tcW w:w="1720" w:type="dxa"/>
            <w:vAlign w:val="bottom"/>
            <w:vMerge w:val="restart"/>
          </w:tcPr>
          <w:p>
            <w:pPr>
              <w:ind w:left="60"/>
              <w:spacing w:after="0"/>
              <w:rPr>
                <w:sz w:val="20"/>
                <w:szCs w:val="20"/>
                <w:color w:val="auto"/>
              </w:rPr>
            </w:pPr>
            <w:r>
              <w:rPr>
                <w:rFonts w:ascii="Arial" w:cs="Arial" w:eastAsia="Arial" w:hAnsi="Arial"/>
                <w:sz w:val="16"/>
                <w:szCs w:val="16"/>
                <w:color w:val="auto"/>
              </w:rPr>
              <w:t>Energean plc</w:t>
            </w: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280" w:right="1380"/>
        <w:spacing w:after="0" w:line="234" w:lineRule="auto"/>
        <w:rPr>
          <w:sz w:val="20"/>
          <w:szCs w:val="20"/>
          <w:color w:val="auto"/>
        </w:rPr>
      </w:pPr>
      <w:r>
        <w:rPr>
          <w:rFonts w:ascii="Arial" w:cs="Arial" w:eastAsia="Arial" w:hAnsi="Arial"/>
          <w:sz w:val="16"/>
          <w:szCs w:val="16"/>
          <w:color w:val="auto"/>
        </w:rPr>
        <w:t>Mr. Franklin currently serves as Chairman of the international energy services group, John Wood Group PLC (“Wood”). In Mr. Franklin’s current role at Wood, he has overseen the company’s strategic positioning for the energy transition, broadening the company’s core activities from oilfield services to sustainable energy infrastructure, delivering solutions for a net-zero future. Wood is recognized as a sector leader in ESG matters with an AA rating from MSCI and Mr. Franklin’s experience in this area will be invaluable to Kosmos as it continues to navigate the energy transition. Mr. Franklin is also on the Board of Directors of Energean plc and he serves on its Nomination and Governance Committee and its Environment, Sustainability and Social Responsibility Committee. He was previously the Chairman of Premier Oil plc, a UK-based independent oil and gas exploration company, from 2017 until its acquisition in 2021, the Chairman of privately-held Energean Israel Ltd from 2017 to 2021, and the Deputy Chairman of Equinor A/S from 2015 until 2019. In addition to those listed above, he has served on the boards of a number of other international companies in non-executive roles, including Statoil A/S from 2007 until 2013, Santos Ltd from 2006 until 2017, Keller Group plc from 2007 until 2016, and Amec Foster Wheeler Plc from 2016 until 2017 when it was acquired by Wood. Mr. Franklin began his career at BP where he spent 18 years in roles of increasing responsibility. He then joined Clyde Petroleum plc as Group Managing Director and served as CEO of Paladin Resources plc from 1997 until its acquisition by Talisman Energy in 2005. In 2004 he was awarded the Order of the British Empire, and in 2006 the Petroleum Group Medal of the Geological Society of London, both in recognition of his services to the UK oil and gas industry. Mr. Franklin earned his Bachelor of Science in Geology in 1973 from the University of Southampton, UK. For these reasons, we believe he is well qualified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41910</wp:posOffset>
            </wp:positionV>
            <wp:extent cx="53054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0542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280"/>
        <w:spacing w:after="0"/>
        <w:rPr>
          <w:sz w:val="20"/>
          <w:szCs w:val="20"/>
          <w:color w:val="auto"/>
        </w:rPr>
      </w:pPr>
      <w:r>
        <w:rPr>
          <w:rFonts w:ascii="Arial" w:cs="Arial" w:eastAsia="Arial" w:hAnsi="Arial"/>
          <w:sz w:val="23"/>
          <w:szCs w:val="23"/>
          <w:b w:val="1"/>
          <w:bCs w:val="1"/>
          <w:color w:val="595959"/>
        </w:rPr>
        <w:t>Nomination of Directors by Stockholders</w:t>
      </w:r>
    </w:p>
    <w:p>
      <w:pPr>
        <w:spacing w:after="0" w:line="116" w:lineRule="exact"/>
        <w:rPr>
          <w:sz w:val="20"/>
          <w:szCs w:val="20"/>
          <w:color w:val="auto"/>
        </w:rPr>
      </w:pPr>
    </w:p>
    <w:p>
      <w:pPr>
        <w:ind w:left="1280" w:right="1320"/>
        <w:spacing w:after="0" w:line="237" w:lineRule="auto"/>
        <w:rPr>
          <w:sz w:val="20"/>
          <w:szCs w:val="20"/>
          <w:color w:val="auto"/>
        </w:rPr>
      </w:pPr>
      <w:r>
        <w:rPr>
          <w:rFonts w:ascii="Arial" w:cs="Arial" w:eastAsia="Arial" w:hAnsi="Arial"/>
          <w:sz w:val="16"/>
          <w:szCs w:val="16"/>
          <w:color w:val="auto"/>
        </w:rPr>
        <w:t>Our stockholders may nominate directors to the Board by giving timely notice of the nomination in writing to the Secretary of the Company. Such notice must contain specified information about the nomination. Our Bylaws detail the timelines and informational requirements for stockholder nominations in greater detail. At this time, the Board has not established any minimum qualifications or skills for directors, although we generally consider a nominee’s diversity, experience, industry knowledge and background. To ensure we have a diverse group of potential director nominees for consideration, our nominee search includes candidates from both corporate positions beyond the executive suite and from non-corporate environments (e.g., government, academia and non-profit organizations), and includes both male and female candidates. The Nominating and Corporate Governance Committee has adopted a resolution to consider gender diversity as one of the factors in identifying qualified candidates for membership on the Board.</w:t>
      </w:r>
    </w:p>
    <w:p>
      <w:pPr>
        <w:spacing w:after="0" w:line="239" w:lineRule="exact"/>
        <w:rPr>
          <w:sz w:val="20"/>
          <w:szCs w:val="20"/>
          <w:color w:val="auto"/>
        </w:rPr>
      </w:pPr>
    </w:p>
    <w:p>
      <w:pPr>
        <w:ind w:left="1280"/>
        <w:spacing w:after="0"/>
        <w:rPr>
          <w:sz w:val="20"/>
          <w:szCs w:val="20"/>
          <w:color w:val="auto"/>
        </w:rPr>
      </w:pPr>
      <w:r>
        <w:rPr>
          <w:rFonts w:ascii="Arial" w:cs="Arial" w:eastAsia="Arial" w:hAnsi="Arial"/>
          <w:sz w:val="23"/>
          <w:szCs w:val="23"/>
          <w:b w:val="1"/>
          <w:bCs w:val="1"/>
          <w:color w:val="595959"/>
        </w:rPr>
        <w:t>Vote Required</w:t>
      </w:r>
    </w:p>
    <w:p>
      <w:pPr>
        <w:spacing w:after="0" w:line="116" w:lineRule="exact"/>
        <w:rPr>
          <w:sz w:val="20"/>
          <w:szCs w:val="20"/>
          <w:color w:val="auto"/>
        </w:rPr>
      </w:pPr>
    </w:p>
    <w:p>
      <w:pPr>
        <w:ind w:left="1280" w:right="1520"/>
        <w:spacing w:after="0" w:line="245" w:lineRule="auto"/>
        <w:rPr>
          <w:sz w:val="20"/>
          <w:szCs w:val="20"/>
          <w:color w:val="auto"/>
        </w:rPr>
      </w:pPr>
      <w:r>
        <w:rPr>
          <w:rFonts w:ascii="Arial" w:cs="Arial" w:eastAsia="Arial" w:hAnsi="Arial"/>
          <w:sz w:val="16"/>
          <w:szCs w:val="16"/>
          <w:color w:val="auto"/>
        </w:rPr>
        <w:t>Directors will be elected by a majority of the votes cast at the annual stockholders meeting, at which a quorum is present. A properly executed proxy marked “ABSTAIN” with respect to the election of one or more directors will not be voted with respect to the director or directors indicated, although it will be counted for purposes of determining whether a quorum is present.</w:t>
      </w:r>
    </w:p>
    <w:p>
      <w:pPr>
        <w:spacing w:after="0" w:line="234" w:lineRule="exact"/>
        <w:rPr>
          <w:sz w:val="20"/>
          <w:szCs w:val="20"/>
          <w:color w:val="auto"/>
        </w:rPr>
      </w:pPr>
    </w:p>
    <w:p>
      <w:pPr>
        <w:ind w:left="1280"/>
        <w:spacing w:after="0"/>
        <w:rPr>
          <w:sz w:val="20"/>
          <w:szCs w:val="20"/>
          <w:color w:val="auto"/>
        </w:rPr>
      </w:pPr>
      <w:r>
        <w:rPr>
          <w:rFonts w:ascii="Arial" w:cs="Arial" w:eastAsia="Arial" w:hAnsi="Arial"/>
          <w:sz w:val="23"/>
          <w:szCs w:val="23"/>
          <w:b w:val="1"/>
          <w:bCs w:val="1"/>
          <w:color w:val="595959"/>
        </w:rPr>
        <w:t>Recommendation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481"/>
        </w:trPr>
        <w:tc>
          <w:tcPr>
            <w:tcW w:w="1300" w:type="dxa"/>
            <w:vAlign w:val="bottom"/>
          </w:tcPr>
          <w:p>
            <w:pPr>
              <w:spacing w:after="0"/>
              <w:rPr>
                <w:sz w:val="24"/>
                <w:szCs w:val="24"/>
                <w:color w:val="auto"/>
              </w:rPr>
            </w:pPr>
          </w:p>
        </w:tc>
        <w:tc>
          <w:tcPr>
            <w:tcW w:w="60" w:type="dxa"/>
            <w:vAlign w:val="bottom"/>
            <w:tcBorders>
              <w:top w:val="single" w:sz="8" w:color="2A3D6C"/>
            </w:tcBorders>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top w:val="single" w:sz="8" w:color="2A3D6C"/>
            </w:tcBorders>
            <w:shd w:val="clear" w:color="auto" w:fill="2A3D6C"/>
          </w:tcPr>
          <w:p>
            <w:pPr>
              <w:ind w:left="60"/>
              <w:spacing w:after="0"/>
              <w:rPr>
                <w:sz w:val="20"/>
                <w:szCs w:val="20"/>
                <w:color w:val="auto"/>
              </w:rPr>
            </w:pPr>
            <w:r>
              <w:rPr>
                <w:rFonts w:ascii="Arial" w:cs="Arial" w:eastAsia="Arial" w:hAnsi="Arial"/>
                <w:sz w:val="29"/>
                <w:szCs w:val="29"/>
                <w:b w:val="1"/>
                <w:bCs w:val="1"/>
                <w:color w:val="FFFFFF"/>
              </w:rPr>
              <w:t xml:space="preserve">FOR </w:t>
            </w:r>
            <w:r>
              <w:rPr>
                <w:rFonts w:ascii="Times New Roman" w:cs="Times New Roman" w:eastAsia="Times New Roman" w:hAnsi="Times New Roman"/>
                <w:sz w:val="7"/>
                <w:szCs w:val="7"/>
                <w:color w:val="000000"/>
                <w:vertAlign w:val="subscript"/>
              </w:rPr>
              <w:t>​</w:t>
            </w:r>
          </w:p>
        </w:tc>
        <w:tc>
          <w:tcPr>
            <w:tcW w:w="0" w:type="dxa"/>
            <w:vAlign w:val="bottom"/>
            <w:tcBorders>
              <w:top w:val="single" w:sz="8" w:color="2A3D6C"/>
            </w:tcBorders>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7260" w:type="dxa"/>
            <w:vAlign w:val="bottom"/>
            <w:tcBorders>
              <w:top w:val="single" w:sz="8" w:color="2A3D6C"/>
            </w:tcBorders>
          </w:tcPr>
          <w:p>
            <w:pPr>
              <w:ind w:left="100"/>
              <w:spacing w:after="0"/>
              <w:rPr>
                <w:sz w:val="20"/>
                <w:szCs w:val="20"/>
                <w:color w:val="auto"/>
              </w:rPr>
            </w:pPr>
            <w:r>
              <w:rPr>
                <w:rFonts w:ascii="Arial" w:cs="Arial" w:eastAsia="Arial" w:hAnsi="Arial"/>
                <w:sz w:val="18"/>
                <w:szCs w:val="18"/>
                <w:b w:val="1"/>
                <w:bCs w:val="1"/>
                <w:color w:val="auto"/>
                <w:w w:val="99"/>
              </w:rPr>
              <w:t>The Board recommends that stockholders vote “FOR” all the nominees for director.</w:t>
            </w:r>
          </w:p>
        </w:tc>
        <w:tc>
          <w:tcPr>
            <w:tcW w:w="200" w:type="dxa"/>
            <w:vAlign w:val="bottom"/>
            <w:tcBorders>
              <w:top w:val="single" w:sz="8" w:color="2A3D6C"/>
              <w:right w:val="single" w:sz="8" w:color="2A3D6C"/>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tcPr>
          <w:p>
            <w:pPr>
              <w:spacing w:after="0"/>
              <w:rPr>
                <w:sz w:val="24"/>
                <w:szCs w:val="24"/>
                <w:color w:val="auto"/>
              </w:rPr>
            </w:pPr>
          </w:p>
        </w:tc>
      </w:tr>
      <w:tr>
        <w:trPr>
          <w:trHeight w:val="246"/>
        </w:trPr>
        <w:tc>
          <w:tcPr>
            <w:tcW w:w="1300" w:type="dxa"/>
            <w:vAlign w:val="bottom"/>
          </w:tcPr>
          <w:p>
            <w:pPr>
              <w:spacing w:after="0"/>
              <w:rPr>
                <w:sz w:val="21"/>
                <w:szCs w:val="21"/>
                <w:color w:val="auto"/>
              </w:rPr>
            </w:pPr>
          </w:p>
        </w:tc>
        <w:tc>
          <w:tcPr>
            <w:tcW w:w="60" w:type="dxa"/>
            <w:vAlign w:val="bottom"/>
            <w:shd w:val="clear" w:color="auto" w:fill="2A3D6C"/>
          </w:tcPr>
          <w:p>
            <w:pPr>
              <w:spacing w:after="0"/>
              <w:rPr>
                <w:sz w:val="21"/>
                <w:szCs w:val="21"/>
                <w:color w:val="auto"/>
              </w:rPr>
            </w:pPr>
          </w:p>
        </w:tc>
        <w:tc>
          <w:tcPr>
            <w:tcW w:w="840" w:type="dxa"/>
            <w:vAlign w:val="bottom"/>
            <w:shd w:val="clear" w:color="auto" w:fill="2A3D6C"/>
          </w:tcPr>
          <w:p>
            <w:pPr>
              <w:spacing w:after="0"/>
              <w:rPr>
                <w:sz w:val="21"/>
                <w:szCs w:val="21"/>
                <w:color w:val="auto"/>
              </w:rPr>
            </w:pPr>
          </w:p>
        </w:tc>
        <w:tc>
          <w:tcPr>
            <w:tcW w:w="0" w:type="dxa"/>
            <w:vAlign w:val="bottom"/>
            <w:shd w:val="clear" w:color="auto" w:fill="2A3D6C"/>
          </w:tcPr>
          <w:p>
            <w:pPr>
              <w:spacing w:after="0"/>
              <w:rPr>
                <w:sz w:val="21"/>
                <w:szCs w:val="21"/>
                <w:color w:val="auto"/>
              </w:rPr>
            </w:pP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w w:val="99"/>
              </w:rPr>
              <w:t>If not otherwise specified, proxies will be voted “FOR” all the nominees for director.</w:t>
            </w:r>
          </w:p>
        </w:tc>
        <w:tc>
          <w:tcPr>
            <w:tcW w:w="200" w:type="dxa"/>
            <w:vAlign w:val="bottom"/>
            <w:tcBorders>
              <w:right w:val="single" w:sz="8" w:color="2A3D6C"/>
            </w:tcBorders>
          </w:tcPr>
          <w:p>
            <w:pPr>
              <w:spacing w:after="0"/>
              <w:rPr>
                <w:sz w:val="21"/>
                <w:szCs w:val="21"/>
                <w:color w:val="auto"/>
              </w:rPr>
            </w:pPr>
          </w:p>
        </w:tc>
        <w:tc>
          <w:tcPr>
            <w:tcW w:w="1280" w:type="dxa"/>
            <w:vAlign w:val="bottom"/>
          </w:tcPr>
          <w:p>
            <w:pPr>
              <w:spacing w:after="0"/>
              <w:rPr>
                <w:sz w:val="21"/>
                <w:szCs w:val="21"/>
                <w:color w:val="auto"/>
              </w:rPr>
            </w:pPr>
          </w:p>
        </w:tc>
      </w:tr>
      <w:tr>
        <w:trPr>
          <w:trHeight w:val="170"/>
        </w:trPr>
        <w:tc>
          <w:tcPr>
            <w:tcW w:w="1300" w:type="dxa"/>
            <w:vAlign w:val="bottom"/>
          </w:tcPr>
          <w:p>
            <w:pPr>
              <w:spacing w:after="0"/>
              <w:rPr>
                <w:sz w:val="14"/>
                <w:szCs w:val="14"/>
                <w:color w:val="auto"/>
              </w:rPr>
            </w:pPr>
          </w:p>
        </w:tc>
        <w:tc>
          <w:tcPr>
            <w:tcW w:w="60" w:type="dxa"/>
            <w:vAlign w:val="bottom"/>
            <w:tcBorders>
              <w:bottom w:val="single" w:sz="8" w:color="2A3D6C"/>
            </w:tcBorders>
            <w:shd w:val="clear" w:color="auto" w:fill="2A3D6C"/>
          </w:tcPr>
          <w:p>
            <w:pPr>
              <w:spacing w:after="0"/>
              <w:rPr>
                <w:sz w:val="14"/>
                <w:szCs w:val="14"/>
                <w:color w:val="auto"/>
              </w:rPr>
            </w:pPr>
          </w:p>
        </w:tc>
        <w:tc>
          <w:tcPr>
            <w:tcW w:w="840" w:type="dxa"/>
            <w:vAlign w:val="bottom"/>
            <w:tcBorders>
              <w:bottom w:val="single" w:sz="8" w:color="2A3D6C"/>
            </w:tcBorders>
            <w:shd w:val="clear" w:color="auto" w:fill="2A3D6C"/>
          </w:tcPr>
          <w:p>
            <w:pPr>
              <w:spacing w:after="0"/>
              <w:rPr>
                <w:sz w:val="14"/>
                <w:szCs w:val="14"/>
                <w:color w:val="auto"/>
              </w:rPr>
            </w:pPr>
          </w:p>
        </w:tc>
        <w:tc>
          <w:tcPr>
            <w:tcW w:w="0" w:type="dxa"/>
            <w:vAlign w:val="bottom"/>
            <w:tcBorders>
              <w:bottom w:val="single" w:sz="8" w:color="2A3D6C"/>
            </w:tcBorders>
            <w:shd w:val="clear" w:color="auto" w:fill="2A3D6C"/>
          </w:tcPr>
          <w:p>
            <w:pPr>
              <w:spacing w:after="0"/>
              <w:rPr>
                <w:sz w:val="14"/>
                <w:szCs w:val="14"/>
                <w:color w:val="auto"/>
              </w:rPr>
            </w:pPr>
          </w:p>
        </w:tc>
        <w:tc>
          <w:tcPr>
            <w:tcW w:w="7260" w:type="dxa"/>
            <w:vAlign w:val="bottom"/>
            <w:tcBorders>
              <w:bottom w:val="single" w:sz="8" w:color="2A3D6C"/>
            </w:tcBorders>
          </w:tcPr>
          <w:p>
            <w:pPr>
              <w:spacing w:after="0"/>
              <w:rPr>
                <w:sz w:val="14"/>
                <w:szCs w:val="14"/>
                <w:color w:val="auto"/>
              </w:rPr>
            </w:pPr>
          </w:p>
        </w:tc>
        <w:tc>
          <w:tcPr>
            <w:tcW w:w="200" w:type="dxa"/>
            <w:vAlign w:val="bottom"/>
            <w:tcBorders>
              <w:bottom w:val="single" w:sz="8" w:color="2A3D6C"/>
              <w:right w:val="single" w:sz="8" w:color="2A3D6C"/>
            </w:tcBorders>
          </w:tcPr>
          <w:p>
            <w:pPr>
              <w:spacing w:after="0"/>
              <w:rPr>
                <w:sz w:val="14"/>
                <w:szCs w:val="14"/>
                <w:color w:val="auto"/>
              </w:rPr>
            </w:pPr>
          </w:p>
        </w:tc>
        <w:tc>
          <w:tcPr>
            <w:tcW w:w="1280" w:type="dxa"/>
            <w:vAlign w:val="bottom"/>
          </w:tcPr>
          <w:p>
            <w:pPr>
              <w:spacing w:after="0"/>
              <w:rPr>
                <w:sz w:val="14"/>
                <w:szCs w:val="14"/>
                <w:color w:val="auto"/>
              </w:rPr>
            </w:pPr>
          </w:p>
        </w:tc>
      </w:tr>
      <w:tr>
        <w:trPr>
          <w:trHeight w:val="368"/>
        </w:trPr>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7260" w:type="dxa"/>
            <w:vAlign w:val="bottom"/>
          </w:tcPr>
          <w:p>
            <w:pPr>
              <w:ind w:left="5240"/>
              <w:spacing w:after="0"/>
              <w:rPr>
                <w:sz w:val="20"/>
                <w:szCs w:val="20"/>
                <w:color w:val="auto"/>
              </w:rPr>
            </w:pPr>
            <w:r>
              <w:rPr>
                <w:rFonts w:ascii="Arial" w:cs="Arial" w:eastAsia="Arial" w:hAnsi="Arial"/>
                <w:sz w:val="23"/>
                <w:szCs w:val="23"/>
                <w:color w:val="auto"/>
              </w:rPr>
              <w:t> </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4"/>
        </w:trPr>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8740" w:type="dxa"/>
            <w:vAlign w:val="bottom"/>
            <w:gridSpan w:val="3"/>
          </w:tcPr>
          <w:p>
            <w:pPr>
              <w:ind w:left="5360"/>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9</w:t>
            </w:r>
          </w:p>
        </w:tc>
      </w:tr>
      <w:tr>
        <w:trPr>
          <w:trHeight w:val="105"/>
        </w:trPr>
        <w:tc>
          <w:tcPr>
            <w:tcW w:w="13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Borders>
              <w:bottom w:val="single" w:sz="8" w:color="auto"/>
            </w:tcBorders>
          </w:tcPr>
          <w:p>
            <w:pPr>
              <w:spacing w:after="0"/>
              <w:rPr>
                <w:sz w:val="9"/>
                <w:szCs w:val="9"/>
                <w:color w:val="auto"/>
              </w:rPr>
            </w:pPr>
          </w:p>
        </w:tc>
        <w:tc>
          <w:tcPr>
            <w:tcW w:w="7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-815340</wp:posOffset>
            </wp:positionV>
            <wp:extent cx="178435" cy="170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435" cy="17018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-297180</wp:posOffset>
            </wp:positionV>
            <wp:extent cx="594995" cy="170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10940"/>
          </w:cols>
          <w:pgMar w:left="480" w:top="262" w:right="47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595959"/>
        </w:rPr>
        <w:t>Continuing Directors (Current Class I Directors with Terms Expiring in 2023)</w:t>
      </w:r>
    </w:p>
    <w:p>
      <w:pPr>
        <w:spacing w:after="0" w:line="200" w:lineRule="exact"/>
        <w:rPr>
          <w:sz w:val="20"/>
          <w:szCs w:val="20"/>
          <w:color w:val="auto"/>
        </w:rPr>
      </w:pPr>
    </w:p>
    <w:p>
      <w:pPr>
        <w:spacing w:after="0" w:line="264"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2A3D6C"/>
        </w:rPr>
        <w:t>Andrew G. Inglis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-47625</wp:posOffset>
            </wp:positionV>
            <wp:extent cx="5220335" cy="10204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20335" cy="1020445"/>
                    </a:xfrm>
                    <a:prstGeom prst="rect">
                      <a:avLst/>
                    </a:prstGeom>
                    <a:noFill/>
                  </pic:spPr>
                </pic:pic>
              </a:graphicData>
            </a:graphic>
          </wp:anchor>
        </w:drawing>
      </w:r>
    </w:p>
    <w:p>
      <w:pPr>
        <w:spacing w:after="0" w:line="77"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Chairman and Current Class I Director</w:t>
      </w:r>
    </w:p>
    <w:p>
      <w:pPr>
        <w:spacing w:after="0" w:line="19"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3" w:lineRule="exact"/>
        <w:rPr>
          <w:sz w:val="20"/>
          <w:szCs w:val="20"/>
          <w:color w:val="auto"/>
        </w:rPr>
      </w:pPr>
    </w:p>
    <w:p>
      <w:pPr>
        <w:ind w:left="1940"/>
        <w:spacing w:after="0"/>
        <w:tabs>
          <w:tab w:leader="none" w:pos="2020" w:val="left"/>
        </w:tabs>
        <w:rPr>
          <w:sz w:val="20"/>
          <w:szCs w:val="20"/>
          <w:color w:val="auto"/>
        </w:rPr>
      </w:pPr>
      <w:r>
        <w:rPr>
          <w:rFonts w:ascii="Times New Roman" w:cs="Times New Roman" w:eastAsia="Times New Roman" w:hAnsi="Times New Roman"/>
          <w:sz w:val="7"/>
          <w:szCs w:val="7"/>
          <w:color w:val="auto"/>
          <w:vertAlign w:val="subscript"/>
        </w:rPr>
        <w:t>​</w:t>
      </w:r>
      <w:r>
        <w:rPr>
          <w:sz w:val="20"/>
          <w:szCs w:val="20"/>
          <w:color w:val="auto"/>
        </w:rPr>
        <w:tab/>
      </w:r>
      <w:r>
        <w:rPr>
          <w:rFonts w:ascii="Times New Roman" w:cs="Times New Roman" w:eastAsia="Times New Roman" w:hAnsi="Times New Roman"/>
          <w:sz w:val="7"/>
          <w:szCs w:val="7"/>
          <w:color w:val="auto"/>
          <w:vertAlign w:val="subscript"/>
        </w:rPr>
        <w:t>​</w:t>
      </w: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March 2014</w:t>
      </w:r>
    </w:p>
    <w:p>
      <w:pPr>
        <w:spacing w:after="0" w:line="28"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Committees:</w:t>
      </w:r>
    </w:p>
    <w:p>
      <w:pPr>
        <w:spacing w:after="0" w:line="19"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None</w:t>
      </w:r>
    </w:p>
    <w:p>
      <w:pPr>
        <w:spacing w:after="0" w:line="3"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Other current public directorships:</w:t>
      </w:r>
    </w:p>
    <w:p>
      <w:pPr>
        <w:spacing w:after="0" w:line="3"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None</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w:t>
      </w:r>
    </w:p>
    <w:p>
      <w:pPr>
        <w:spacing w:after="0" w:line="164" w:lineRule="exact"/>
        <w:rPr>
          <w:sz w:val="20"/>
          <w:szCs w:val="20"/>
          <w:color w:val="auto"/>
        </w:rPr>
      </w:pPr>
    </w:p>
    <w:p>
      <w:pPr>
        <w:ind w:left="320" w:right="379"/>
        <w:spacing w:after="0" w:line="248" w:lineRule="auto"/>
        <w:rPr>
          <w:sz w:val="20"/>
          <w:szCs w:val="20"/>
          <w:color w:val="auto"/>
        </w:rPr>
      </w:pPr>
      <w:r>
        <w:rPr>
          <w:rFonts w:ascii="Arial" w:cs="Arial" w:eastAsia="Arial" w:hAnsi="Arial"/>
          <w:sz w:val="16"/>
          <w:szCs w:val="16"/>
          <w:color w:val="auto"/>
        </w:rPr>
        <w:t>Mr. Inglis has served as our Chairman and Chief Executive Officer since March 1, 2014. Mr. Inglis joined Kosmos from Petrofac Ltd., a leading provider of oilfield services to the international oil and gas industry, principally engaged in the design of oil and gas infrastructure, the operation, maintenance and management of oil and gas assets and the training of personnel on a worldwide basis. At Petrofac, Mr. Inglis held the position of Chief Executive, Integrated Energy Services and was a member of the Petrofac board of directors. Prior to joining Petrofac in January 2011, Mr. Inglis served BP p.l.c for 30 years in a number of positions, including most recently as Executive Director on the BP board of directors from 2007 to 2010 and as Executive Vice President and Deputy Chief Executive of exploration and production from 2004 to 2007. Mr. Inglis received a Master’s degree in Engineering from Pembroke College, Cambridge University. He is a Chartered Mechanical Engineer, a Fellow of the Institution of Mechanical Engineers and a Fellow of the Royal Academy of Engineering. For these reasons, we believe he is well qualified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24130</wp:posOffset>
            </wp:positionV>
            <wp:extent cx="53054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05425" cy="8255"/>
                    </a:xfrm>
                    <a:prstGeom prst="rect">
                      <a:avLst/>
                    </a:prstGeom>
                    <a:noFill/>
                  </pic:spPr>
                </pic:pic>
              </a:graphicData>
            </a:graphic>
          </wp:anchor>
        </w:drawing>
      </w:r>
    </w:p>
    <w:p>
      <w:pPr>
        <w:spacing w:after="0" w:line="245"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6"/>
                <w:szCs w:val="16"/>
                <w:b w:val="1"/>
                <w:bCs w:val="1"/>
                <w:color w:val="2A3D6C"/>
              </w:rPr>
              <w:t>Sir Richard Dearlove</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540" w:type="dxa"/>
            <w:vAlign w:val="bottom"/>
            <w:tcBorders>
              <w:bottom w:val="single" w:sz="8" w:color="999999"/>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540" w:type="dxa"/>
            <w:vAlign w:val="bottom"/>
            <w:gridSpan w:val="2"/>
          </w:tcPr>
          <w:p>
            <w:pPr>
              <w:spacing w:after="0"/>
              <w:rPr>
                <w:sz w:val="20"/>
                <w:szCs w:val="20"/>
                <w:color w:val="auto"/>
              </w:rPr>
            </w:pPr>
            <w:r>
              <w:rPr>
                <w:rFonts w:ascii="Arial" w:cs="Arial" w:eastAsia="Arial" w:hAnsi="Arial"/>
                <w:sz w:val="16"/>
                <w:szCs w:val="16"/>
                <w:b w:val="1"/>
                <w:bCs w:val="1"/>
                <w:color w:val="auto"/>
              </w:rPr>
              <w:t>Current Class I Director</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5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21"/>
        </w:trPr>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December 2012</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7520" w:type="dxa"/>
            <w:vAlign w:val="bottom"/>
            <w:gridSpan w:val="3"/>
          </w:tcPr>
          <w:p>
            <w:pPr>
              <w:ind w:left="780"/>
              <w:spacing w:after="0" w:line="181" w:lineRule="exact"/>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6"/>
                <w:szCs w:val="16"/>
                <w:b w:val="1"/>
                <w:bCs w:val="1"/>
                <w:color w:val="auto"/>
              </w:rPr>
              <w:t>Committees:</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4"/>
                <w:szCs w:val="14"/>
                <w:color w:val="auto"/>
                <w:w w:val="71"/>
              </w:rPr>
              <w:t> </w:t>
            </w:r>
          </w:p>
        </w:tc>
        <w:tc>
          <w:tcPr>
            <w:tcW w:w="6420" w:type="dxa"/>
            <w:vAlign w:val="bottom"/>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Nominating and Corporate Governance Committee (Chair)</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color w:val="auto"/>
                <w:w w:val="71"/>
              </w:rPr>
              <w:t> </w:t>
            </w:r>
          </w:p>
        </w:tc>
        <w:tc>
          <w:tcPr>
            <w:tcW w:w="6420" w:type="dxa"/>
            <w:vAlign w:val="bottom"/>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Compensation Committee</w:t>
            </w: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5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Other current public directorships:</w:t>
            </w:r>
          </w:p>
        </w:tc>
        <w:tc>
          <w:tcPr>
            <w:tcW w:w="0" w:type="dxa"/>
            <w:vAlign w:val="bottom"/>
          </w:tcPr>
          <w:p>
            <w:pPr>
              <w:spacing w:after="0"/>
              <w:rPr>
                <w:sz w:val="1"/>
                <w:szCs w:val="1"/>
                <w:color w:val="auto"/>
              </w:rPr>
            </w:pPr>
          </w:p>
        </w:tc>
      </w:tr>
      <w:tr>
        <w:trPr>
          <w:trHeight w:val="227"/>
        </w:trPr>
        <w:tc>
          <w:tcPr>
            <w:tcW w:w="840" w:type="dxa"/>
            <w:vAlign w:val="bottom"/>
            <w:vMerge w:val="restart"/>
          </w:tcPr>
          <w:p>
            <w:pPr>
              <w:spacing w:after="0"/>
              <w:rPr>
                <w:sz w:val="20"/>
                <w:szCs w:val="20"/>
                <w:color w:val="auto"/>
              </w:rPr>
            </w:pPr>
            <w:r>
              <w:rPr>
                <w:rFonts w:ascii="Arial" w:cs="Arial" w:eastAsia="Arial" w:hAnsi="Arial"/>
                <w:sz w:val="16"/>
                <w:szCs w:val="16"/>
                <w:color w:val="auto"/>
              </w:rPr>
              <w:t> </w:t>
            </w:r>
          </w:p>
        </w:tc>
        <w:tc>
          <w:tcPr>
            <w:tcW w:w="9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4"/>
                <w:szCs w:val="14"/>
                <w:color w:val="auto"/>
                <w:w w:val="71"/>
              </w:rPr>
              <w:t> </w:t>
            </w:r>
          </w:p>
        </w:tc>
        <w:tc>
          <w:tcPr>
            <w:tcW w:w="6420" w:type="dxa"/>
            <w:vAlign w:val="bottom"/>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Crossword Cybersecurity Plc</w:t>
            </w:r>
          </w:p>
        </w:tc>
        <w:tc>
          <w:tcPr>
            <w:tcW w:w="0" w:type="dxa"/>
            <w:vAlign w:val="bottom"/>
          </w:tcPr>
          <w:p>
            <w:pPr>
              <w:spacing w:after="0"/>
              <w:rPr>
                <w:sz w:val="1"/>
                <w:szCs w:val="1"/>
                <w:color w:val="auto"/>
              </w:rPr>
            </w:pPr>
          </w:p>
        </w:tc>
      </w:tr>
      <w:tr>
        <w:trPr>
          <w:trHeight w:val="54"/>
        </w:trPr>
        <w:tc>
          <w:tcPr>
            <w:tcW w:w="84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-1146175</wp:posOffset>
            </wp:positionV>
            <wp:extent cx="842010" cy="10204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42010" cy="1020445"/>
                    </a:xfrm>
                    <a:prstGeom prst="rect">
                      <a:avLst/>
                    </a:prstGeom>
                    <a:noFill/>
                  </pic:spPr>
                </pic:pic>
              </a:graphicData>
            </a:graphic>
          </wp:anchor>
        </w:drawing>
      </w:r>
    </w:p>
    <w:p>
      <w:pPr>
        <w:spacing w:after="0" w:line="115" w:lineRule="exact"/>
        <w:rPr>
          <w:sz w:val="20"/>
          <w:szCs w:val="20"/>
          <w:color w:val="auto"/>
        </w:rPr>
      </w:pPr>
    </w:p>
    <w:p>
      <w:pPr>
        <w:ind w:left="320" w:right="339"/>
        <w:spacing w:after="0" w:line="247" w:lineRule="auto"/>
        <w:rPr>
          <w:sz w:val="20"/>
          <w:szCs w:val="20"/>
          <w:color w:val="auto"/>
        </w:rPr>
      </w:pPr>
      <w:r>
        <w:rPr>
          <w:rFonts w:ascii="Arial" w:cs="Arial" w:eastAsia="Arial" w:hAnsi="Arial"/>
          <w:sz w:val="16"/>
          <w:szCs w:val="16"/>
          <w:color w:val="auto"/>
        </w:rPr>
        <w:t>Sir Richard Dearlove is Chairman of the Trustees of London University and was Master of Pembroke College at the University of Cambridge, U.K. from 2004 to 2015, and the Head of the British Secret Intelligence Service (MI6) from 1999 to 2004. During his 38-year tenure with MI6, Sir Richard served in multiple international locations before returning to the U.K. as Director of Personnel and Administration in 1993. He also served as Director of Operations and Assistant Chief in advance of his appointment as Head of MI6 in 1999. In 1984, Sir Richard was awarded an OBE (Officer of the Most Excellent Order of the British Empire), and in 2001 he was appointed a KCMG (Knight Commander of St. Michael and St. George) for his service. Sir Richard has held several trustee and advisory positions, including serving as a Trustee of Kent School in Connecticut, Honorary Fellow of Queens’ College, University of Cambridge, Member of the International Advisory Board of AIG, Senior Advisor to the Monitor Group, Chairman of Ascot Underwriting, Member of the Advisory Board of IrisGuard, Member of the Advisory Board of New Venture Partners, Chairman of Trustees of the Cambridge Union Society and Member of the Strategic Advisory Board of TimeSight Systems. He has been Non-Executive Chairman of Crossword Cybersecurity Plc since 2016. He received a Master of Arts degree in History from Queens’ College, Cambridge. For these reasons, we believe he is well qualified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26035</wp:posOffset>
            </wp:positionV>
            <wp:extent cx="53054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05425" cy="8255"/>
                    </a:xfrm>
                    <a:prstGeom prst="rect">
                      <a:avLst/>
                    </a:prstGeom>
                    <a:noFill/>
                  </pic:spPr>
                </pic:pic>
              </a:graphicData>
            </a:graphic>
          </wp:anchor>
        </w:drawing>
      </w:r>
    </w:p>
    <w:p>
      <w:pPr>
        <w:spacing w:after="0" w:line="148"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10</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920" w:type="dxa"/>
            <w:vAlign w:val="bottom"/>
            <w:vMerge w:val="continue"/>
          </w:tcPr>
          <w:p>
            <w:pPr>
              <w:spacing w:after="0"/>
              <w:rPr>
                <w:sz w:val="23"/>
                <w:szCs w:val="23"/>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2A3D6C"/>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Continuing Directors (Current Class II Directors with Terms Expiring in 2024)</w:t>
      </w:r>
    </w:p>
    <w:p>
      <w:pPr>
        <w:spacing w:after="0" w:line="196"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2A3D6C"/>
        </w:rPr>
        <w:t>Adebayo (“Bayo”) O. Ogunlesi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-39370</wp:posOffset>
            </wp:positionV>
            <wp:extent cx="5220335" cy="10204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20335" cy="1020445"/>
                    </a:xfrm>
                    <a:prstGeom prst="rect">
                      <a:avLst/>
                    </a:prstGeom>
                    <a:noFill/>
                  </pic:spPr>
                </pic:pic>
              </a:graphicData>
            </a:graphic>
          </wp:anchor>
        </w:drawing>
      </w:r>
    </w:p>
    <w:p>
      <w:pPr>
        <w:spacing w:after="0" w:line="77"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Current Class II Director</w:t>
      </w:r>
    </w:p>
    <w:p>
      <w:pPr>
        <w:spacing w:after="0" w:line="19"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3"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p>
      <w:pPr>
        <w:spacing w:after="0" w:line="20" w:lineRule="exact"/>
        <w:rPr>
          <w:sz w:val="20"/>
          <w:szCs w:val="20"/>
          <w:color w:val="auto"/>
        </w:rPr>
      </w:pPr>
    </w:p>
    <w:p>
      <w:pPr>
        <w:ind w:left="1940"/>
        <w:spacing w:after="0"/>
        <w:tabs>
          <w:tab w:leader="none" w:pos="2020" w:val="left"/>
          <w:tab w:leader="none" w:pos="21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6"/>
          <w:szCs w:val="16"/>
          <w:b w:val="1"/>
          <w:bCs w:val="1"/>
          <w:color w:val="auto"/>
        </w:rPr>
        <w:t>Committees:</w:t>
      </w:r>
    </w:p>
    <w:p>
      <w:pPr>
        <w:ind w:left="2300" w:hanging="153"/>
        <w:spacing w:after="0"/>
        <w:tabs>
          <w:tab w:leader="none" w:pos="2300" w:val="left"/>
        </w:tabs>
        <w:numPr>
          <w:ilvl w:val="0"/>
          <w:numId w:val="14"/>
        </w:numPr>
        <w:rPr>
          <w:rFonts w:ascii="Arial" w:cs="Arial" w:eastAsia="Arial" w:hAnsi="Arial"/>
          <w:sz w:val="15"/>
          <w:szCs w:val="15"/>
          <w:color w:val="auto"/>
        </w:rPr>
      </w:pPr>
      <w:r>
        <w:rPr>
          <w:rFonts w:ascii="Arial" w:cs="Arial" w:eastAsia="Arial" w:hAnsi="Arial"/>
          <w:sz w:val="15"/>
          <w:szCs w:val="15"/>
          <w:color w:val="2A3D6C"/>
        </w:rPr>
        <w:t>■</w:t>
      </w:r>
      <w:r>
        <w:rPr>
          <w:rFonts w:ascii="Arial" w:cs="Arial" w:eastAsia="Arial" w:hAnsi="Arial"/>
          <w:sz w:val="15"/>
          <w:szCs w:val="15"/>
          <w:color w:val="000000"/>
        </w:rPr>
        <w:t xml:space="preserve">   Compensation Committee (Chair)</w:t>
      </w:r>
    </w:p>
    <w:p>
      <w:pPr>
        <w:spacing w:after="0" w:line="41" w:lineRule="exact"/>
        <w:rPr>
          <w:rFonts w:ascii="Arial" w:cs="Arial" w:eastAsia="Arial" w:hAnsi="Arial"/>
          <w:sz w:val="15"/>
          <w:szCs w:val="15"/>
          <w:color w:val="auto"/>
        </w:rPr>
      </w:pPr>
    </w:p>
    <w:p>
      <w:pPr>
        <w:ind w:left="2300" w:hanging="153"/>
        <w:spacing w:after="0"/>
        <w:tabs>
          <w:tab w:leader="none" w:pos="2300" w:val="left"/>
        </w:tabs>
        <w:numPr>
          <w:ilvl w:val="0"/>
          <w:numId w:val="14"/>
        </w:numPr>
        <w:rPr>
          <w:rFonts w:ascii="Arial" w:cs="Arial" w:eastAsia="Arial" w:hAnsi="Arial"/>
          <w:sz w:val="15"/>
          <w:szCs w:val="15"/>
          <w:color w:val="auto"/>
        </w:rPr>
      </w:pPr>
      <w:r>
        <w:rPr>
          <w:rFonts w:ascii="Arial" w:cs="Arial" w:eastAsia="Arial" w:hAnsi="Arial"/>
          <w:sz w:val="15"/>
          <w:szCs w:val="15"/>
          <w:color w:val="2A3D6C"/>
        </w:rPr>
        <w:t>■</w:t>
      </w:r>
      <w:r>
        <w:rPr>
          <w:rFonts w:ascii="Arial" w:cs="Arial" w:eastAsia="Arial" w:hAnsi="Arial"/>
          <w:sz w:val="15"/>
          <w:szCs w:val="15"/>
          <w:color w:val="000000"/>
        </w:rPr>
        <w:t xml:space="preserve">   Nominating and Corporate Governance Committee</w:t>
      </w: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3540" w:type="dxa"/>
            <w:vAlign w:val="bottom"/>
            <w:gridSpan w:val="3"/>
          </w:tcPr>
          <w:p>
            <w:pPr>
              <w:ind w:left="880"/>
              <w:spacing w:after="0"/>
              <w:rPr>
                <w:sz w:val="20"/>
                <w:szCs w:val="20"/>
                <w:color w:val="auto"/>
              </w:rPr>
            </w:pPr>
            <w:r>
              <w:rPr>
                <w:rFonts w:ascii="Arial" w:cs="Arial" w:eastAsia="Arial" w:hAnsi="Arial"/>
                <w:sz w:val="16"/>
                <w:szCs w:val="16"/>
                <w:b w:val="1"/>
                <w:bCs w:val="1"/>
                <w:color w:val="auto"/>
                <w:w w:val="99"/>
              </w:rPr>
              <w:t>Other current public directorships:</w:t>
            </w:r>
          </w:p>
        </w:tc>
        <w:tc>
          <w:tcPr>
            <w:tcW w:w="0" w:type="dxa"/>
            <w:vAlign w:val="bottom"/>
          </w:tcPr>
          <w:p>
            <w:pPr>
              <w:spacing w:after="0"/>
              <w:rPr>
                <w:sz w:val="1"/>
                <w:szCs w:val="1"/>
                <w:color w:val="auto"/>
              </w:rPr>
            </w:pPr>
          </w:p>
        </w:tc>
      </w:tr>
      <w:tr>
        <w:trPr>
          <w:trHeight w:val="187"/>
        </w:trPr>
        <w:tc>
          <w:tcPr>
            <w:tcW w:w="940" w:type="dxa"/>
            <w:vAlign w:val="bottom"/>
            <w:vMerge w:val="restart"/>
          </w:tcPr>
          <w:p>
            <w:pPr>
              <w:spacing w:after="0"/>
              <w:rPr>
                <w:sz w:val="20"/>
                <w:szCs w:val="20"/>
                <w:color w:val="auto"/>
              </w:rPr>
            </w:pPr>
            <w:r>
              <w:rPr>
                <w:rFonts w:ascii="Arial" w:cs="Arial" w:eastAsia="Arial" w:hAnsi="Arial"/>
                <w:sz w:val="16"/>
                <w:szCs w:val="16"/>
                <w:color w:val="auto"/>
              </w:rPr>
              <w:t> </w:t>
            </w:r>
          </w:p>
        </w:tc>
        <w:tc>
          <w:tcPr>
            <w:tcW w:w="1000" w:type="dxa"/>
            <w:vAlign w:val="bottom"/>
          </w:tcPr>
          <w:p>
            <w:pPr>
              <w:ind w:left="880"/>
              <w:spacing w:after="0"/>
              <w:rPr>
                <w:sz w:val="20"/>
                <w:szCs w:val="20"/>
                <w:color w:val="auto"/>
              </w:rPr>
            </w:pPr>
            <w:r>
              <w:rPr>
                <w:rFonts w:ascii="Arial" w:cs="Arial" w:eastAsia="Arial" w:hAnsi="Arial"/>
                <w:sz w:val="14"/>
                <w:szCs w:val="14"/>
                <w:color w:val="auto"/>
                <w:w w:val="71"/>
              </w:rPr>
              <w:t> </w:t>
            </w:r>
          </w:p>
        </w:tc>
        <w:tc>
          <w:tcPr>
            <w:tcW w:w="240" w:type="dxa"/>
            <w:vAlign w:val="bottom"/>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w:t>
            </w:r>
          </w:p>
        </w:tc>
        <w:tc>
          <w:tcPr>
            <w:tcW w:w="2300" w:type="dxa"/>
            <w:vAlign w:val="bottom"/>
          </w:tcPr>
          <w:p>
            <w:pPr>
              <w:ind w:left="60"/>
              <w:spacing w:after="0"/>
              <w:rPr>
                <w:sz w:val="20"/>
                <w:szCs w:val="20"/>
                <w:color w:val="auto"/>
              </w:rPr>
            </w:pPr>
            <w:r>
              <w:rPr>
                <w:rFonts w:ascii="Arial" w:cs="Arial" w:eastAsia="Arial" w:hAnsi="Arial"/>
                <w:sz w:val="16"/>
                <w:szCs w:val="16"/>
                <w:color w:val="auto"/>
              </w:rPr>
              <w:t>Callaway Golf Company</w:t>
            </w:r>
          </w:p>
        </w:tc>
        <w:tc>
          <w:tcPr>
            <w:tcW w:w="0" w:type="dxa"/>
            <w:vAlign w:val="bottom"/>
          </w:tcPr>
          <w:p>
            <w:pPr>
              <w:spacing w:after="0"/>
              <w:rPr>
                <w:sz w:val="1"/>
                <w:szCs w:val="1"/>
                <w:color w:val="auto"/>
              </w:rPr>
            </w:pPr>
          </w:p>
        </w:tc>
      </w:tr>
      <w:tr>
        <w:trPr>
          <w:trHeight w:val="106"/>
        </w:trPr>
        <w:tc>
          <w:tcPr>
            <w:tcW w:w="940" w:type="dxa"/>
            <w:vAlign w:val="bottom"/>
            <w:vMerge w:val="continue"/>
          </w:tcPr>
          <w:p>
            <w:pPr>
              <w:spacing w:after="0"/>
              <w:rPr>
                <w:sz w:val="9"/>
                <w:szCs w:val="9"/>
                <w:color w:val="auto"/>
              </w:rPr>
            </w:pPr>
          </w:p>
        </w:tc>
        <w:tc>
          <w:tcPr>
            <w:tcW w:w="1000" w:type="dxa"/>
            <w:vAlign w:val="bottom"/>
            <w:vMerge w:val="restart"/>
          </w:tcPr>
          <w:p>
            <w:pPr>
              <w:ind w:left="880"/>
              <w:spacing w:after="0"/>
              <w:rPr>
                <w:sz w:val="20"/>
                <w:szCs w:val="20"/>
                <w:color w:val="auto"/>
              </w:rPr>
            </w:pPr>
            <w:r>
              <w:rPr>
                <w:rFonts w:ascii="Arial" w:cs="Arial" w:eastAsia="Arial" w:hAnsi="Arial"/>
                <w:sz w:val="14"/>
                <w:szCs w:val="14"/>
                <w:color w:val="auto"/>
                <w:w w:val="71"/>
              </w:rPr>
              <w:t> </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w:t>
            </w:r>
          </w:p>
        </w:tc>
        <w:tc>
          <w:tcPr>
            <w:tcW w:w="2300" w:type="dxa"/>
            <w:vAlign w:val="bottom"/>
            <w:vMerge w:val="restart"/>
          </w:tcPr>
          <w:p>
            <w:pPr>
              <w:ind w:left="60"/>
              <w:spacing w:after="0"/>
              <w:rPr>
                <w:sz w:val="20"/>
                <w:szCs w:val="20"/>
                <w:color w:val="auto"/>
              </w:rPr>
            </w:pPr>
            <w:r>
              <w:rPr>
                <w:rFonts w:ascii="Arial" w:cs="Arial" w:eastAsia="Arial" w:hAnsi="Arial"/>
                <w:sz w:val="16"/>
                <w:szCs w:val="16"/>
                <w:color w:val="auto"/>
              </w:rPr>
              <w:t>Goldman Sachs Group Inc.</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20" w:right="439"/>
        <w:spacing w:after="0" w:line="248" w:lineRule="auto"/>
        <w:rPr>
          <w:sz w:val="20"/>
          <w:szCs w:val="20"/>
          <w:color w:val="auto"/>
        </w:rPr>
      </w:pPr>
      <w:r>
        <w:rPr>
          <w:rFonts w:ascii="Arial" w:cs="Arial" w:eastAsia="Arial" w:hAnsi="Arial"/>
          <w:sz w:val="16"/>
          <w:szCs w:val="16"/>
          <w:color w:val="auto"/>
        </w:rPr>
        <w:t>Since 2006, Mr. Ogunlesi has been Chairman and Managing Partner of Global Infrastructure Partners (“GIP”), a private equity firm that invests in infrastructure assets in the energy, transport and water sectors, in both OECD and select emerging market countries. Mr. Ogunlesi previously served as Executive Vice Chairman and Chief Client Officer of Credit Suisse’s Investment Banking Division with senior responsibility for Credit Suisse’s corporate and sovereign investment banking clients. From 2002 to 2004, he was Head of Credit Suisse’s Global Investment Banking Department. Mr. Ogunlesi is a Director of Callaway Golf Company and the Goldman Sachs Group, Inc. Mr. Ogunlesi holds a Bachelor of Arts degree in Politics, Philosophy and Economics with First Class Honors from Oxford University, a Juris Doctor (magna cum laude) from Harvard Law School and a Master of Business Administration from Harvard Business School. From 1980 to 1981, he served as a Law Clerk to the Honorable Thurgood Marshall, Associate Justice of the United States Supreme Court. Mr. Ogunlesi served as a Director of our predecessor Kosmos Energy Holdings since 2004. For these reasons, we believe he is well qualified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109220</wp:posOffset>
            </wp:positionV>
            <wp:extent cx="53054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05425" cy="8255"/>
                    </a:xfrm>
                    <a:prstGeom prst="rect">
                      <a:avLst/>
                    </a:prstGeom>
                    <a:noFill/>
                  </pic:spPr>
                </pic:pic>
              </a:graphicData>
            </a:graphic>
          </wp:anchor>
        </w:drawing>
      </w:r>
    </w:p>
    <w:p>
      <w:pPr>
        <w:spacing w:after="0" w:line="339"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2A3D6C"/>
        </w:rPr>
        <w:t>Deanna L. 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-47625</wp:posOffset>
            </wp:positionV>
            <wp:extent cx="5220335" cy="10204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20335" cy="1020445"/>
                    </a:xfrm>
                    <a:prstGeom prst="rect">
                      <a:avLst/>
                    </a:prstGeom>
                    <a:noFill/>
                  </pic:spPr>
                </pic:pic>
              </a:graphicData>
            </a:graphic>
          </wp:anchor>
        </w:drawing>
      </w:r>
    </w:p>
    <w:p>
      <w:pPr>
        <w:spacing w:after="0" w:line="64"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Current Class II Director</w:t>
      </w:r>
    </w:p>
    <w:p>
      <w:pPr>
        <w:spacing w:after="0" w:line="19"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3"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27" w:lineRule="exact"/>
        <w:rPr>
          <w:sz w:val="20"/>
          <w:szCs w:val="20"/>
          <w:color w:val="auto"/>
        </w:rPr>
      </w:pPr>
    </w:p>
    <w:p>
      <w:pPr>
        <w:ind w:left="1940"/>
        <w:spacing w:after="0"/>
        <w:tabs>
          <w:tab w:leader="none" w:pos="2020" w:val="left"/>
          <w:tab w:leader="none" w:pos="21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6"/>
          <w:szCs w:val="16"/>
          <w:b w:val="1"/>
          <w:bCs w:val="1"/>
          <w:color w:val="auto"/>
        </w:rPr>
        <w:t>Committees:</w:t>
      </w:r>
    </w:p>
    <w:p>
      <w:pPr>
        <w:spacing w:after="0" w:line="6" w:lineRule="exact"/>
        <w:rPr>
          <w:sz w:val="20"/>
          <w:szCs w:val="20"/>
          <w:color w:val="auto"/>
        </w:rPr>
      </w:pPr>
    </w:p>
    <w:p>
      <w:pPr>
        <w:ind w:left="2300" w:hanging="153"/>
        <w:spacing w:after="0"/>
        <w:tabs>
          <w:tab w:leader="none" w:pos="2300" w:val="left"/>
        </w:tabs>
        <w:numPr>
          <w:ilvl w:val="0"/>
          <w:numId w:val="15"/>
        </w:numPr>
        <w:rPr>
          <w:rFonts w:ascii="Arial" w:cs="Arial" w:eastAsia="Arial" w:hAnsi="Arial"/>
          <w:sz w:val="15"/>
          <w:szCs w:val="15"/>
          <w:color w:val="auto"/>
        </w:rPr>
      </w:pPr>
      <w:r>
        <w:rPr>
          <w:rFonts w:ascii="Arial" w:cs="Arial" w:eastAsia="Arial" w:hAnsi="Arial"/>
          <w:sz w:val="15"/>
          <w:szCs w:val="15"/>
          <w:color w:val="2A3D6C"/>
        </w:rPr>
        <w:t>■</w:t>
      </w:r>
      <w:r>
        <w:rPr>
          <w:rFonts w:ascii="Arial" w:cs="Arial" w:eastAsia="Arial" w:hAnsi="Arial"/>
          <w:sz w:val="15"/>
          <w:szCs w:val="15"/>
          <w:color w:val="000000"/>
        </w:rPr>
        <w:t xml:space="preserve">   Health, Safety, Environment and Sustainability Committee (Chair)</w:t>
      </w:r>
    </w:p>
    <w:p>
      <w:pPr>
        <w:spacing w:after="0" w:line="28" w:lineRule="exact"/>
        <w:rPr>
          <w:rFonts w:ascii="Arial" w:cs="Arial" w:eastAsia="Arial" w:hAnsi="Arial"/>
          <w:sz w:val="15"/>
          <w:szCs w:val="15"/>
          <w:color w:val="auto"/>
        </w:rPr>
      </w:pPr>
    </w:p>
    <w:p>
      <w:pPr>
        <w:ind w:left="2300" w:hanging="153"/>
        <w:spacing w:after="0"/>
        <w:tabs>
          <w:tab w:leader="none" w:pos="2300" w:val="left"/>
        </w:tabs>
        <w:numPr>
          <w:ilvl w:val="0"/>
          <w:numId w:val="15"/>
        </w:numPr>
        <w:rPr>
          <w:rFonts w:ascii="Arial" w:cs="Arial" w:eastAsia="Arial" w:hAnsi="Arial"/>
          <w:sz w:val="15"/>
          <w:szCs w:val="15"/>
          <w:color w:val="auto"/>
        </w:rPr>
      </w:pPr>
      <w:r>
        <w:rPr>
          <w:rFonts w:ascii="Arial" w:cs="Arial" w:eastAsia="Arial" w:hAnsi="Arial"/>
          <w:sz w:val="15"/>
          <w:szCs w:val="15"/>
          <w:color w:val="2A3D6C"/>
        </w:rPr>
        <w:t>■</w:t>
      </w:r>
      <w:r>
        <w:rPr>
          <w:rFonts w:ascii="Arial" w:cs="Arial" w:eastAsia="Arial" w:hAnsi="Arial"/>
          <w:sz w:val="15"/>
          <w:szCs w:val="15"/>
          <w:color w:val="000000"/>
        </w:rPr>
        <w:t xml:space="preserve">  Audit Committee</w:t>
      </w:r>
    </w:p>
    <w:tbl>
      <w:tblPr>
        <w:tblLayout w:type="fixed"/>
        <w:tblInd w:w="32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3540" w:type="dxa"/>
            <w:vAlign w:val="bottom"/>
            <w:gridSpan w:val="3"/>
          </w:tcPr>
          <w:p>
            <w:pPr>
              <w:ind w:left="880"/>
              <w:spacing w:after="0" w:line="173" w:lineRule="exact"/>
              <w:rPr>
                <w:sz w:val="20"/>
                <w:szCs w:val="20"/>
                <w:color w:val="auto"/>
              </w:rPr>
            </w:pPr>
            <w:r>
              <w:rPr>
                <w:rFonts w:ascii="Arial" w:cs="Arial" w:eastAsia="Arial" w:hAnsi="Arial"/>
                <w:sz w:val="16"/>
                <w:szCs w:val="16"/>
                <w:b w:val="1"/>
                <w:bCs w:val="1"/>
                <w:color w:val="auto"/>
                <w:w w:val="99"/>
              </w:rPr>
              <w:t>Other current public directorships:</w:t>
            </w:r>
          </w:p>
        </w:tc>
        <w:tc>
          <w:tcPr>
            <w:tcW w:w="0" w:type="dxa"/>
            <w:vAlign w:val="bottom"/>
          </w:tcPr>
          <w:p>
            <w:pPr>
              <w:spacing w:after="0"/>
              <w:rPr>
                <w:sz w:val="1"/>
                <w:szCs w:val="1"/>
                <w:color w:val="auto"/>
              </w:rPr>
            </w:pPr>
          </w:p>
        </w:tc>
      </w:tr>
      <w:tr>
        <w:trPr>
          <w:trHeight w:val="187"/>
        </w:trPr>
        <w:tc>
          <w:tcPr>
            <w:tcW w:w="940" w:type="dxa"/>
            <w:vAlign w:val="bottom"/>
            <w:vMerge w:val="restart"/>
          </w:tcPr>
          <w:p>
            <w:pPr>
              <w:spacing w:after="0"/>
              <w:rPr>
                <w:sz w:val="20"/>
                <w:szCs w:val="20"/>
                <w:color w:val="auto"/>
              </w:rPr>
            </w:pPr>
            <w:r>
              <w:rPr>
                <w:rFonts w:ascii="Arial" w:cs="Arial" w:eastAsia="Arial" w:hAnsi="Arial"/>
                <w:sz w:val="16"/>
                <w:szCs w:val="16"/>
                <w:color w:val="auto"/>
              </w:rPr>
              <w:t> </w:t>
            </w:r>
          </w:p>
        </w:tc>
        <w:tc>
          <w:tcPr>
            <w:tcW w:w="1000" w:type="dxa"/>
            <w:vAlign w:val="bottom"/>
          </w:tcPr>
          <w:p>
            <w:pPr>
              <w:ind w:left="880"/>
              <w:spacing w:after="0"/>
              <w:rPr>
                <w:sz w:val="20"/>
                <w:szCs w:val="20"/>
                <w:color w:val="auto"/>
              </w:rPr>
            </w:pPr>
            <w:r>
              <w:rPr>
                <w:rFonts w:ascii="Arial" w:cs="Arial" w:eastAsia="Arial" w:hAnsi="Arial"/>
                <w:sz w:val="14"/>
                <w:szCs w:val="14"/>
                <w:color w:val="auto"/>
                <w:w w:val="71"/>
              </w:rPr>
              <w:t> </w:t>
            </w:r>
          </w:p>
        </w:tc>
        <w:tc>
          <w:tcPr>
            <w:tcW w:w="240" w:type="dxa"/>
            <w:vAlign w:val="bottom"/>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w:t>
            </w:r>
          </w:p>
        </w:tc>
        <w:tc>
          <w:tcPr>
            <w:tcW w:w="2300" w:type="dxa"/>
            <w:vAlign w:val="bottom"/>
          </w:tcPr>
          <w:p>
            <w:pPr>
              <w:ind w:left="60"/>
              <w:spacing w:after="0"/>
              <w:rPr>
                <w:sz w:val="20"/>
                <w:szCs w:val="20"/>
                <w:color w:val="auto"/>
              </w:rPr>
            </w:pPr>
            <w:r>
              <w:rPr>
                <w:rFonts w:ascii="Arial" w:cs="Arial" w:eastAsia="Arial" w:hAnsi="Arial"/>
                <w:sz w:val="16"/>
                <w:szCs w:val="16"/>
                <w:color w:val="auto"/>
              </w:rPr>
              <w:t>Arcadis NV</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1000" w:type="dxa"/>
            <w:vAlign w:val="bottom"/>
            <w:vMerge w:val="restart"/>
          </w:tcPr>
          <w:p>
            <w:pPr>
              <w:ind w:left="880"/>
              <w:spacing w:after="0"/>
              <w:rPr>
                <w:sz w:val="20"/>
                <w:szCs w:val="20"/>
                <w:color w:val="auto"/>
              </w:rPr>
            </w:pPr>
            <w:r>
              <w:rPr>
                <w:rFonts w:ascii="Arial" w:cs="Arial" w:eastAsia="Arial" w:hAnsi="Arial"/>
                <w:sz w:val="14"/>
                <w:szCs w:val="14"/>
                <w:color w:val="auto"/>
                <w:w w:val="71"/>
              </w:rPr>
              <w:t> </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w:t>
            </w:r>
          </w:p>
        </w:tc>
        <w:tc>
          <w:tcPr>
            <w:tcW w:w="2300" w:type="dxa"/>
            <w:vAlign w:val="bottom"/>
            <w:vMerge w:val="restart"/>
          </w:tcPr>
          <w:p>
            <w:pPr>
              <w:ind w:left="60"/>
              <w:spacing w:after="0"/>
              <w:rPr>
                <w:sz w:val="20"/>
                <w:szCs w:val="20"/>
                <w:color w:val="auto"/>
              </w:rPr>
            </w:pPr>
            <w:r>
              <w:rPr>
                <w:rFonts w:ascii="Arial" w:cs="Arial" w:eastAsia="Arial" w:hAnsi="Arial"/>
                <w:sz w:val="16"/>
                <w:szCs w:val="16"/>
                <w:color w:val="auto"/>
              </w:rPr>
              <w:t>Oceaneering International Inc.</w:t>
            </w: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20" w:right="339"/>
        <w:spacing w:after="0" w:line="248" w:lineRule="auto"/>
        <w:rPr>
          <w:sz w:val="20"/>
          <w:szCs w:val="20"/>
          <w:color w:val="auto"/>
        </w:rPr>
      </w:pPr>
      <w:r>
        <w:rPr>
          <w:rFonts w:ascii="Arial" w:cs="Arial" w:eastAsia="Arial" w:hAnsi="Arial"/>
          <w:sz w:val="16"/>
          <w:szCs w:val="16"/>
          <w:color w:val="auto"/>
        </w:rPr>
        <w:t>Ms. Goodwin currently serves as a Director of Arcadis NV, where she has served on the Audit Committee since May 2020, and as a Director of Oceaneering International Inc. Ms. Goodwin served as President of the North America region of Technip, a global engineering, construction and services company specializing in supporting the energy industry, from 2013 to 2017. She served as Chief Operating Officer, Offshore North America at Technip from 2012 to 2013. Prior thereto, she served as Senior Vice President and Chief Financial Officer of Technip USA, Inc. Previously, Ms. Goodwin led the integration of the $1.3 billion acquisition of Global Industries by Technip. From 1993 to 2007, Ms. Goodwin served in various capacities for Veritas DGC, a leading provider of geophysical information and services to oil and gas companies worldwide, including President of the North and South America Region. Earlier in her career, Ms. Goodwin served as an Audit Manager at Price Waterhouse. Ms. Goodwin received her Bachelor of Commerce degree in Accounting from the University of Calgary in Canada and her Chartered Accountant designation from the Canadian Institute of Chartered Accountants. For these reasons, we believe she is well qualified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22860</wp:posOffset>
            </wp:positionV>
            <wp:extent cx="53054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05425" cy="8255"/>
                    </a:xfrm>
                    <a:prstGeom prst="rect">
                      <a:avLst/>
                    </a:prstGeom>
                    <a:noFill/>
                  </pic:spPr>
                </pic:pic>
              </a:graphicData>
            </a:graphic>
          </wp:anchor>
        </w:drawing>
      </w:r>
    </w:p>
    <w:p>
      <w:pPr>
        <w:spacing w:after="0" w:line="114" w:lineRule="exact"/>
        <w:rPr>
          <w:sz w:val="20"/>
          <w:szCs w:val="20"/>
          <w:color w:val="auto"/>
        </w:rPr>
      </w:pPr>
    </w:p>
    <w:p>
      <w:pPr>
        <w:ind w:left="6400"/>
        <w:spacing w:after="0"/>
        <w:rPr>
          <w:sz w:val="20"/>
          <w:szCs w:val="20"/>
          <w:color w:val="auto"/>
        </w:rPr>
      </w:pPr>
      <w:r>
        <w:rPr>
          <w:rFonts w:ascii="Arial" w:cs="Arial" w:eastAsia="Arial" w:hAnsi="Arial"/>
          <w:sz w:val="23"/>
          <w:szCs w:val="23"/>
          <w:color w:val="auto"/>
        </w:rPr>
        <w:t> </w:t>
      </w:r>
    </w:p>
    <w:p>
      <w:pPr>
        <w:ind w:left="6520"/>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121285</wp:posOffset>
            </wp:positionV>
            <wp:extent cx="69380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-158750</wp:posOffset>
            </wp:positionV>
            <wp:extent cx="594995" cy="170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Current Class III Director with Term Expiring in 2022</w:t>
      </w:r>
    </w:p>
    <w:p>
      <w:pPr>
        <w:spacing w:after="0" w:line="196"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2A3D6C"/>
        </w:rPr>
        <w:t>Lisa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36830</wp:posOffset>
            </wp:positionV>
            <wp:extent cx="41490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77"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Current Class III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-90170</wp:posOffset>
            </wp:positionV>
            <wp:extent cx="842010" cy="10204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42010" cy="1020445"/>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58</w:t>
      </w:r>
    </w:p>
    <w:p>
      <w:pPr>
        <w:spacing w:after="0" w:line="3"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5520" w:type="dxa"/>
            <w:vAlign w:val="bottom"/>
            <w:gridSpan w:val="3"/>
          </w:tcPr>
          <w:p>
            <w:pPr>
              <w:ind w:left="980"/>
              <w:spacing w:after="0"/>
              <w:rPr>
                <w:sz w:val="20"/>
                <w:szCs w:val="20"/>
                <w:color w:val="auto"/>
              </w:rPr>
            </w:pPr>
            <w:r>
              <w:rPr>
                <w:rFonts w:ascii="Arial" w:cs="Arial" w:eastAsia="Arial" w:hAnsi="Arial"/>
                <w:sz w:val="16"/>
                <w:szCs w:val="16"/>
                <w:b w:val="1"/>
                <w:bCs w:val="1"/>
                <w:color w:val="auto"/>
              </w:rPr>
              <w:t>Committees:</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4"/>
                <w:szCs w:val="4"/>
                <w:color w:val="auto"/>
                <w:w w:val="74"/>
              </w:rPr>
              <w:t>​​</w:t>
            </w:r>
            <w:r>
              <w:rPr>
                <w:rFonts w:ascii="Arial" w:cs="Arial" w:eastAsia="Arial" w:hAnsi="Arial"/>
                <w:sz w:val="8"/>
                <w:szCs w:val="8"/>
                <w:color w:val="auto"/>
                <w:w w:val="74"/>
              </w:rPr>
              <w:t> </w:t>
            </w:r>
          </w:p>
        </w:tc>
        <w:tc>
          <w:tcPr>
            <w:tcW w:w="240" w:type="dxa"/>
            <w:vAlign w:val="bottom"/>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w:t>
            </w:r>
          </w:p>
        </w:tc>
        <w:tc>
          <w:tcPr>
            <w:tcW w:w="4180" w:type="dxa"/>
            <w:vAlign w:val="bottom"/>
          </w:tcPr>
          <w:p>
            <w:pPr>
              <w:ind w:left="60"/>
              <w:spacing w:after="0"/>
              <w:rPr>
                <w:sz w:val="20"/>
                <w:szCs w:val="20"/>
                <w:color w:val="auto"/>
              </w:rPr>
            </w:pPr>
            <w:r>
              <w:rPr>
                <w:rFonts w:ascii="Arial" w:cs="Arial" w:eastAsia="Arial" w:hAnsi="Arial"/>
                <w:sz w:val="16"/>
                <w:szCs w:val="16"/>
                <w:color w:val="auto"/>
              </w:rPr>
              <w:t>Audit Committee</w:t>
            </w: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1100" w:type="dxa"/>
            <w:vAlign w:val="bottom"/>
          </w:tcPr>
          <w:p>
            <w:pPr>
              <w:jc w:val="right"/>
              <w:ind w:right="7"/>
              <w:spacing w:after="0"/>
              <w:rPr>
                <w:sz w:val="20"/>
                <w:szCs w:val="20"/>
                <w:color w:val="auto"/>
              </w:rPr>
            </w:pPr>
            <w:r>
              <w:rPr>
                <w:rFonts w:ascii="Arial" w:cs="Arial" w:eastAsia="Arial" w:hAnsi="Arial"/>
                <w:sz w:val="16"/>
                <w:szCs w:val="16"/>
                <w:color w:val="auto"/>
              </w:rPr>
              <w:t> </w:t>
            </w:r>
          </w:p>
        </w:tc>
        <w:tc>
          <w:tcPr>
            <w:tcW w:w="4420" w:type="dxa"/>
            <w:vAlign w:val="bottom"/>
            <w:gridSpan w:val="2"/>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Health, Safety, Environment and Sustainability Committee</w:t>
            </w: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5520" w:type="dxa"/>
            <w:vAlign w:val="bottom"/>
            <w:gridSpan w:val="3"/>
          </w:tcPr>
          <w:p>
            <w:pPr>
              <w:ind w:left="980"/>
              <w:spacing w:after="0" w:line="175" w:lineRule="exact"/>
              <w:rPr>
                <w:sz w:val="20"/>
                <w:szCs w:val="20"/>
                <w:color w:val="auto"/>
              </w:rPr>
            </w:pPr>
            <w:r>
              <w:rPr>
                <w:rFonts w:ascii="Arial" w:cs="Arial" w:eastAsia="Arial" w:hAnsi="Arial"/>
                <w:sz w:val="16"/>
                <w:szCs w:val="16"/>
                <w:b w:val="1"/>
                <w:bCs w:val="1"/>
                <w:color w:val="auto"/>
              </w:rPr>
              <w:t>Other current public directorships:</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1100" w:type="dxa"/>
            <w:vAlign w:val="bottom"/>
          </w:tcPr>
          <w:p>
            <w:pPr>
              <w:jc w:val="right"/>
              <w:ind w:right="7"/>
              <w:spacing w:after="0"/>
              <w:rPr>
                <w:sz w:val="20"/>
                <w:szCs w:val="20"/>
                <w:color w:val="auto"/>
              </w:rPr>
            </w:pPr>
            <w:r>
              <w:rPr>
                <w:rFonts w:ascii="Arial" w:cs="Arial" w:eastAsia="Arial" w:hAnsi="Arial"/>
                <w:sz w:val="16"/>
                <w:szCs w:val="16"/>
                <w:color w:val="auto"/>
              </w:rPr>
              <w:t> </w:t>
            </w:r>
          </w:p>
        </w:tc>
        <w:tc>
          <w:tcPr>
            <w:tcW w:w="4420" w:type="dxa"/>
            <w:vAlign w:val="bottom"/>
            <w:gridSpan w:val="2"/>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Penske Automotive Group, Inc.</w:t>
            </w:r>
          </w:p>
        </w:tc>
        <w:tc>
          <w:tcPr>
            <w:tcW w:w="0" w:type="dxa"/>
            <w:vAlign w:val="bottom"/>
          </w:tcPr>
          <w:p>
            <w:pPr>
              <w:spacing w:after="0"/>
              <w:rPr>
                <w:sz w:val="1"/>
                <w:szCs w:val="1"/>
                <w:color w:val="auto"/>
              </w:rPr>
            </w:pPr>
          </w:p>
        </w:tc>
      </w:tr>
      <w:tr>
        <w:trPr>
          <w:trHeight w:val="187"/>
        </w:trPr>
        <w:tc>
          <w:tcPr>
            <w:tcW w:w="840" w:type="dxa"/>
            <w:vAlign w:val="bottom"/>
            <w:vMerge w:val="restart"/>
          </w:tcPr>
          <w:p>
            <w:pPr>
              <w:spacing w:after="0"/>
              <w:rPr>
                <w:sz w:val="20"/>
                <w:szCs w:val="20"/>
                <w:color w:val="auto"/>
              </w:rPr>
            </w:pPr>
            <w:r>
              <w:rPr>
                <w:rFonts w:ascii="Arial" w:cs="Arial" w:eastAsia="Arial" w:hAnsi="Arial"/>
                <w:sz w:val="16"/>
                <w:szCs w:val="16"/>
                <w:color w:val="auto"/>
              </w:rPr>
              <w:t> </w:t>
            </w:r>
          </w:p>
        </w:tc>
        <w:tc>
          <w:tcPr>
            <w:tcW w:w="1100" w:type="dxa"/>
            <w:vAlign w:val="bottom"/>
          </w:tcPr>
          <w:p>
            <w:pPr>
              <w:jc w:val="right"/>
              <w:ind w:right="7"/>
              <w:spacing w:after="0"/>
              <w:rPr>
                <w:sz w:val="20"/>
                <w:szCs w:val="20"/>
                <w:color w:val="auto"/>
              </w:rPr>
            </w:pPr>
            <w:r>
              <w:rPr>
                <w:rFonts w:ascii="Arial" w:cs="Arial" w:eastAsia="Arial" w:hAnsi="Arial"/>
                <w:sz w:val="16"/>
                <w:szCs w:val="16"/>
                <w:color w:val="auto"/>
              </w:rPr>
              <w:t> </w:t>
            </w:r>
          </w:p>
        </w:tc>
        <w:tc>
          <w:tcPr>
            <w:tcW w:w="4420" w:type="dxa"/>
            <w:vAlign w:val="bottom"/>
            <w:gridSpan w:val="2"/>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Air Products and Chemicals, Inc.</w:t>
            </w:r>
          </w:p>
        </w:tc>
        <w:tc>
          <w:tcPr>
            <w:tcW w:w="0" w:type="dxa"/>
            <w:vAlign w:val="bottom"/>
          </w:tcPr>
          <w:p>
            <w:pPr>
              <w:spacing w:after="0"/>
              <w:rPr>
                <w:sz w:val="1"/>
                <w:szCs w:val="1"/>
                <w:color w:val="auto"/>
              </w:rPr>
            </w:pPr>
          </w:p>
        </w:tc>
      </w:tr>
      <w:tr>
        <w:trPr>
          <w:trHeight w:val="106"/>
        </w:trPr>
        <w:tc>
          <w:tcPr>
            <w:tcW w:w="840" w:type="dxa"/>
            <w:vAlign w:val="bottom"/>
            <w:vMerge w:val="continue"/>
          </w:tcPr>
          <w:p>
            <w:pPr>
              <w:spacing w:after="0"/>
              <w:rPr>
                <w:sz w:val="9"/>
                <w:szCs w:val="9"/>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6"/>
                <w:szCs w:val="16"/>
                <w:color w:val="auto"/>
              </w:rPr>
              <w:t> </w:t>
            </w:r>
          </w:p>
        </w:tc>
        <w:tc>
          <w:tcPr>
            <w:tcW w:w="240" w:type="dxa"/>
            <w:vAlign w:val="bottom"/>
            <w:vMerge w:val="restart"/>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w:t>
            </w:r>
          </w:p>
        </w:tc>
        <w:tc>
          <w:tcPr>
            <w:tcW w:w="4180" w:type="dxa"/>
            <w:vAlign w:val="bottom"/>
            <w:vMerge w:val="restart"/>
          </w:tcPr>
          <w:p>
            <w:pPr>
              <w:ind w:left="60"/>
              <w:spacing w:after="0"/>
              <w:rPr>
                <w:sz w:val="20"/>
                <w:szCs w:val="20"/>
                <w:color w:val="auto"/>
              </w:rPr>
            </w:pPr>
            <w:r>
              <w:rPr>
                <w:rFonts w:ascii="Arial" w:cs="Arial" w:eastAsia="Arial" w:hAnsi="Arial"/>
                <w:sz w:val="16"/>
                <w:szCs w:val="16"/>
                <w:color w:val="auto"/>
              </w:rPr>
              <w:t>Phillips 66</w:t>
            </w:r>
          </w:p>
        </w:tc>
        <w:tc>
          <w:tcPr>
            <w:tcW w:w="0" w:type="dxa"/>
            <w:vAlign w:val="bottom"/>
          </w:tcPr>
          <w:p>
            <w:pPr>
              <w:spacing w:after="0"/>
              <w:rPr>
                <w:sz w:val="1"/>
                <w:szCs w:val="1"/>
                <w:color w:val="auto"/>
              </w:rPr>
            </w:pPr>
          </w:p>
        </w:tc>
      </w:tr>
      <w:tr>
        <w:trPr>
          <w:trHeight w:val="81"/>
        </w:trPr>
        <w:tc>
          <w:tcPr>
            <w:tcW w:w="8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840" w:type="dxa"/>
            <w:vAlign w:val="bottom"/>
          </w:tcPr>
          <w:p>
            <w:pPr>
              <w:spacing w:after="0"/>
              <w:rPr>
                <w:sz w:val="19"/>
                <w:szCs w:val="19"/>
                <w:color w:val="auto"/>
              </w:rPr>
            </w:pPr>
          </w:p>
        </w:tc>
        <w:tc>
          <w:tcPr>
            <w:tcW w:w="1100" w:type="dxa"/>
            <w:vAlign w:val="bottom"/>
          </w:tcPr>
          <w:p>
            <w:pPr>
              <w:jc w:val="right"/>
              <w:ind w:right="7"/>
              <w:spacing w:after="0"/>
              <w:rPr>
                <w:sz w:val="20"/>
                <w:szCs w:val="20"/>
                <w:color w:val="auto"/>
              </w:rPr>
            </w:pPr>
            <w:r>
              <w:rPr>
                <w:rFonts w:ascii="Arial" w:cs="Arial" w:eastAsia="Arial" w:hAnsi="Arial"/>
                <w:sz w:val="16"/>
                <w:szCs w:val="16"/>
                <w:color w:val="auto"/>
              </w:rPr>
              <w:t> </w:t>
            </w:r>
          </w:p>
        </w:tc>
        <w:tc>
          <w:tcPr>
            <w:tcW w:w="240" w:type="dxa"/>
            <w:vAlign w:val="bottom"/>
          </w:tcPr>
          <w:p>
            <w:pPr>
              <w:ind w:left="4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w:t>
            </w:r>
          </w:p>
        </w:tc>
        <w:tc>
          <w:tcPr>
            <w:tcW w:w="4180" w:type="dxa"/>
            <w:vAlign w:val="bottom"/>
          </w:tcPr>
          <w:p>
            <w:pPr>
              <w:ind w:left="60"/>
              <w:spacing w:after="0"/>
              <w:rPr>
                <w:sz w:val="20"/>
                <w:szCs w:val="20"/>
                <w:color w:val="auto"/>
              </w:rPr>
            </w:pPr>
            <w:r>
              <w:rPr>
                <w:rFonts w:ascii="Arial" w:cs="Arial" w:eastAsia="Arial" w:hAnsi="Arial"/>
                <w:sz w:val="16"/>
                <w:szCs w:val="16"/>
                <w:color w:val="auto"/>
              </w:rPr>
              <w:t>C3.ai, Inc.</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Ms. Davis serves on the Board of Directors of Penske Automotive Group, Inc, and is a member of Penske’s</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Compensation and Management Development Committee and Nominating and Corporate Governance Committee.</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Since March 2020 she has also served on the Board of Directors of Air Products and Chemicals, Inc., and is a</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member of Air Products’ Corporate Governance and Nominating Committee and Management Development and</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Compensation Committee. Ms. Davis also serves on the Board of Directors of Phillips 66, having joined in October</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2020, and is a member of the Human Resources and Compensation and Public Policy and Sustainability</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Committees. In December 2021, Ms. Davis joined the Board of Directors of C3.ai, Inc. where she serves on the Audit</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Committee. From August 2014 to February 2020, Ms. Davis was a member of the Managing Board of Siemens AG</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and a member of the Board of Directors of Siemens Gamesa Renewable Energy SA, with responsibility as CEO for</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Siemens Gas and Power. Appointed to the Siemens Board in August 2014, she was responsible for the company’s</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Power and Gas Operating Company which includes Power Generation, Power Services, Oil and Gas, Transmission</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and New Fuels. Prior to joining Siemens, Ms. Davis served as an Executive Vice President of Downstream Strategy,</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Portfolio and Alternate Energy for Royal Dutch Shell PLC. From 2000 to 2012, she served in various capacities for</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Royal Dutch Shell including Refining Operations, Supply and Trading, and Lubricants and Bulk Fuels Sales and</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Marketing. From 2015 to 2016, Ms. Davis served as a member of the Board of Spectris PLC. Ms. Davis began her</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career in the oil and gas industry at Chevron Corporation, later moving to Exxon USA and Texaco Refining and</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Marketing Inc in a range of roles from upstream production to offshore project development to refining operations</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planning. Ms. Davis holds a Bachelor of Science degree (honors) in Chemical Engineering from the University of</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California, Berkeley.</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Ms. Davis has chosen not to stand for re-election at the annual stockholders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1270</wp:posOffset>
            </wp:positionV>
            <wp:extent cx="53054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05425" cy="8255"/>
                    </a:xfrm>
                    <a:prstGeom prst="rect">
                      <a:avLst/>
                    </a:prstGeom>
                    <a:noFill/>
                  </pic:spPr>
                </pic:pic>
              </a:graphicData>
            </a:graphic>
          </wp:anchor>
        </w:drawing>
      </w:r>
    </w:p>
    <w:p>
      <w:pPr>
        <w:spacing w:after="0" w:line="108"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12</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80"/>
        </w:trPr>
        <w:tc>
          <w:tcPr>
            <w:tcW w:w="920" w:type="dxa"/>
            <w:vAlign w:val="bottom"/>
            <w:vMerge w:val="continue"/>
          </w:tcPr>
          <w:p>
            <w:pPr>
              <w:spacing w:after="0"/>
              <w:rPr>
                <w:sz w:val="24"/>
                <w:szCs w:val="24"/>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245110</wp:posOffset>
            </wp:positionV>
            <wp:extent cx="53054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Arial" w:cs="Arial" w:eastAsia="Arial" w:hAnsi="Arial"/>
          <w:sz w:val="42"/>
          <w:szCs w:val="42"/>
          <w:color w:val="2A3D6C"/>
        </w:rPr>
        <w:t>CORPORATE GOVERNANCE MATTERS</w:t>
      </w:r>
    </w:p>
    <w:p>
      <w:pPr>
        <w:sectPr>
          <w:pgSz w:w="11900" w:h="16838" w:orient="portrait"/>
          <w:cols w:equalWidth="0" w:num="1">
            <w:col w:w="9019"/>
          </w:cols>
          <w:pgMar w:left="1440" w:top="262" w:right="1440" w:bottom="1440" w:gutter="0" w:footer="0" w:header="0"/>
        </w:sectPr>
      </w:pPr>
    </w:p>
    <w:p>
      <w:pPr>
        <w:spacing w:after="0" w:line="141"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Board Composition</w:t>
      </w:r>
    </w:p>
    <w:p>
      <w:pPr>
        <w:spacing w:after="0" w:line="129" w:lineRule="exact"/>
        <w:rPr>
          <w:sz w:val="20"/>
          <w:szCs w:val="20"/>
          <w:color w:val="auto"/>
        </w:rPr>
      </w:pPr>
    </w:p>
    <w:p>
      <w:pPr>
        <w:ind w:left="320"/>
        <w:spacing w:after="0" w:line="257" w:lineRule="auto"/>
        <w:rPr>
          <w:sz w:val="20"/>
          <w:szCs w:val="20"/>
          <w:color w:val="auto"/>
        </w:rPr>
      </w:pPr>
      <w:r>
        <w:rPr>
          <w:rFonts w:ascii="Arial" w:cs="Arial" w:eastAsia="Arial" w:hAnsi="Arial"/>
          <w:sz w:val="16"/>
          <w:szCs w:val="16"/>
          <w:color w:val="auto"/>
        </w:rPr>
        <w:t>As of the date of this Proxy Statement, our Board has seven directors. Our Bylaws provide that the Board shall consist of not less than five directors and not more than 15 directors, and the number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both"/>
        <w:ind w:right="679"/>
        <w:spacing w:after="0" w:line="257" w:lineRule="auto"/>
        <w:rPr>
          <w:sz w:val="20"/>
          <w:szCs w:val="20"/>
          <w:color w:val="auto"/>
        </w:rPr>
      </w:pPr>
      <w:r>
        <w:rPr>
          <w:rFonts w:ascii="Arial" w:cs="Arial" w:eastAsia="Arial" w:hAnsi="Arial"/>
          <w:sz w:val="16"/>
          <w:szCs w:val="16"/>
          <w:color w:val="auto"/>
        </w:rPr>
        <w:t>may be changed only by resolution adopted by the affirmative vote of a majority of the entire Board. No decrease in the number of directors may shorten the term of any incumbent director.</w:t>
      </w:r>
    </w:p>
    <w:p>
      <w:pPr>
        <w:spacing w:after="0" w:line="117" w:lineRule="exact"/>
        <w:rPr>
          <w:sz w:val="20"/>
          <w:szCs w:val="20"/>
          <w:color w:val="auto"/>
        </w:rPr>
      </w:pPr>
    </w:p>
    <w:p>
      <w:pPr>
        <w:sectPr>
          <w:pgSz w:w="11900" w:h="16838" w:orient="portrait"/>
          <w:cols w:equalWidth="0" w:num="2">
            <w:col w:w="4320" w:space="30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Board Leadership Structure</w:t>
      </w:r>
    </w:p>
    <w:p>
      <w:pPr>
        <w:spacing w:after="0" w:line="129" w:lineRule="exact"/>
        <w:rPr>
          <w:sz w:val="20"/>
          <w:szCs w:val="20"/>
          <w:color w:val="auto"/>
        </w:rPr>
      </w:pPr>
    </w:p>
    <w:p>
      <w:pPr>
        <w:ind w:left="320"/>
        <w:spacing w:after="0" w:line="250" w:lineRule="auto"/>
        <w:rPr>
          <w:sz w:val="20"/>
          <w:szCs w:val="20"/>
          <w:color w:val="auto"/>
        </w:rPr>
      </w:pPr>
      <w:r>
        <w:rPr>
          <w:rFonts w:ascii="Arial" w:cs="Arial" w:eastAsia="Arial" w:hAnsi="Arial"/>
          <w:sz w:val="16"/>
          <w:szCs w:val="16"/>
          <w:color w:val="auto"/>
        </w:rPr>
        <w:t>The Board recognizes that one of its key responsibilities is to evaluate and determine its optimal leadership structure so as to provide independent oversight of management. The Board understands that the optimal Board leadership structure may vary as circumstances warrant. Consistent with this understanding, non-management directors consider the Board’s leadership structure on an annual basis.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339"/>
        <w:spacing w:after="0" w:line="250" w:lineRule="auto"/>
        <w:rPr>
          <w:sz w:val="20"/>
          <w:szCs w:val="20"/>
          <w:color w:val="auto"/>
        </w:rPr>
      </w:pPr>
      <w:r>
        <w:rPr>
          <w:rFonts w:ascii="Arial" w:cs="Arial" w:eastAsia="Arial" w:hAnsi="Arial"/>
          <w:sz w:val="16"/>
          <w:szCs w:val="16"/>
          <w:color w:val="auto"/>
        </w:rPr>
        <w:t>The Board has determined that the optimal Board leadership structure for us is served by the role of Chairman of the Board being held by our Chief Executive Officer, Mr. Inglis, because it believes that having one leader serving as both the Chairman and Chief Executive Officer provides decisive, consistent and effective leadership.</w:t>
      </w:r>
    </w:p>
    <w:p>
      <w:pPr>
        <w:spacing w:after="0" w:line="299" w:lineRule="exact"/>
        <w:rPr>
          <w:sz w:val="20"/>
          <w:szCs w:val="20"/>
          <w:color w:val="auto"/>
        </w:rPr>
      </w:pPr>
    </w:p>
    <w:p>
      <w:pPr>
        <w:sectPr>
          <w:pgSz w:w="11900" w:h="16838" w:orient="portrait"/>
          <w:cols w:equalWidth="0" w:num="2">
            <w:col w:w="4300" w:space="32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Committees of the Board of Directors</w:t>
      </w:r>
    </w:p>
    <w:p>
      <w:pPr>
        <w:spacing w:after="0" w:line="129" w:lineRule="exact"/>
        <w:rPr>
          <w:sz w:val="20"/>
          <w:szCs w:val="20"/>
          <w:color w:val="auto"/>
        </w:rPr>
      </w:pPr>
    </w:p>
    <w:p>
      <w:pPr>
        <w:ind w:left="320" w:right="100"/>
        <w:spacing w:after="0" w:line="249" w:lineRule="auto"/>
        <w:rPr>
          <w:sz w:val="20"/>
          <w:szCs w:val="20"/>
          <w:color w:val="auto"/>
        </w:rPr>
      </w:pPr>
      <w:r>
        <w:rPr>
          <w:rFonts w:ascii="Arial" w:cs="Arial" w:eastAsia="Arial" w:hAnsi="Arial"/>
          <w:sz w:val="16"/>
          <w:szCs w:val="16"/>
          <w:color w:val="auto"/>
        </w:rPr>
        <w:t>As of the date of this Proxy Statement, our Board has an Audit Committee, Compensation Committee, Nominating and Corporate Governance Committee, and Health, Safety, Environment and Sustainability Committee, and may have such other committees as the Board shall determine from time to time. Pursuant to the NYSE’s corporate governance standards, we are required to have an audit committee, a compensation committee and a nominating and corporate governance committee.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479"/>
        <w:spacing w:after="0" w:line="250" w:lineRule="auto"/>
        <w:rPr>
          <w:sz w:val="20"/>
          <w:szCs w:val="20"/>
          <w:color w:val="auto"/>
        </w:rPr>
      </w:pPr>
      <w:r>
        <w:rPr>
          <w:rFonts w:ascii="Arial" w:cs="Arial" w:eastAsia="Arial" w:hAnsi="Arial"/>
          <w:sz w:val="16"/>
          <w:szCs w:val="16"/>
          <w:color w:val="auto"/>
        </w:rPr>
        <w:t>We are required to perform an annual performance evaluation of our Audit, Compensation and Nominating and Corporate Governance Committees. As of the date hereof, we are in compliance with the NYSE corporate governance requirements, including with respect to independence requirements for each of our Audit, Compensation and Nominating and Corporate Governance Committees.</w:t>
      </w:r>
    </w:p>
    <w:p>
      <w:pPr>
        <w:spacing w:after="0" w:line="260" w:lineRule="exact"/>
        <w:rPr>
          <w:sz w:val="20"/>
          <w:szCs w:val="20"/>
          <w:color w:val="auto"/>
        </w:rPr>
      </w:pPr>
    </w:p>
    <w:p>
      <w:pPr>
        <w:sectPr>
          <w:pgSz w:w="11900" w:h="16838" w:orient="portrait"/>
          <w:cols w:equalWidth="0" w:num="2">
            <w:col w:w="4460" w:space="16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16"/>
          <w:szCs w:val="16"/>
          <w:color w:val="auto"/>
        </w:rPr>
        <w:t>The composition of the Committees of the Board of Directors is:</w:t>
      </w:r>
    </w:p>
    <w:p>
      <w:pPr>
        <w:spacing w:after="0" w:line="98" w:lineRule="exact"/>
        <w:rPr>
          <w:sz w:val="20"/>
          <w:szCs w:val="20"/>
          <w:color w:val="auto"/>
        </w:rPr>
      </w:pPr>
    </w:p>
    <w:tbl>
      <w:tblPr>
        <w:tblLayout w:type="fixed"/>
        <w:tblInd w:w="32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80" w:type="dxa"/>
            <w:vAlign w:val="bottom"/>
            <w:shd w:val="clear" w:color="auto" w:fill="606489"/>
          </w:tcPr>
          <w:p>
            <w:pPr>
              <w:spacing w:after="0"/>
              <w:rPr>
                <w:sz w:val="22"/>
                <w:szCs w:val="22"/>
                <w:color w:val="auto"/>
              </w:rPr>
            </w:pPr>
          </w:p>
        </w:tc>
        <w:tc>
          <w:tcPr>
            <w:tcW w:w="120" w:type="dxa"/>
            <w:vAlign w:val="bottom"/>
            <w:shd w:val="clear" w:color="auto" w:fill="606489"/>
          </w:tcPr>
          <w:p>
            <w:pPr>
              <w:spacing w:after="0"/>
              <w:rPr>
                <w:sz w:val="22"/>
                <w:szCs w:val="22"/>
                <w:color w:val="auto"/>
              </w:rPr>
            </w:pPr>
          </w:p>
        </w:tc>
        <w:tc>
          <w:tcPr>
            <w:tcW w:w="1580" w:type="dxa"/>
            <w:vAlign w:val="bottom"/>
            <w:shd w:val="clear" w:color="auto" w:fill="606489"/>
          </w:tcPr>
          <w:p>
            <w:pPr>
              <w:spacing w:after="0"/>
              <w:rPr>
                <w:sz w:val="22"/>
                <w:szCs w:val="22"/>
                <w:color w:val="auto"/>
              </w:rPr>
            </w:pPr>
          </w:p>
        </w:tc>
        <w:tc>
          <w:tcPr>
            <w:tcW w:w="100" w:type="dxa"/>
            <w:vAlign w:val="bottom"/>
            <w:shd w:val="clear" w:color="auto" w:fill="606489"/>
          </w:tcPr>
          <w:p>
            <w:pPr>
              <w:spacing w:after="0"/>
              <w:rPr>
                <w:sz w:val="22"/>
                <w:szCs w:val="22"/>
                <w:color w:val="auto"/>
              </w:rPr>
            </w:pPr>
          </w:p>
        </w:tc>
        <w:tc>
          <w:tcPr>
            <w:tcW w:w="80" w:type="dxa"/>
            <w:vAlign w:val="bottom"/>
            <w:shd w:val="clear" w:color="auto" w:fill="606489"/>
          </w:tcPr>
          <w:p>
            <w:pPr>
              <w:spacing w:after="0"/>
              <w:rPr>
                <w:sz w:val="22"/>
                <w:szCs w:val="22"/>
                <w:color w:val="auto"/>
              </w:rPr>
            </w:pPr>
          </w:p>
        </w:tc>
        <w:tc>
          <w:tcPr>
            <w:tcW w:w="120" w:type="dxa"/>
            <w:vAlign w:val="bottom"/>
            <w:shd w:val="clear" w:color="auto" w:fill="606489"/>
          </w:tcPr>
          <w:p>
            <w:pPr>
              <w:spacing w:after="0"/>
              <w:rPr>
                <w:sz w:val="22"/>
                <w:szCs w:val="22"/>
                <w:color w:val="auto"/>
              </w:rPr>
            </w:pPr>
          </w:p>
        </w:tc>
        <w:tc>
          <w:tcPr>
            <w:tcW w:w="80" w:type="dxa"/>
            <w:vAlign w:val="bottom"/>
            <w:shd w:val="clear" w:color="auto" w:fill="606489"/>
          </w:tcPr>
          <w:p>
            <w:pPr>
              <w:spacing w:after="0"/>
              <w:rPr>
                <w:sz w:val="22"/>
                <w:szCs w:val="22"/>
                <w:color w:val="auto"/>
              </w:rPr>
            </w:pPr>
          </w:p>
        </w:tc>
        <w:tc>
          <w:tcPr>
            <w:tcW w:w="260" w:type="dxa"/>
            <w:vAlign w:val="bottom"/>
            <w:shd w:val="clear" w:color="auto" w:fill="606489"/>
          </w:tcPr>
          <w:p>
            <w:pPr>
              <w:spacing w:after="0"/>
              <w:rPr>
                <w:sz w:val="22"/>
                <w:szCs w:val="22"/>
                <w:color w:val="auto"/>
              </w:rPr>
            </w:pPr>
          </w:p>
        </w:tc>
        <w:tc>
          <w:tcPr>
            <w:tcW w:w="1080" w:type="dxa"/>
            <w:vAlign w:val="bottom"/>
            <w:shd w:val="clear" w:color="auto" w:fill="606489"/>
          </w:tcPr>
          <w:p>
            <w:pPr>
              <w:spacing w:after="0"/>
              <w:rPr>
                <w:sz w:val="22"/>
                <w:szCs w:val="22"/>
                <w:color w:val="auto"/>
              </w:rPr>
            </w:pPr>
          </w:p>
        </w:tc>
        <w:tc>
          <w:tcPr>
            <w:tcW w:w="200" w:type="dxa"/>
            <w:vAlign w:val="bottom"/>
            <w:shd w:val="clear" w:color="auto" w:fill="606489"/>
          </w:tcPr>
          <w:p>
            <w:pPr>
              <w:spacing w:after="0"/>
              <w:rPr>
                <w:sz w:val="22"/>
                <w:szCs w:val="22"/>
                <w:color w:val="auto"/>
              </w:rPr>
            </w:pPr>
          </w:p>
        </w:tc>
        <w:tc>
          <w:tcPr>
            <w:tcW w:w="160" w:type="dxa"/>
            <w:vAlign w:val="bottom"/>
            <w:shd w:val="clear" w:color="auto" w:fill="606489"/>
          </w:tcPr>
          <w:p>
            <w:pPr>
              <w:spacing w:after="0"/>
              <w:rPr>
                <w:sz w:val="22"/>
                <w:szCs w:val="22"/>
                <w:color w:val="auto"/>
              </w:rPr>
            </w:pPr>
          </w:p>
        </w:tc>
        <w:tc>
          <w:tcPr>
            <w:tcW w:w="1220" w:type="dxa"/>
            <w:vAlign w:val="bottom"/>
            <w:shd w:val="clear" w:color="auto" w:fill="606489"/>
          </w:tcPr>
          <w:p>
            <w:pPr>
              <w:spacing w:after="0"/>
              <w:rPr>
                <w:sz w:val="22"/>
                <w:szCs w:val="22"/>
                <w:color w:val="auto"/>
              </w:rPr>
            </w:pPr>
          </w:p>
        </w:tc>
        <w:tc>
          <w:tcPr>
            <w:tcW w:w="140" w:type="dxa"/>
            <w:vAlign w:val="bottom"/>
            <w:shd w:val="clear" w:color="auto" w:fill="606489"/>
          </w:tcPr>
          <w:p>
            <w:pPr>
              <w:spacing w:after="0"/>
              <w:rPr>
                <w:sz w:val="22"/>
                <w:szCs w:val="22"/>
                <w:color w:val="auto"/>
              </w:rPr>
            </w:pPr>
          </w:p>
        </w:tc>
        <w:tc>
          <w:tcPr>
            <w:tcW w:w="120" w:type="dxa"/>
            <w:vAlign w:val="bottom"/>
            <w:shd w:val="clear" w:color="auto" w:fill="606489"/>
          </w:tcPr>
          <w:p>
            <w:pPr>
              <w:spacing w:after="0"/>
              <w:rPr>
                <w:sz w:val="22"/>
                <w:szCs w:val="22"/>
                <w:color w:val="auto"/>
              </w:rPr>
            </w:pPr>
          </w:p>
        </w:tc>
        <w:tc>
          <w:tcPr>
            <w:tcW w:w="1340" w:type="dxa"/>
            <w:vAlign w:val="bottom"/>
            <w:shd w:val="clear" w:color="auto" w:fill="606489"/>
          </w:tcPr>
          <w:p>
            <w:pPr>
              <w:jc w:val="center"/>
              <w:spacing w:after="0"/>
              <w:rPr>
                <w:sz w:val="20"/>
                <w:szCs w:val="20"/>
                <w:color w:val="auto"/>
              </w:rPr>
            </w:pPr>
            <w:r>
              <w:rPr>
                <w:rFonts w:ascii="Arial" w:cs="Arial" w:eastAsia="Arial" w:hAnsi="Arial"/>
                <w:sz w:val="14"/>
                <w:szCs w:val="14"/>
                <w:b w:val="1"/>
                <w:bCs w:val="1"/>
                <w:color w:val="FFFFFF"/>
              </w:rPr>
              <w:t>Health, Safety,</w:t>
            </w:r>
          </w:p>
        </w:tc>
        <w:tc>
          <w:tcPr>
            <w:tcW w:w="80" w:type="dxa"/>
            <w:vAlign w:val="bottom"/>
            <w:shd w:val="clear" w:color="auto" w:fill="606489"/>
          </w:tcPr>
          <w:p>
            <w:pPr>
              <w:spacing w:after="0"/>
              <w:rPr>
                <w:sz w:val="22"/>
                <w:szCs w:val="22"/>
                <w:color w:val="auto"/>
              </w:rPr>
            </w:pPr>
          </w:p>
        </w:tc>
        <w:tc>
          <w:tcPr>
            <w:tcW w:w="160" w:type="dxa"/>
            <w:vAlign w:val="bottom"/>
            <w:shd w:val="clear" w:color="auto" w:fill="606489"/>
          </w:tcPr>
          <w:p>
            <w:pPr>
              <w:spacing w:after="0"/>
              <w:rPr>
                <w:sz w:val="22"/>
                <w:szCs w:val="22"/>
                <w:color w:val="auto"/>
              </w:rPr>
            </w:pPr>
          </w:p>
        </w:tc>
        <w:tc>
          <w:tcPr>
            <w:tcW w:w="1240" w:type="dxa"/>
            <w:vAlign w:val="bottom"/>
            <w:shd w:val="clear" w:color="auto" w:fill="606489"/>
          </w:tcPr>
          <w:p>
            <w:pPr>
              <w:jc w:val="center"/>
              <w:spacing w:after="0"/>
              <w:rPr>
                <w:sz w:val="20"/>
                <w:szCs w:val="20"/>
                <w:color w:val="auto"/>
              </w:rPr>
            </w:pPr>
            <w:r>
              <w:rPr>
                <w:rFonts w:ascii="Arial" w:cs="Arial" w:eastAsia="Arial" w:hAnsi="Arial"/>
                <w:sz w:val="14"/>
                <w:szCs w:val="14"/>
                <w:b w:val="1"/>
                <w:bCs w:val="1"/>
                <w:color w:val="FFFFFF"/>
              </w:rPr>
              <w:t>Nominating and</w:t>
            </w:r>
          </w:p>
        </w:tc>
        <w:tc>
          <w:tcPr>
            <w:tcW w:w="180" w:type="dxa"/>
            <w:vAlign w:val="bottom"/>
            <w:shd w:val="clear" w:color="auto" w:fill="606489"/>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606489"/>
          </w:tcPr>
          <w:p>
            <w:pPr>
              <w:spacing w:after="0"/>
              <w:rPr>
                <w:sz w:val="14"/>
                <w:szCs w:val="14"/>
                <w:color w:val="auto"/>
              </w:rPr>
            </w:pPr>
          </w:p>
        </w:tc>
        <w:tc>
          <w:tcPr>
            <w:tcW w:w="120" w:type="dxa"/>
            <w:vAlign w:val="bottom"/>
            <w:shd w:val="clear" w:color="auto" w:fill="606489"/>
          </w:tcPr>
          <w:p>
            <w:pPr>
              <w:spacing w:after="0"/>
              <w:rPr>
                <w:sz w:val="14"/>
                <w:szCs w:val="14"/>
                <w:color w:val="auto"/>
              </w:rPr>
            </w:pPr>
          </w:p>
        </w:tc>
        <w:tc>
          <w:tcPr>
            <w:tcW w:w="1580" w:type="dxa"/>
            <w:vAlign w:val="bottom"/>
            <w:shd w:val="clear" w:color="auto" w:fill="606489"/>
          </w:tcPr>
          <w:p>
            <w:pPr>
              <w:spacing w:after="0"/>
              <w:rPr>
                <w:sz w:val="14"/>
                <w:szCs w:val="14"/>
                <w:color w:val="auto"/>
              </w:rPr>
            </w:pPr>
          </w:p>
        </w:tc>
        <w:tc>
          <w:tcPr>
            <w:tcW w:w="100" w:type="dxa"/>
            <w:vAlign w:val="bottom"/>
            <w:shd w:val="clear" w:color="auto" w:fill="60648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60648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606489"/>
          </w:tcPr>
          <w:p>
            <w:pPr>
              <w:spacing w:after="0"/>
              <w:rPr>
                <w:sz w:val="14"/>
                <w:szCs w:val="14"/>
                <w:color w:val="auto"/>
              </w:rPr>
            </w:pPr>
          </w:p>
        </w:tc>
        <w:tc>
          <w:tcPr>
            <w:tcW w:w="80" w:type="dxa"/>
            <w:vAlign w:val="bottom"/>
            <w:shd w:val="clear" w:color="auto" w:fill="606489"/>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shd w:val="clear" w:color="auto" w:fill="60648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vMerge w:val="restart"/>
            <w:shd w:val="clear" w:color="auto" w:fill="606489"/>
          </w:tcPr>
          <w:p>
            <w:pPr>
              <w:jc w:val="center"/>
              <w:spacing w:after="0"/>
              <w:rPr>
                <w:sz w:val="20"/>
                <w:szCs w:val="20"/>
                <w:color w:val="auto"/>
              </w:rPr>
            </w:pPr>
            <w:r>
              <w:rPr>
                <w:rFonts w:ascii="Arial" w:cs="Arial" w:eastAsia="Arial" w:hAnsi="Arial"/>
                <w:sz w:val="14"/>
                <w:szCs w:val="14"/>
                <w:b w:val="1"/>
                <w:bCs w:val="1"/>
                <w:color w:val="FFFFFF"/>
              </w:rPr>
              <w:t>Audit</w:t>
            </w:r>
          </w:p>
        </w:tc>
        <w:tc>
          <w:tcPr>
            <w:tcW w:w="200" w:type="dxa"/>
            <w:vAlign w:val="bottom"/>
            <w:shd w:val="clear" w:color="auto" w:fill="606489"/>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60648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vMerge w:val="restart"/>
            <w:shd w:val="clear" w:color="auto" w:fill="606489"/>
          </w:tcPr>
          <w:p>
            <w:pPr>
              <w:jc w:val="center"/>
              <w:spacing w:after="0"/>
              <w:rPr>
                <w:sz w:val="20"/>
                <w:szCs w:val="20"/>
                <w:color w:val="auto"/>
              </w:rPr>
            </w:pPr>
            <w:r>
              <w:rPr>
                <w:rFonts w:ascii="Arial" w:cs="Arial" w:eastAsia="Arial" w:hAnsi="Arial"/>
                <w:sz w:val="14"/>
                <w:szCs w:val="14"/>
                <w:b w:val="1"/>
                <w:bCs w:val="1"/>
                <w:color w:val="FFFFFF"/>
              </w:rPr>
              <w:t>Compensation</w:t>
            </w:r>
          </w:p>
        </w:tc>
        <w:tc>
          <w:tcPr>
            <w:tcW w:w="140" w:type="dxa"/>
            <w:vAlign w:val="bottom"/>
            <w:shd w:val="clear" w:color="auto" w:fill="606489"/>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60648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shd w:val="clear" w:color="auto" w:fill="606489"/>
          </w:tcPr>
          <w:p>
            <w:pPr>
              <w:jc w:val="center"/>
              <w:spacing w:after="0"/>
              <w:rPr>
                <w:sz w:val="20"/>
                <w:szCs w:val="20"/>
                <w:color w:val="auto"/>
              </w:rPr>
            </w:pPr>
            <w:r>
              <w:rPr>
                <w:rFonts w:ascii="Arial" w:cs="Arial" w:eastAsia="Arial" w:hAnsi="Arial"/>
                <w:sz w:val="14"/>
                <w:szCs w:val="14"/>
                <w:b w:val="1"/>
                <w:bCs w:val="1"/>
                <w:color w:val="FFFFFF"/>
              </w:rPr>
              <w:t>Environment</w:t>
            </w:r>
          </w:p>
        </w:tc>
        <w:tc>
          <w:tcPr>
            <w:tcW w:w="80" w:type="dxa"/>
            <w:vAlign w:val="bottom"/>
            <w:shd w:val="clear" w:color="auto" w:fill="60648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60648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40" w:type="dxa"/>
            <w:vAlign w:val="bottom"/>
            <w:shd w:val="clear" w:color="auto" w:fill="606489"/>
          </w:tcPr>
          <w:p>
            <w:pPr>
              <w:jc w:val="center"/>
              <w:spacing w:after="0"/>
              <w:rPr>
                <w:sz w:val="20"/>
                <w:szCs w:val="20"/>
                <w:color w:val="auto"/>
              </w:rPr>
            </w:pPr>
            <w:r>
              <w:rPr>
                <w:rFonts w:ascii="Arial" w:cs="Arial" w:eastAsia="Arial" w:hAnsi="Arial"/>
                <w:sz w:val="14"/>
                <w:szCs w:val="14"/>
                <w:b w:val="1"/>
                <w:bCs w:val="1"/>
                <w:color w:val="FFFFFF"/>
              </w:rPr>
              <w:t>Corporate</w:t>
            </w:r>
          </w:p>
        </w:tc>
        <w:tc>
          <w:tcPr>
            <w:tcW w:w="180" w:type="dxa"/>
            <w:vAlign w:val="bottom"/>
            <w:shd w:val="clear" w:color="auto" w:fill="606489"/>
          </w:tcPr>
          <w:p>
            <w:pPr>
              <w:ind w:left="8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shd w:val="clear" w:color="auto" w:fill="606489"/>
          </w:tcPr>
          <w:p>
            <w:pPr>
              <w:spacing w:after="0"/>
              <w:rPr>
                <w:sz w:val="13"/>
                <w:szCs w:val="13"/>
                <w:color w:val="auto"/>
              </w:rPr>
            </w:pPr>
          </w:p>
        </w:tc>
        <w:tc>
          <w:tcPr>
            <w:tcW w:w="120" w:type="dxa"/>
            <w:vAlign w:val="bottom"/>
            <w:shd w:val="clear" w:color="auto" w:fill="606489"/>
          </w:tcPr>
          <w:p>
            <w:pPr>
              <w:spacing w:after="0"/>
              <w:rPr>
                <w:sz w:val="13"/>
                <w:szCs w:val="13"/>
                <w:color w:val="auto"/>
              </w:rPr>
            </w:pPr>
          </w:p>
        </w:tc>
        <w:tc>
          <w:tcPr>
            <w:tcW w:w="1580" w:type="dxa"/>
            <w:vAlign w:val="bottom"/>
            <w:shd w:val="clear" w:color="auto" w:fill="606489"/>
          </w:tcPr>
          <w:p>
            <w:pPr>
              <w:spacing w:after="0"/>
              <w:rPr>
                <w:sz w:val="13"/>
                <w:szCs w:val="13"/>
                <w:color w:val="auto"/>
              </w:rPr>
            </w:pPr>
          </w:p>
        </w:tc>
        <w:tc>
          <w:tcPr>
            <w:tcW w:w="100" w:type="dxa"/>
            <w:vAlign w:val="bottom"/>
            <w:shd w:val="clear" w:color="auto" w:fill="606489"/>
          </w:tcPr>
          <w:p>
            <w:pPr>
              <w:spacing w:after="0"/>
              <w:rPr>
                <w:sz w:val="13"/>
                <w:szCs w:val="13"/>
                <w:color w:val="auto"/>
              </w:rPr>
            </w:pPr>
          </w:p>
        </w:tc>
        <w:tc>
          <w:tcPr>
            <w:tcW w:w="80" w:type="dxa"/>
            <w:vAlign w:val="bottom"/>
            <w:shd w:val="clear" w:color="auto" w:fill="606489"/>
          </w:tcPr>
          <w:p>
            <w:pPr>
              <w:spacing w:after="0"/>
              <w:rPr>
                <w:sz w:val="13"/>
                <w:szCs w:val="13"/>
                <w:color w:val="auto"/>
              </w:rPr>
            </w:pPr>
          </w:p>
        </w:tc>
        <w:tc>
          <w:tcPr>
            <w:tcW w:w="120" w:type="dxa"/>
            <w:vAlign w:val="bottom"/>
            <w:shd w:val="clear" w:color="auto" w:fill="606489"/>
          </w:tcPr>
          <w:p>
            <w:pPr>
              <w:spacing w:after="0"/>
              <w:rPr>
                <w:sz w:val="13"/>
                <w:szCs w:val="13"/>
                <w:color w:val="auto"/>
              </w:rPr>
            </w:pPr>
          </w:p>
        </w:tc>
        <w:tc>
          <w:tcPr>
            <w:tcW w:w="80" w:type="dxa"/>
            <w:vAlign w:val="bottom"/>
            <w:shd w:val="clear" w:color="auto" w:fill="606489"/>
          </w:tcPr>
          <w:p>
            <w:pPr>
              <w:spacing w:after="0"/>
              <w:rPr>
                <w:sz w:val="13"/>
                <w:szCs w:val="13"/>
                <w:color w:val="auto"/>
              </w:rPr>
            </w:pPr>
          </w:p>
        </w:tc>
        <w:tc>
          <w:tcPr>
            <w:tcW w:w="260" w:type="dxa"/>
            <w:vAlign w:val="bottom"/>
            <w:shd w:val="clear" w:color="auto" w:fill="606489"/>
          </w:tcPr>
          <w:p>
            <w:pPr>
              <w:spacing w:after="0"/>
              <w:rPr>
                <w:sz w:val="13"/>
                <w:szCs w:val="13"/>
                <w:color w:val="auto"/>
              </w:rPr>
            </w:pPr>
          </w:p>
        </w:tc>
        <w:tc>
          <w:tcPr>
            <w:tcW w:w="1080" w:type="dxa"/>
            <w:vAlign w:val="bottom"/>
            <w:vMerge w:val="continue"/>
            <w:shd w:val="clear" w:color="auto" w:fill="606489"/>
          </w:tcPr>
          <w:p>
            <w:pPr>
              <w:spacing w:after="0"/>
              <w:rPr>
                <w:sz w:val="13"/>
                <w:szCs w:val="13"/>
                <w:color w:val="auto"/>
              </w:rPr>
            </w:pPr>
          </w:p>
        </w:tc>
        <w:tc>
          <w:tcPr>
            <w:tcW w:w="200" w:type="dxa"/>
            <w:vAlign w:val="bottom"/>
            <w:shd w:val="clear" w:color="auto" w:fill="606489"/>
          </w:tcPr>
          <w:p>
            <w:pPr>
              <w:spacing w:after="0"/>
              <w:rPr>
                <w:sz w:val="13"/>
                <w:szCs w:val="13"/>
                <w:color w:val="auto"/>
              </w:rPr>
            </w:pPr>
          </w:p>
        </w:tc>
        <w:tc>
          <w:tcPr>
            <w:tcW w:w="160" w:type="dxa"/>
            <w:vAlign w:val="bottom"/>
            <w:shd w:val="clear" w:color="auto" w:fill="606489"/>
          </w:tcPr>
          <w:p>
            <w:pPr>
              <w:spacing w:after="0"/>
              <w:rPr>
                <w:sz w:val="13"/>
                <w:szCs w:val="13"/>
                <w:color w:val="auto"/>
              </w:rPr>
            </w:pPr>
          </w:p>
        </w:tc>
        <w:tc>
          <w:tcPr>
            <w:tcW w:w="1220" w:type="dxa"/>
            <w:vAlign w:val="bottom"/>
            <w:vMerge w:val="continue"/>
            <w:shd w:val="clear" w:color="auto" w:fill="606489"/>
          </w:tcPr>
          <w:p>
            <w:pPr>
              <w:spacing w:after="0"/>
              <w:rPr>
                <w:sz w:val="13"/>
                <w:szCs w:val="13"/>
                <w:color w:val="auto"/>
              </w:rPr>
            </w:pPr>
          </w:p>
        </w:tc>
        <w:tc>
          <w:tcPr>
            <w:tcW w:w="140" w:type="dxa"/>
            <w:vAlign w:val="bottom"/>
            <w:shd w:val="clear" w:color="auto" w:fill="606489"/>
          </w:tcPr>
          <w:p>
            <w:pPr>
              <w:spacing w:after="0"/>
              <w:rPr>
                <w:sz w:val="13"/>
                <w:szCs w:val="13"/>
                <w:color w:val="auto"/>
              </w:rPr>
            </w:pPr>
          </w:p>
        </w:tc>
        <w:tc>
          <w:tcPr>
            <w:tcW w:w="120" w:type="dxa"/>
            <w:vAlign w:val="bottom"/>
            <w:shd w:val="clear" w:color="auto" w:fill="606489"/>
          </w:tcPr>
          <w:p>
            <w:pPr>
              <w:spacing w:after="0"/>
              <w:rPr>
                <w:sz w:val="13"/>
                <w:szCs w:val="13"/>
                <w:color w:val="auto"/>
              </w:rPr>
            </w:pPr>
          </w:p>
        </w:tc>
        <w:tc>
          <w:tcPr>
            <w:tcW w:w="1340" w:type="dxa"/>
            <w:vAlign w:val="bottom"/>
            <w:shd w:val="clear" w:color="auto" w:fill="606489"/>
          </w:tcPr>
          <w:p>
            <w:pPr>
              <w:jc w:val="center"/>
              <w:spacing w:after="0" w:line="151" w:lineRule="exact"/>
              <w:rPr>
                <w:sz w:val="20"/>
                <w:szCs w:val="20"/>
                <w:color w:val="auto"/>
              </w:rPr>
            </w:pPr>
            <w:r>
              <w:rPr>
                <w:rFonts w:ascii="Arial" w:cs="Arial" w:eastAsia="Arial" w:hAnsi="Arial"/>
                <w:sz w:val="14"/>
                <w:szCs w:val="14"/>
                <w:b w:val="1"/>
                <w:bCs w:val="1"/>
                <w:color w:val="FFFFFF"/>
              </w:rPr>
              <w:t>and Sustainability</w:t>
            </w:r>
          </w:p>
        </w:tc>
        <w:tc>
          <w:tcPr>
            <w:tcW w:w="80" w:type="dxa"/>
            <w:vAlign w:val="bottom"/>
            <w:shd w:val="clear" w:color="auto" w:fill="606489"/>
          </w:tcPr>
          <w:p>
            <w:pPr>
              <w:spacing w:after="0"/>
              <w:rPr>
                <w:sz w:val="13"/>
                <w:szCs w:val="13"/>
                <w:color w:val="auto"/>
              </w:rPr>
            </w:pPr>
          </w:p>
        </w:tc>
        <w:tc>
          <w:tcPr>
            <w:tcW w:w="160" w:type="dxa"/>
            <w:vAlign w:val="bottom"/>
            <w:shd w:val="clear" w:color="auto" w:fill="606489"/>
          </w:tcPr>
          <w:p>
            <w:pPr>
              <w:spacing w:after="0"/>
              <w:rPr>
                <w:sz w:val="13"/>
                <w:szCs w:val="13"/>
                <w:color w:val="auto"/>
              </w:rPr>
            </w:pPr>
          </w:p>
        </w:tc>
        <w:tc>
          <w:tcPr>
            <w:tcW w:w="1240" w:type="dxa"/>
            <w:vAlign w:val="bottom"/>
            <w:shd w:val="clear" w:color="auto" w:fill="606489"/>
          </w:tcPr>
          <w:p>
            <w:pPr>
              <w:jc w:val="center"/>
              <w:spacing w:after="0" w:line="151" w:lineRule="exact"/>
              <w:rPr>
                <w:sz w:val="20"/>
                <w:szCs w:val="20"/>
                <w:color w:val="auto"/>
              </w:rPr>
            </w:pPr>
            <w:r>
              <w:rPr>
                <w:rFonts w:ascii="Arial" w:cs="Arial" w:eastAsia="Arial" w:hAnsi="Arial"/>
                <w:sz w:val="14"/>
                <w:szCs w:val="14"/>
                <w:b w:val="1"/>
                <w:bCs w:val="1"/>
                <w:color w:val="FFFFFF"/>
              </w:rPr>
              <w:t>Governance</w:t>
            </w:r>
          </w:p>
        </w:tc>
        <w:tc>
          <w:tcPr>
            <w:tcW w:w="180" w:type="dxa"/>
            <w:vAlign w:val="bottom"/>
            <w:shd w:val="clear" w:color="auto" w:fill="606489"/>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700" w:type="dxa"/>
            <w:vAlign w:val="bottom"/>
            <w:gridSpan w:val="2"/>
            <w:shd w:val="clear" w:color="auto" w:fill="606489"/>
          </w:tcPr>
          <w:p>
            <w:pPr>
              <w:ind w:left="60"/>
              <w:spacing w:after="0"/>
              <w:rPr>
                <w:sz w:val="20"/>
                <w:szCs w:val="20"/>
                <w:color w:val="auto"/>
              </w:rPr>
            </w:pPr>
            <w:r>
              <w:rPr>
                <w:rFonts w:ascii="Arial" w:cs="Arial" w:eastAsia="Arial" w:hAnsi="Arial"/>
                <w:sz w:val="14"/>
                <w:szCs w:val="14"/>
                <w:b w:val="1"/>
                <w:bCs w:val="1"/>
                <w:color w:val="FFFFFF"/>
              </w:rPr>
              <w:t>Director</w:t>
            </w:r>
          </w:p>
        </w:tc>
        <w:tc>
          <w:tcPr>
            <w:tcW w:w="100" w:type="dxa"/>
            <w:vAlign w:val="bottom"/>
            <w:shd w:val="clear" w:color="auto" w:fill="606489"/>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20" w:type="dxa"/>
            <w:vAlign w:val="bottom"/>
            <w:shd w:val="clear" w:color="auto" w:fill="606489"/>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260" w:type="dxa"/>
            <w:vAlign w:val="bottom"/>
            <w:shd w:val="clear" w:color="auto" w:fill="606489"/>
          </w:tcPr>
          <w:p>
            <w:pPr>
              <w:spacing w:after="0"/>
              <w:rPr>
                <w:sz w:val="16"/>
                <w:szCs w:val="16"/>
                <w:color w:val="auto"/>
              </w:rPr>
            </w:pPr>
          </w:p>
        </w:tc>
        <w:tc>
          <w:tcPr>
            <w:tcW w:w="1080" w:type="dxa"/>
            <w:vAlign w:val="bottom"/>
            <w:shd w:val="clear" w:color="auto" w:fill="606489"/>
          </w:tcPr>
          <w:p>
            <w:pPr>
              <w:jc w:val="center"/>
              <w:spacing w:after="0"/>
              <w:rPr>
                <w:sz w:val="20"/>
                <w:szCs w:val="20"/>
                <w:color w:val="auto"/>
              </w:rPr>
            </w:pPr>
            <w:r>
              <w:rPr>
                <w:rFonts w:ascii="Arial" w:cs="Arial" w:eastAsia="Arial" w:hAnsi="Arial"/>
                <w:sz w:val="14"/>
                <w:szCs w:val="14"/>
                <w:b w:val="1"/>
                <w:bCs w:val="1"/>
                <w:color w:val="FFFFFF"/>
              </w:rPr>
              <w:t>Committee</w:t>
            </w:r>
          </w:p>
        </w:tc>
        <w:tc>
          <w:tcPr>
            <w:tcW w:w="200" w:type="dxa"/>
            <w:vAlign w:val="bottom"/>
            <w:shd w:val="clear" w:color="auto" w:fill="606489"/>
          </w:tcPr>
          <w:p>
            <w:pPr>
              <w:spacing w:after="0"/>
              <w:rPr>
                <w:sz w:val="16"/>
                <w:szCs w:val="16"/>
                <w:color w:val="auto"/>
              </w:rPr>
            </w:pPr>
          </w:p>
        </w:tc>
        <w:tc>
          <w:tcPr>
            <w:tcW w:w="160" w:type="dxa"/>
            <w:vAlign w:val="bottom"/>
            <w:shd w:val="clear" w:color="auto" w:fill="606489"/>
          </w:tcPr>
          <w:p>
            <w:pPr>
              <w:spacing w:after="0"/>
              <w:rPr>
                <w:sz w:val="16"/>
                <w:szCs w:val="16"/>
                <w:color w:val="auto"/>
              </w:rPr>
            </w:pPr>
          </w:p>
        </w:tc>
        <w:tc>
          <w:tcPr>
            <w:tcW w:w="1220" w:type="dxa"/>
            <w:vAlign w:val="bottom"/>
            <w:shd w:val="clear" w:color="auto" w:fill="606489"/>
          </w:tcPr>
          <w:p>
            <w:pPr>
              <w:jc w:val="center"/>
              <w:spacing w:after="0"/>
              <w:rPr>
                <w:sz w:val="20"/>
                <w:szCs w:val="20"/>
                <w:color w:val="auto"/>
              </w:rPr>
            </w:pPr>
            <w:r>
              <w:rPr>
                <w:rFonts w:ascii="Arial" w:cs="Arial" w:eastAsia="Arial" w:hAnsi="Arial"/>
                <w:sz w:val="14"/>
                <w:szCs w:val="14"/>
                <w:b w:val="1"/>
                <w:bCs w:val="1"/>
                <w:color w:val="FFFFFF"/>
                <w:w w:val="99"/>
              </w:rPr>
              <w:t>Committee</w:t>
            </w:r>
          </w:p>
        </w:tc>
        <w:tc>
          <w:tcPr>
            <w:tcW w:w="140" w:type="dxa"/>
            <w:vAlign w:val="bottom"/>
            <w:shd w:val="clear" w:color="auto" w:fill="606489"/>
          </w:tcPr>
          <w:p>
            <w:pPr>
              <w:spacing w:after="0"/>
              <w:rPr>
                <w:sz w:val="16"/>
                <w:szCs w:val="16"/>
                <w:color w:val="auto"/>
              </w:rPr>
            </w:pPr>
          </w:p>
        </w:tc>
        <w:tc>
          <w:tcPr>
            <w:tcW w:w="120" w:type="dxa"/>
            <w:vAlign w:val="bottom"/>
            <w:shd w:val="clear" w:color="auto" w:fill="606489"/>
          </w:tcPr>
          <w:p>
            <w:pPr>
              <w:spacing w:after="0"/>
              <w:rPr>
                <w:sz w:val="16"/>
                <w:szCs w:val="16"/>
                <w:color w:val="auto"/>
              </w:rPr>
            </w:pPr>
          </w:p>
        </w:tc>
        <w:tc>
          <w:tcPr>
            <w:tcW w:w="1340" w:type="dxa"/>
            <w:vAlign w:val="bottom"/>
            <w:shd w:val="clear" w:color="auto" w:fill="606489"/>
          </w:tcPr>
          <w:p>
            <w:pPr>
              <w:jc w:val="center"/>
              <w:spacing w:after="0"/>
              <w:rPr>
                <w:sz w:val="20"/>
                <w:szCs w:val="20"/>
                <w:color w:val="auto"/>
              </w:rPr>
            </w:pPr>
            <w:r>
              <w:rPr>
                <w:rFonts w:ascii="Arial" w:cs="Arial" w:eastAsia="Arial" w:hAnsi="Arial"/>
                <w:sz w:val="14"/>
                <w:szCs w:val="14"/>
                <w:b w:val="1"/>
                <w:bCs w:val="1"/>
                <w:color w:val="FFFFFF"/>
              </w:rPr>
              <w:t>Committee</w:t>
            </w:r>
          </w:p>
        </w:tc>
        <w:tc>
          <w:tcPr>
            <w:tcW w:w="80" w:type="dxa"/>
            <w:vAlign w:val="bottom"/>
            <w:shd w:val="clear" w:color="auto" w:fill="606489"/>
          </w:tcPr>
          <w:p>
            <w:pPr>
              <w:spacing w:after="0"/>
              <w:rPr>
                <w:sz w:val="16"/>
                <w:szCs w:val="16"/>
                <w:color w:val="auto"/>
              </w:rPr>
            </w:pPr>
          </w:p>
        </w:tc>
        <w:tc>
          <w:tcPr>
            <w:tcW w:w="160" w:type="dxa"/>
            <w:vAlign w:val="bottom"/>
            <w:shd w:val="clear" w:color="auto" w:fill="606489"/>
          </w:tcPr>
          <w:p>
            <w:pPr>
              <w:spacing w:after="0"/>
              <w:rPr>
                <w:sz w:val="16"/>
                <w:szCs w:val="16"/>
                <w:color w:val="auto"/>
              </w:rPr>
            </w:pPr>
          </w:p>
        </w:tc>
        <w:tc>
          <w:tcPr>
            <w:tcW w:w="1240" w:type="dxa"/>
            <w:vAlign w:val="bottom"/>
            <w:shd w:val="clear" w:color="auto" w:fill="606489"/>
          </w:tcPr>
          <w:p>
            <w:pPr>
              <w:jc w:val="center"/>
              <w:spacing w:after="0"/>
              <w:rPr>
                <w:sz w:val="20"/>
                <w:szCs w:val="20"/>
                <w:color w:val="auto"/>
              </w:rPr>
            </w:pPr>
            <w:r>
              <w:rPr>
                <w:rFonts w:ascii="Arial" w:cs="Arial" w:eastAsia="Arial" w:hAnsi="Arial"/>
                <w:sz w:val="14"/>
                <w:szCs w:val="14"/>
                <w:b w:val="1"/>
                <w:bCs w:val="1"/>
                <w:color w:val="FFFFFF"/>
              </w:rPr>
              <w:t>Committee</w:t>
            </w:r>
          </w:p>
        </w:tc>
        <w:tc>
          <w:tcPr>
            <w:tcW w:w="180" w:type="dxa"/>
            <w:vAlign w:val="bottom"/>
            <w:shd w:val="clear" w:color="auto" w:fill="606489"/>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shd w:val="clear" w:color="auto" w:fill="606489"/>
          </w:tcPr>
          <w:p>
            <w:pPr>
              <w:spacing w:after="0"/>
              <w:rPr>
                <w:sz w:val="7"/>
                <w:szCs w:val="7"/>
                <w:color w:val="auto"/>
              </w:rPr>
            </w:pPr>
          </w:p>
        </w:tc>
        <w:tc>
          <w:tcPr>
            <w:tcW w:w="1700" w:type="dxa"/>
            <w:vAlign w:val="bottom"/>
            <w:gridSpan w:val="2"/>
            <w:shd w:val="clear" w:color="auto" w:fill="606489"/>
          </w:tcPr>
          <w:p>
            <w:pPr>
              <w:spacing w:after="0"/>
              <w:rPr>
                <w:sz w:val="7"/>
                <w:szCs w:val="7"/>
                <w:color w:val="auto"/>
              </w:rPr>
            </w:pPr>
          </w:p>
        </w:tc>
        <w:tc>
          <w:tcPr>
            <w:tcW w:w="100" w:type="dxa"/>
            <w:vAlign w:val="bottom"/>
            <w:shd w:val="clear" w:color="auto" w:fill="606489"/>
          </w:tcPr>
          <w:p>
            <w:pPr>
              <w:spacing w:after="0"/>
              <w:rPr>
                <w:sz w:val="7"/>
                <w:szCs w:val="7"/>
                <w:color w:val="auto"/>
              </w:rPr>
            </w:pPr>
          </w:p>
        </w:tc>
        <w:tc>
          <w:tcPr>
            <w:tcW w:w="80" w:type="dxa"/>
            <w:vAlign w:val="bottom"/>
            <w:shd w:val="clear" w:color="auto" w:fill="606489"/>
          </w:tcPr>
          <w:p>
            <w:pPr>
              <w:spacing w:after="0"/>
              <w:rPr>
                <w:sz w:val="7"/>
                <w:szCs w:val="7"/>
                <w:color w:val="auto"/>
              </w:rPr>
            </w:pPr>
          </w:p>
        </w:tc>
        <w:tc>
          <w:tcPr>
            <w:tcW w:w="120" w:type="dxa"/>
            <w:vAlign w:val="bottom"/>
            <w:shd w:val="clear" w:color="auto" w:fill="606489"/>
          </w:tcPr>
          <w:p>
            <w:pPr>
              <w:spacing w:after="0"/>
              <w:rPr>
                <w:sz w:val="7"/>
                <w:szCs w:val="7"/>
                <w:color w:val="auto"/>
              </w:rPr>
            </w:pPr>
          </w:p>
        </w:tc>
        <w:tc>
          <w:tcPr>
            <w:tcW w:w="80" w:type="dxa"/>
            <w:vAlign w:val="bottom"/>
            <w:shd w:val="clear" w:color="auto" w:fill="606489"/>
          </w:tcPr>
          <w:p>
            <w:pPr>
              <w:spacing w:after="0"/>
              <w:rPr>
                <w:sz w:val="7"/>
                <w:szCs w:val="7"/>
                <w:color w:val="auto"/>
              </w:rPr>
            </w:pPr>
          </w:p>
        </w:tc>
        <w:tc>
          <w:tcPr>
            <w:tcW w:w="260" w:type="dxa"/>
            <w:vAlign w:val="bottom"/>
            <w:shd w:val="clear" w:color="auto" w:fill="606489"/>
          </w:tcPr>
          <w:p>
            <w:pPr>
              <w:spacing w:after="0"/>
              <w:rPr>
                <w:sz w:val="7"/>
                <w:szCs w:val="7"/>
                <w:color w:val="auto"/>
              </w:rPr>
            </w:pPr>
          </w:p>
        </w:tc>
        <w:tc>
          <w:tcPr>
            <w:tcW w:w="1080" w:type="dxa"/>
            <w:vAlign w:val="bottom"/>
            <w:shd w:val="clear" w:color="auto" w:fill="606489"/>
          </w:tcPr>
          <w:p>
            <w:pPr>
              <w:spacing w:after="0"/>
              <w:rPr>
                <w:sz w:val="7"/>
                <w:szCs w:val="7"/>
                <w:color w:val="auto"/>
              </w:rPr>
            </w:pPr>
          </w:p>
        </w:tc>
        <w:tc>
          <w:tcPr>
            <w:tcW w:w="200" w:type="dxa"/>
            <w:vAlign w:val="bottom"/>
            <w:shd w:val="clear" w:color="auto" w:fill="606489"/>
          </w:tcPr>
          <w:p>
            <w:pPr>
              <w:spacing w:after="0"/>
              <w:rPr>
                <w:sz w:val="7"/>
                <w:szCs w:val="7"/>
                <w:color w:val="auto"/>
              </w:rPr>
            </w:pPr>
          </w:p>
        </w:tc>
        <w:tc>
          <w:tcPr>
            <w:tcW w:w="160" w:type="dxa"/>
            <w:vAlign w:val="bottom"/>
            <w:shd w:val="clear" w:color="auto" w:fill="606489"/>
          </w:tcPr>
          <w:p>
            <w:pPr>
              <w:spacing w:after="0"/>
              <w:rPr>
                <w:sz w:val="7"/>
                <w:szCs w:val="7"/>
                <w:color w:val="auto"/>
              </w:rPr>
            </w:pPr>
          </w:p>
        </w:tc>
        <w:tc>
          <w:tcPr>
            <w:tcW w:w="1220" w:type="dxa"/>
            <w:vAlign w:val="bottom"/>
            <w:shd w:val="clear" w:color="auto" w:fill="606489"/>
          </w:tcPr>
          <w:p>
            <w:pPr>
              <w:spacing w:after="0"/>
              <w:rPr>
                <w:sz w:val="7"/>
                <w:szCs w:val="7"/>
                <w:color w:val="auto"/>
              </w:rPr>
            </w:pPr>
          </w:p>
        </w:tc>
        <w:tc>
          <w:tcPr>
            <w:tcW w:w="140" w:type="dxa"/>
            <w:vAlign w:val="bottom"/>
            <w:shd w:val="clear" w:color="auto" w:fill="606489"/>
          </w:tcPr>
          <w:p>
            <w:pPr>
              <w:spacing w:after="0"/>
              <w:rPr>
                <w:sz w:val="7"/>
                <w:szCs w:val="7"/>
                <w:color w:val="auto"/>
              </w:rPr>
            </w:pPr>
          </w:p>
        </w:tc>
        <w:tc>
          <w:tcPr>
            <w:tcW w:w="120" w:type="dxa"/>
            <w:vAlign w:val="bottom"/>
            <w:shd w:val="clear" w:color="auto" w:fill="606489"/>
          </w:tcPr>
          <w:p>
            <w:pPr>
              <w:spacing w:after="0"/>
              <w:rPr>
                <w:sz w:val="7"/>
                <w:szCs w:val="7"/>
                <w:color w:val="auto"/>
              </w:rPr>
            </w:pPr>
          </w:p>
        </w:tc>
        <w:tc>
          <w:tcPr>
            <w:tcW w:w="1340" w:type="dxa"/>
            <w:vAlign w:val="bottom"/>
            <w:shd w:val="clear" w:color="auto" w:fill="606489"/>
          </w:tcPr>
          <w:p>
            <w:pPr>
              <w:spacing w:after="0"/>
              <w:rPr>
                <w:sz w:val="7"/>
                <w:szCs w:val="7"/>
                <w:color w:val="auto"/>
              </w:rPr>
            </w:pPr>
          </w:p>
        </w:tc>
        <w:tc>
          <w:tcPr>
            <w:tcW w:w="80" w:type="dxa"/>
            <w:vAlign w:val="bottom"/>
            <w:shd w:val="clear" w:color="auto" w:fill="606489"/>
          </w:tcPr>
          <w:p>
            <w:pPr>
              <w:spacing w:after="0"/>
              <w:rPr>
                <w:sz w:val="7"/>
                <w:szCs w:val="7"/>
                <w:color w:val="auto"/>
              </w:rPr>
            </w:pPr>
          </w:p>
        </w:tc>
        <w:tc>
          <w:tcPr>
            <w:tcW w:w="160" w:type="dxa"/>
            <w:vAlign w:val="bottom"/>
            <w:shd w:val="clear" w:color="auto" w:fill="606489"/>
          </w:tcPr>
          <w:p>
            <w:pPr>
              <w:spacing w:after="0"/>
              <w:rPr>
                <w:sz w:val="7"/>
                <w:szCs w:val="7"/>
                <w:color w:val="auto"/>
              </w:rPr>
            </w:pPr>
          </w:p>
        </w:tc>
        <w:tc>
          <w:tcPr>
            <w:tcW w:w="1240" w:type="dxa"/>
            <w:vAlign w:val="bottom"/>
            <w:shd w:val="clear" w:color="auto" w:fill="606489"/>
          </w:tcPr>
          <w:p>
            <w:pPr>
              <w:spacing w:after="0"/>
              <w:rPr>
                <w:sz w:val="7"/>
                <w:szCs w:val="7"/>
                <w:color w:val="auto"/>
              </w:rPr>
            </w:pPr>
          </w:p>
        </w:tc>
        <w:tc>
          <w:tcPr>
            <w:tcW w:w="180" w:type="dxa"/>
            <w:vAlign w:val="bottom"/>
            <w:shd w:val="clear" w:color="auto" w:fill="606489"/>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ACABC0"/>
          </w:tcPr>
          <w:p>
            <w:pPr>
              <w:spacing w:after="0"/>
              <w:rPr>
                <w:sz w:val="24"/>
                <w:szCs w:val="24"/>
                <w:color w:val="auto"/>
              </w:rPr>
            </w:pPr>
          </w:p>
        </w:tc>
        <w:tc>
          <w:tcPr>
            <w:tcW w:w="1700" w:type="dxa"/>
            <w:vAlign w:val="bottom"/>
            <w:gridSpan w:val="2"/>
            <w:shd w:val="clear" w:color="auto" w:fill="ACABC0"/>
          </w:tcPr>
          <w:p>
            <w:pPr>
              <w:ind w:left="60"/>
              <w:spacing w:after="0"/>
              <w:rPr>
                <w:sz w:val="20"/>
                <w:szCs w:val="20"/>
                <w:color w:val="auto"/>
              </w:rPr>
            </w:pPr>
            <w:r>
              <w:rPr>
                <w:rFonts w:ascii="Arial" w:cs="Arial" w:eastAsia="Arial" w:hAnsi="Arial"/>
                <w:sz w:val="16"/>
                <w:szCs w:val="16"/>
                <w:b w:val="1"/>
                <w:bCs w:val="1"/>
                <w:color w:val="auto"/>
              </w:rPr>
              <w:t>Andrew G. Inglis</w:t>
            </w:r>
          </w:p>
        </w:tc>
        <w:tc>
          <w:tcPr>
            <w:tcW w:w="10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ACABC0"/>
          </w:tcPr>
          <w:p>
            <w:pPr>
              <w:spacing w:after="0"/>
              <w:rPr>
                <w:sz w:val="24"/>
                <w:szCs w:val="24"/>
                <w:color w:val="auto"/>
              </w:rPr>
            </w:pPr>
          </w:p>
        </w:tc>
        <w:tc>
          <w:tcPr>
            <w:tcW w:w="8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shd w:val="clear" w:color="auto" w:fill="ACABC0"/>
          </w:tcPr>
          <w:p>
            <w:pPr>
              <w:spacing w:after="0"/>
              <w:rPr>
                <w:sz w:val="24"/>
                <w:szCs w:val="24"/>
                <w:color w:val="auto"/>
              </w:rPr>
            </w:pPr>
          </w:p>
        </w:tc>
        <w:tc>
          <w:tcPr>
            <w:tcW w:w="200" w:type="dxa"/>
            <w:vAlign w:val="bottom"/>
            <w:shd w:val="clear" w:color="auto" w:fill="ACABC0"/>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shd w:val="clear" w:color="auto" w:fill="ACABC0"/>
          </w:tcPr>
          <w:p>
            <w:pPr>
              <w:spacing w:after="0"/>
              <w:rPr>
                <w:sz w:val="24"/>
                <w:szCs w:val="24"/>
                <w:color w:val="auto"/>
              </w:rPr>
            </w:pPr>
          </w:p>
        </w:tc>
        <w:tc>
          <w:tcPr>
            <w:tcW w:w="140" w:type="dxa"/>
            <w:vAlign w:val="bottom"/>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shd w:val="clear" w:color="auto" w:fill="ACABC0"/>
          </w:tcPr>
          <w:p>
            <w:pPr>
              <w:spacing w:after="0"/>
              <w:rPr>
                <w:sz w:val="24"/>
                <w:szCs w:val="24"/>
                <w:color w:val="auto"/>
              </w:rPr>
            </w:pPr>
          </w:p>
        </w:tc>
        <w:tc>
          <w:tcPr>
            <w:tcW w:w="8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40" w:type="dxa"/>
            <w:vAlign w:val="bottom"/>
            <w:shd w:val="clear" w:color="auto" w:fill="ACABC0"/>
          </w:tcPr>
          <w:p>
            <w:pPr>
              <w:spacing w:after="0"/>
              <w:rPr>
                <w:sz w:val="24"/>
                <w:szCs w:val="24"/>
                <w:color w:val="auto"/>
              </w:rPr>
            </w:pPr>
          </w:p>
        </w:tc>
        <w:tc>
          <w:tcPr>
            <w:tcW w:w="180" w:type="dxa"/>
            <w:vAlign w:val="bottom"/>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shd w:val="clear" w:color="auto" w:fill="ACABC0"/>
          </w:tcPr>
          <w:p>
            <w:pPr>
              <w:spacing w:after="0"/>
              <w:rPr>
                <w:sz w:val="7"/>
                <w:szCs w:val="7"/>
                <w:color w:val="auto"/>
              </w:rPr>
            </w:pPr>
          </w:p>
        </w:tc>
        <w:tc>
          <w:tcPr>
            <w:tcW w:w="1700" w:type="dxa"/>
            <w:vAlign w:val="bottom"/>
            <w:gridSpan w:val="2"/>
            <w:shd w:val="clear" w:color="auto" w:fill="ACABC0"/>
          </w:tcPr>
          <w:p>
            <w:pPr>
              <w:spacing w:after="0"/>
              <w:rPr>
                <w:sz w:val="7"/>
                <w:szCs w:val="7"/>
                <w:color w:val="auto"/>
              </w:rPr>
            </w:pPr>
          </w:p>
        </w:tc>
        <w:tc>
          <w:tcPr>
            <w:tcW w:w="100" w:type="dxa"/>
            <w:vAlign w:val="bottom"/>
            <w:shd w:val="clear" w:color="auto" w:fill="ACABC0"/>
          </w:tcPr>
          <w:p>
            <w:pPr>
              <w:spacing w:after="0"/>
              <w:rPr>
                <w:sz w:val="7"/>
                <w:szCs w:val="7"/>
                <w:color w:val="auto"/>
              </w:rPr>
            </w:pPr>
          </w:p>
        </w:tc>
        <w:tc>
          <w:tcPr>
            <w:tcW w:w="80" w:type="dxa"/>
            <w:vAlign w:val="bottom"/>
            <w:shd w:val="clear" w:color="auto" w:fill="ACABC0"/>
          </w:tcPr>
          <w:p>
            <w:pPr>
              <w:spacing w:after="0"/>
              <w:rPr>
                <w:sz w:val="7"/>
                <w:szCs w:val="7"/>
                <w:color w:val="auto"/>
              </w:rPr>
            </w:pPr>
          </w:p>
        </w:tc>
        <w:tc>
          <w:tcPr>
            <w:tcW w:w="120" w:type="dxa"/>
            <w:vAlign w:val="bottom"/>
            <w:shd w:val="clear" w:color="auto" w:fill="ACABC0"/>
          </w:tcPr>
          <w:p>
            <w:pPr>
              <w:spacing w:after="0"/>
              <w:rPr>
                <w:sz w:val="7"/>
                <w:szCs w:val="7"/>
                <w:color w:val="auto"/>
              </w:rPr>
            </w:pPr>
          </w:p>
        </w:tc>
        <w:tc>
          <w:tcPr>
            <w:tcW w:w="80" w:type="dxa"/>
            <w:vAlign w:val="bottom"/>
            <w:shd w:val="clear" w:color="auto" w:fill="ACABC0"/>
          </w:tcPr>
          <w:p>
            <w:pPr>
              <w:spacing w:after="0"/>
              <w:rPr>
                <w:sz w:val="7"/>
                <w:szCs w:val="7"/>
                <w:color w:val="auto"/>
              </w:rPr>
            </w:pPr>
          </w:p>
        </w:tc>
        <w:tc>
          <w:tcPr>
            <w:tcW w:w="260" w:type="dxa"/>
            <w:vAlign w:val="bottom"/>
            <w:shd w:val="clear" w:color="auto" w:fill="ACABC0"/>
          </w:tcPr>
          <w:p>
            <w:pPr>
              <w:spacing w:after="0"/>
              <w:rPr>
                <w:sz w:val="7"/>
                <w:szCs w:val="7"/>
                <w:color w:val="auto"/>
              </w:rPr>
            </w:pPr>
          </w:p>
        </w:tc>
        <w:tc>
          <w:tcPr>
            <w:tcW w:w="1080" w:type="dxa"/>
            <w:vAlign w:val="bottom"/>
            <w:shd w:val="clear" w:color="auto" w:fill="ACABC0"/>
          </w:tcPr>
          <w:p>
            <w:pPr>
              <w:spacing w:after="0"/>
              <w:rPr>
                <w:sz w:val="7"/>
                <w:szCs w:val="7"/>
                <w:color w:val="auto"/>
              </w:rPr>
            </w:pPr>
          </w:p>
        </w:tc>
        <w:tc>
          <w:tcPr>
            <w:tcW w:w="200" w:type="dxa"/>
            <w:vAlign w:val="bottom"/>
            <w:shd w:val="clear" w:color="auto" w:fill="ACABC0"/>
          </w:tcPr>
          <w:p>
            <w:pPr>
              <w:spacing w:after="0"/>
              <w:rPr>
                <w:sz w:val="7"/>
                <w:szCs w:val="7"/>
                <w:color w:val="auto"/>
              </w:rPr>
            </w:pPr>
          </w:p>
        </w:tc>
        <w:tc>
          <w:tcPr>
            <w:tcW w:w="160" w:type="dxa"/>
            <w:vAlign w:val="bottom"/>
            <w:shd w:val="clear" w:color="auto" w:fill="ACABC0"/>
          </w:tcPr>
          <w:p>
            <w:pPr>
              <w:spacing w:after="0"/>
              <w:rPr>
                <w:sz w:val="7"/>
                <w:szCs w:val="7"/>
                <w:color w:val="auto"/>
              </w:rPr>
            </w:pPr>
          </w:p>
        </w:tc>
        <w:tc>
          <w:tcPr>
            <w:tcW w:w="1220" w:type="dxa"/>
            <w:vAlign w:val="bottom"/>
            <w:shd w:val="clear" w:color="auto" w:fill="ACABC0"/>
          </w:tcPr>
          <w:p>
            <w:pPr>
              <w:spacing w:after="0"/>
              <w:rPr>
                <w:sz w:val="7"/>
                <w:szCs w:val="7"/>
                <w:color w:val="auto"/>
              </w:rPr>
            </w:pPr>
          </w:p>
        </w:tc>
        <w:tc>
          <w:tcPr>
            <w:tcW w:w="140" w:type="dxa"/>
            <w:vAlign w:val="bottom"/>
            <w:shd w:val="clear" w:color="auto" w:fill="ACABC0"/>
          </w:tcPr>
          <w:p>
            <w:pPr>
              <w:spacing w:after="0"/>
              <w:rPr>
                <w:sz w:val="7"/>
                <w:szCs w:val="7"/>
                <w:color w:val="auto"/>
              </w:rPr>
            </w:pPr>
          </w:p>
        </w:tc>
        <w:tc>
          <w:tcPr>
            <w:tcW w:w="120" w:type="dxa"/>
            <w:vAlign w:val="bottom"/>
            <w:shd w:val="clear" w:color="auto" w:fill="ACABC0"/>
          </w:tcPr>
          <w:p>
            <w:pPr>
              <w:spacing w:after="0"/>
              <w:rPr>
                <w:sz w:val="7"/>
                <w:szCs w:val="7"/>
                <w:color w:val="auto"/>
              </w:rPr>
            </w:pPr>
          </w:p>
        </w:tc>
        <w:tc>
          <w:tcPr>
            <w:tcW w:w="1340" w:type="dxa"/>
            <w:vAlign w:val="bottom"/>
            <w:shd w:val="clear" w:color="auto" w:fill="ACABC0"/>
          </w:tcPr>
          <w:p>
            <w:pPr>
              <w:spacing w:after="0"/>
              <w:rPr>
                <w:sz w:val="7"/>
                <w:szCs w:val="7"/>
                <w:color w:val="auto"/>
              </w:rPr>
            </w:pPr>
          </w:p>
        </w:tc>
        <w:tc>
          <w:tcPr>
            <w:tcW w:w="80" w:type="dxa"/>
            <w:vAlign w:val="bottom"/>
            <w:shd w:val="clear" w:color="auto" w:fill="ACABC0"/>
          </w:tcPr>
          <w:p>
            <w:pPr>
              <w:spacing w:after="0"/>
              <w:rPr>
                <w:sz w:val="7"/>
                <w:szCs w:val="7"/>
                <w:color w:val="auto"/>
              </w:rPr>
            </w:pPr>
          </w:p>
        </w:tc>
        <w:tc>
          <w:tcPr>
            <w:tcW w:w="160" w:type="dxa"/>
            <w:vAlign w:val="bottom"/>
            <w:shd w:val="clear" w:color="auto" w:fill="ACABC0"/>
          </w:tcPr>
          <w:p>
            <w:pPr>
              <w:spacing w:after="0"/>
              <w:rPr>
                <w:sz w:val="7"/>
                <w:szCs w:val="7"/>
                <w:color w:val="auto"/>
              </w:rPr>
            </w:pPr>
          </w:p>
        </w:tc>
        <w:tc>
          <w:tcPr>
            <w:tcW w:w="1240" w:type="dxa"/>
            <w:vAlign w:val="bottom"/>
            <w:shd w:val="clear" w:color="auto" w:fill="ACABC0"/>
          </w:tcPr>
          <w:p>
            <w:pPr>
              <w:spacing w:after="0"/>
              <w:rPr>
                <w:sz w:val="7"/>
                <w:szCs w:val="7"/>
                <w:color w:val="auto"/>
              </w:rPr>
            </w:pPr>
          </w:p>
        </w:tc>
        <w:tc>
          <w:tcPr>
            <w:tcW w:w="180" w:type="dxa"/>
            <w:vAlign w:val="bottom"/>
            <w:shd w:val="clear" w:color="auto" w:fill="ACABC0"/>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F1F2F2"/>
          </w:tcPr>
          <w:p>
            <w:pPr>
              <w:spacing w:after="0"/>
              <w:rPr>
                <w:sz w:val="24"/>
                <w:szCs w:val="24"/>
                <w:color w:val="auto"/>
              </w:rPr>
            </w:pPr>
          </w:p>
        </w:tc>
        <w:tc>
          <w:tcPr>
            <w:tcW w:w="1700" w:type="dxa"/>
            <w:vAlign w:val="bottom"/>
            <w:gridSpan w:val="2"/>
            <w:shd w:val="clear" w:color="auto" w:fill="F1F2F2"/>
          </w:tcPr>
          <w:p>
            <w:pPr>
              <w:ind w:left="60"/>
              <w:spacing w:after="0"/>
              <w:rPr>
                <w:sz w:val="20"/>
                <w:szCs w:val="20"/>
                <w:color w:val="auto"/>
              </w:rPr>
            </w:pPr>
            <w:r>
              <w:rPr>
                <w:rFonts w:ascii="Arial" w:cs="Arial" w:eastAsia="Arial" w:hAnsi="Arial"/>
                <w:sz w:val="16"/>
                <w:szCs w:val="16"/>
                <w:b w:val="1"/>
                <w:bCs w:val="1"/>
                <w:color w:val="auto"/>
              </w:rPr>
              <w:t>Lisa A. Davis</w:t>
            </w:r>
          </w:p>
        </w:tc>
        <w:tc>
          <w:tcPr>
            <w:tcW w:w="10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F1F2F2"/>
          </w:tcPr>
          <w:p>
            <w:pPr>
              <w:spacing w:after="0"/>
              <w:rPr>
                <w:sz w:val="24"/>
                <w:szCs w:val="24"/>
                <w:color w:val="auto"/>
              </w:rPr>
            </w:pPr>
          </w:p>
        </w:tc>
        <w:tc>
          <w:tcPr>
            <w:tcW w:w="8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shd w:val="clear" w:color="auto" w:fill="F1F2F2"/>
          </w:tcPr>
          <w:p>
            <w:pPr>
              <w:jc w:val="center"/>
              <w:spacing w:after="0"/>
              <w:rPr>
                <w:sz w:val="20"/>
                <w:szCs w:val="20"/>
                <w:color w:val="auto"/>
              </w:rPr>
            </w:pPr>
            <w:r>
              <w:rPr>
                <w:rFonts w:ascii="Arial" w:cs="Arial" w:eastAsia="Arial" w:hAnsi="Arial"/>
                <w:sz w:val="16"/>
                <w:szCs w:val="16"/>
                <w:b w:val="1"/>
                <w:bCs w:val="1"/>
                <w:color w:val="auto"/>
              </w:rPr>
              <w:t>Member</w:t>
            </w:r>
          </w:p>
        </w:tc>
        <w:tc>
          <w:tcPr>
            <w:tcW w:w="200" w:type="dxa"/>
            <w:vAlign w:val="bottom"/>
            <w:shd w:val="clear" w:color="auto" w:fill="F1F2F2"/>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shd w:val="clear" w:color="auto" w:fill="F1F2F2"/>
          </w:tcPr>
          <w:p>
            <w:pPr>
              <w:spacing w:after="0"/>
              <w:rPr>
                <w:sz w:val="24"/>
                <w:szCs w:val="24"/>
                <w:color w:val="auto"/>
              </w:rPr>
            </w:pPr>
          </w:p>
        </w:tc>
        <w:tc>
          <w:tcPr>
            <w:tcW w:w="140" w:type="dxa"/>
            <w:vAlign w:val="bottom"/>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shd w:val="clear" w:color="auto" w:fill="F1F2F2"/>
          </w:tcPr>
          <w:p>
            <w:pPr>
              <w:jc w:val="center"/>
              <w:spacing w:after="0"/>
              <w:rPr>
                <w:sz w:val="20"/>
                <w:szCs w:val="20"/>
                <w:color w:val="auto"/>
              </w:rPr>
            </w:pPr>
            <w:r>
              <w:rPr>
                <w:rFonts w:ascii="Arial" w:cs="Arial" w:eastAsia="Arial" w:hAnsi="Arial"/>
                <w:sz w:val="16"/>
                <w:szCs w:val="16"/>
                <w:b w:val="1"/>
                <w:bCs w:val="1"/>
                <w:color w:val="auto"/>
              </w:rPr>
              <w:t>Member</w:t>
            </w:r>
          </w:p>
        </w:tc>
        <w:tc>
          <w:tcPr>
            <w:tcW w:w="8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40" w:type="dxa"/>
            <w:vAlign w:val="bottom"/>
            <w:shd w:val="clear" w:color="auto" w:fill="F1F2F2"/>
          </w:tcPr>
          <w:p>
            <w:pPr>
              <w:spacing w:after="0"/>
              <w:rPr>
                <w:sz w:val="24"/>
                <w:szCs w:val="24"/>
                <w:color w:val="auto"/>
              </w:rPr>
            </w:pPr>
          </w:p>
        </w:tc>
        <w:tc>
          <w:tcPr>
            <w:tcW w:w="180" w:type="dxa"/>
            <w:vAlign w:val="bottom"/>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shd w:val="clear" w:color="auto" w:fill="F1F2F2"/>
          </w:tcPr>
          <w:p>
            <w:pPr>
              <w:spacing w:after="0"/>
              <w:rPr>
                <w:sz w:val="7"/>
                <w:szCs w:val="7"/>
                <w:color w:val="auto"/>
              </w:rPr>
            </w:pPr>
          </w:p>
        </w:tc>
        <w:tc>
          <w:tcPr>
            <w:tcW w:w="1700" w:type="dxa"/>
            <w:vAlign w:val="bottom"/>
            <w:gridSpan w:val="2"/>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80" w:type="dxa"/>
            <w:vAlign w:val="bottom"/>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80" w:type="dxa"/>
            <w:vAlign w:val="bottom"/>
            <w:shd w:val="clear" w:color="auto" w:fill="F1F2F2"/>
          </w:tcPr>
          <w:p>
            <w:pPr>
              <w:spacing w:after="0"/>
              <w:rPr>
                <w:sz w:val="7"/>
                <w:szCs w:val="7"/>
                <w:color w:val="auto"/>
              </w:rPr>
            </w:pPr>
          </w:p>
        </w:tc>
        <w:tc>
          <w:tcPr>
            <w:tcW w:w="260" w:type="dxa"/>
            <w:vAlign w:val="bottom"/>
            <w:shd w:val="clear" w:color="auto" w:fill="F1F2F2"/>
          </w:tcPr>
          <w:p>
            <w:pPr>
              <w:spacing w:after="0"/>
              <w:rPr>
                <w:sz w:val="7"/>
                <w:szCs w:val="7"/>
                <w:color w:val="auto"/>
              </w:rPr>
            </w:pPr>
          </w:p>
        </w:tc>
        <w:tc>
          <w:tcPr>
            <w:tcW w:w="1080" w:type="dxa"/>
            <w:vAlign w:val="bottom"/>
            <w:shd w:val="clear" w:color="auto" w:fill="F1F2F2"/>
          </w:tcPr>
          <w:p>
            <w:pPr>
              <w:spacing w:after="0"/>
              <w:rPr>
                <w:sz w:val="7"/>
                <w:szCs w:val="7"/>
                <w:color w:val="auto"/>
              </w:rPr>
            </w:pPr>
          </w:p>
        </w:tc>
        <w:tc>
          <w:tcPr>
            <w:tcW w:w="200" w:type="dxa"/>
            <w:vAlign w:val="bottom"/>
            <w:shd w:val="clear" w:color="auto" w:fill="F1F2F2"/>
          </w:tcPr>
          <w:p>
            <w:pPr>
              <w:spacing w:after="0"/>
              <w:rPr>
                <w:sz w:val="7"/>
                <w:szCs w:val="7"/>
                <w:color w:val="auto"/>
              </w:rPr>
            </w:pPr>
          </w:p>
        </w:tc>
        <w:tc>
          <w:tcPr>
            <w:tcW w:w="160" w:type="dxa"/>
            <w:vAlign w:val="bottom"/>
            <w:shd w:val="clear" w:color="auto" w:fill="F1F2F2"/>
          </w:tcPr>
          <w:p>
            <w:pPr>
              <w:spacing w:after="0"/>
              <w:rPr>
                <w:sz w:val="7"/>
                <w:szCs w:val="7"/>
                <w:color w:val="auto"/>
              </w:rPr>
            </w:pPr>
          </w:p>
        </w:tc>
        <w:tc>
          <w:tcPr>
            <w:tcW w:w="1220" w:type="dxa"/>
            <w:vAlign w:val="bottom"/>
            <w:shd w:val="clear" w:color="auto" w:fill="F1F2F2"/>
          </w:tcPr>
          <w:p>
            <w:pPr>
              <w:spacing w:after="0"/>
              <w:rPr>
                <w:sz w:val="7"/>
                <w:szCs w:val="7"/>
                <w:color w:val="auto"/>
              </w:rPr>
            </w:pPr>
          </w:p>
        </w:tc>
        <w:tc>
          <w:tcPr>
            <w:tcW w:w="140" w:type="dxa"/>
            <w:vAlign w:val="bottom"/>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1340" w:type="dxa"/>
            <w:vAlign w:val="bottom"/>
            <w:shd w:val="clear" w:color="auto" w:fill="F1F2F2"/>
          </w:tcPr>
          <w:p>
            <w:pPr>
              <w:spacing w:after="0"/>
              <w:rPr>
                <w:sz w:val="7"/>
                <w:szCs w:val="7"/>
                <w:color w:val="auto"/>
              </w:rPr>
            </w:pPr>
          </w:p>
        </w:tc>
        <w:tc>
          <w:tcPr>
            <w:tcW w:w="80" w:type="dxa"/>
            <w:vAlign w:val="bottom"/>
            <w:shd w:val="clear" w:color="auto" w:fill="F1F2F2"/>
          </w:tcPr>
          <w:p>
            <w:pPr>
              <w:spacing w:after="0"/>
              <w:rPr>
                <w:sz w:val="7"/>
                <w:szCs w:val="7"/>
                <w:color w:val="auto"/>
              </w:rPr>
            </w:pPr>
          </w:p>
        </w:tc>
        <w:tc>
          <w:tcPr>
            <w:tcW w:w="160" w:type="dxa"/>
            <w:vAlign w:val="bottom"/>
            <w:shd w:val="clear" w:color="auto" w:fill="F1F2F2"/>
          </w:tcPr>
          <w:p>
            <w:pPr>
              <w:spacing w:after="0"/>
              <w:rPr>
                <w:sz w:val="7"/>
                <w:szCs w:val="7"/>
                <w:color w:val="auto"/>
              </w:rPr>
            </w:pPr>
          </w:p>
        </w:tc>
        <w:tc>
          <w:tcPr>
            <w:tcW w:w="1240" w:type="dxa"/>
            <w:vAlign w:val="bottom"/>
            <w:shd w:val="clear" w:color="auto" w:fill="F1F2F2"/>
          </w:tcPr>
          <w:p>
            <w:pPr>
              <w:spacing w:after="0"/>
              <w:rPr>
                <w:sz w:val="7"/>
                <w:szCs w:val="7"/>
                <w:color w:val="auto"/>
              </w:rPr>
            </w:pPr>
          </w:p>
        </w:tc>
        <w:tc>
          <w:tcPr>
            <w:tcW w:w="18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ACABC0"/>
          </w:tcPr>
          <w:p>
            <w:pPr>
              <w:spacing w:after="0"/>
              <w:rPr>
                <w:sz w:val="24"/>
                <w:szCs w:val="24"/>
                <w:color w:val="auto"/>
              </w:rPr>
            </w:pPr>
          </w:p>
        </w:tc>
        <w:tc>
          <w:tcPr>
            <w:tcW w:w="1700" w:type="dxa"/>
            <w:vAlign w:val="bottom"/>
            <w:gridSpan w:val="2"/>
            <w:shd w:val="clear" w:color="auto" w:fill="ACABC0"/>
          </w:tcPr>
          <w:p>
            <w:pPr>
              <w:ind w:left="60"/>
              <w:spacing w:after="0"/>
              <w:rPr>
                <w:sz w:val="20"/>
                <w:szCs w:val="20"/>
                <w:color w:val="auto"/>
              </w:rPr>
            </w:pPr>
            <w:r>
              <w:rPr>
                <w:rFonts w:ascii="Arial" w:cs="Arial" w:eastAsia="Arial" w:hAnsi="Arial"/>
                <w:sz w:val="16"/>
                <w:szCs w:val="16"/>
                <w:b w:val="1"/>
                <w:bCs w:val="1"/>
                <w:color w:val="auto"/>
              </w:rPr>
              <w:t>Sir Richard Dearlove</w:t>
            </w:r>
          </w:p>
        </w:tc>
        <w:tc>
          <w:tcPr>
            <w:tcW w:w="10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ACABC0"/>
          </w:tcPr>
          <w:p>
            <w:pPr>
              <w:spacing w:after="0"/>
              <w:rPr>
                <w:sz w:val="24"/>
                <w:szCs w:val="24"/>
                <w:color w:val="auto"/>
              </w:rPr>
            </w:pPr>
          </w:p>
        </w:tc>
        <w:tc>
          <w:tcPr>
            <w:tcW w:w="8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shd w:val="clear" w:color="auto" w:fill="ACABC0"/>
          </w:tcPr>
          <w:p>
            <w:pPr>
              <w:spacing w:after="0"/>
              <w:rPr>
                <w:sz w:val="24"/>
                <w:szCs w:val="24"/>
                <w:color w:val="auto"/>
              </w:rPr>
            </w:pPr>
          </w:p>
        </w:tc>
        <w:tc>
          <w:tcPr>
            <w:tcW w:w="200" w:type="dxa"/>
            <w:vAlign w:val="bottom"/>
            <w:shd w:val="clear" w:color="auto" w:fill="ACABC0"/>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shd w:val="clear" w:color="auto" w:fill="ACABC0"/>
          </w:tcPr>
          <w:p>
            <w:pPr>
              <w:jc w:val="center"/>
              <w:spacing w:after="0"/>
              <w:rPr>
                <w:sz w:val="20"/>
                <w:szCs w:val="20"/>
                <w:color w:val="auto"/>
              </w:rPr>
            </w:pPr>
            <w:r>
              <w:rPr>
                <w:rFonts w:ascii="Arial" w:cs="Arial" w:eastAsia="Arial" w:hAnsi="Arial"/>
                <w:sz w:val="16"/>
                <w:szCs w:val="16"/>
                <w:b w:val="1"/>
                <w:bCs w:val="1"/>
                <w:color w:val="auto"/>
                <w:w w:val="97"/>
              </w:rPr>
              <w:t>Member</w:t>
            </w:r>
          </w:p>
        </w:tc>
        <w:tc>
          <w:tcPr>
            <w:tcW w:w="140" w:type="dxa"/>
            <w:vAlign w:val="bottom"/>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shd w:val="clear" w:color="auto" w:fill="ACABC0"/>
          </w:tcPr>
          <w:p>
            <w:pPr>
              <w:spacing w:after="0"/>
              <w:rPr>
                <w:sz w:val="24"/>
                <w:szCs w:val="24"/>
                <w:color w:val="auto"/>
              </w:rPr>
            </w:pPr>
          </w:p>
        </w:tc>
        <w:tc>
          <w:tcPr>
            <w:tcW w:w="8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40" w:type="dxa"/>
            <w:vAlign w:val="bottom"/>
            <w:shd w:val="clear" w:color="auto" w:fill="ACABC0"/>
          </w:tcPr>
          <w:p>
            <w:pPr>
              <w:jc w:val="center"/>
              <w:spacing w:after="0"/>
              <w:rPr>
                <w:sz w:val="20"/>
                <w:szCs w:val="20"/>
                <w:color w:val="auto"/>
              </w:rPr>
            </w:pPr>
            <w:r>
              <w:rPr>
                <w:rFonts w:ascii="Arial" w:cs="Arial" w:eastAsia="Arial" w:hAnsi="Arial"/>
                <w:sz w:val="16"/>
                <w:szCs w:val="16"/>
                <w:b w:val="1"/>
                <w:bCs w:val="1"/>
                <w:color w:val="auto"/>
              </w:rPr>
              <w:t>Chair</w:t>
            </w:r>
          </w:p>
        </w:tc>
        <w:tc>
          <w:tcPr>
            <w:tcW w:w="180" w:type="dxa"/>
            <w:vAlign w:val="bottom"/>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shd w:val="clear" w:color="auto" w:fill="ACABC0"/>
          </w:tcPr>
          <w:p>
            <w:pPr>
              <w:spacing w:after="0"/>
              <w:rPr>
                <w:sz w:val="7"/>
                <w:szCs w:val="7"/>
                <w:color w:val="auto"/>
              </w:rPr>
            </w:pPr>
          </w:p>
        </w:tc>
        <w:tc>
          <w:tcPr>
            <w:tcW w:w="1700" w:type="dxa"/>
            <w:vAlign w:val="bottom"/>
            <w:gridSpan w:val="2"/>
            <w:shd w:val="clear" w:color="auto" w:fill="ACABC0"/>
          </w:tcPr>
          <w:p>
            <w:pPr>
              <w:spacing w:after="0"/>
              <w:rPr>
                <w:sz w:val="7"/>
                <w:szCs w:val="7"/>
                <w:color w:val="auto"/>
              </w:rPr>
            </w:pPr>
          </w:p>
        </w:tc>
        <w:tc>
          <w:tcPr>
            <w:tcW w:w="100" w:type="dxa"/>
            <w:vAlign w:val="bottom"/>
            <w:shd w:val="clear" w:color="auto" w:fill="ACABC0"/>
          </w:tcPr>
          <w:p>
            <w:pPr>
              <w:spacing w:after="0"/>
              <w:rPr>
                <w:sz w:val="7"/>
                <w:szCs w:val="7"/>
                <w:color w:val="auto"/>
              </w:rPr>
            </w:pPr>
          </w:p>
        </w:tc>
        <w:tc>
          <w:tcPr>
            <w:tcW w:w="80" w:type="dxa"/>
            <w:vAlign w:val="bottom"/>
            <w:shd w:val="clear" w:color="auto" w:fill="ACABC0"/>
          </w:tcPr>
          <w:p>
            <w:pPr>
              <w:spacing w:after="0"/>
              <w:rPr>
                <w:sz w:val="7"/>
                <w:szCs w:val="7"/>
                <w:color w:val="auto"/>
              </w:rPr>
            </w:pPr>
          </w:p>
        </w:tc>
        <w:tc>
          <w:tcPr>
            <w:tcW w:w="120" w:type="dxa"/>
            <w:vAlign w:val="bottom"/>
            <w:shd w:val="clear" w:color="auto" w:fill="ACABC0"/>
          </w:tcPr>
          <w:p>
            <w:pPr>
              <w:spacing w:after="0"/>
              <w:rPr>
                <w:sz w:val="7"/>
                <w:szCs w:val="7"/>
                <w:color w:val="auto"/>
              </w:rPr>
            </w:pPr>
          </w:p>
        </w:tc>
        <w:tc>
          <w:tcPr>
            <w:tcW w:w="80" w:type="dxa"/>
            <w:vAlign w:val="bottom"/>
            <w:shd w:val="clear" w:color="auto" w:fill="ACABC0"/>
          </w:tcPr>
          <w:p>
            <w:pPr>
              <w:spacing w:after="0"/>
              <w:rPr>
                <w:sz w:val="7"/>
                <w:szCs w:val="7"/>
                <w:color w:val="auto"/>
              </w:rPr>
            </w:pPr>
          </w:p>
        </w:tc>
        <w:tc>
          <w:tcPr>
            <w:tcW w:w="260" w:type="dxa"/>
            <w:vAlign w:val="bottom"/>
            <w:shd w:val="clear" w:color="auto" w:fill="ACABC0"/>
          </w:tcPr>
          <w:p>
            <w:pPr>
              <w:spacing w:after="0"/>
              <w:rPr>
                <w:sz w:val="7"/>
                <w:szCs w:val="7"/>
                <w:color w:val="auto"/>
              </w:rPr>
            </w:pPr>
          </w:p>
        </w:tc>
        <w:tc>
          <w:tcPr>
            <w:tcW w:w="1080" w:type="dxa"/>
            <w:vAlign w:val="bottom"/>
            <w:shd w:val="clear" w:color="auto" w:fill="ACABC0"/>
          </w:tcPr>
          <w:p>
            <w:pPr>
              <w:spacing w:after="0"/>
              <w:rPr>
                <w:sz w:val="7"/>
                <w:szCs w:val="7"/>
                <w:color w:val="auto"/>
              </w:rPr>
            </w:pPr>
          </w:p>
        </w:tc>
        <w:tc>
          <w:tcPr>
            <w:tcW w:w="200" w:type="dxa"/>
            <w:vAlign w:val="bottom"/>
            <w:shd w:val="clear" w:color="auto" w:fill="ACABC0"/>
          </w:tcPr>
          <w:p>
            <w:pPr>
              <w:spacing w:after="0"/>
              <w:rPr>
                <w:sz w:val="7"/>
                <w:szCs w:val="7"/>
                <w:color w:val="auto"/>
              </w:rPr>
            </w:pPr>
          </w:p>
        </w:tc>
        <w:tc>
          <w:tcPr>
            <w:tcW w:w="160" w:type="dxa"/>
            <w:vAlign w:val="bottom"/>
            <w:shd w:val="clear" w:color="auto" w:fill="ACABC0"/>
          </w:tcPr>
          <w:p>
            <w:pPr>
              <w:spacing w:after="0"/>
              <w:rPr>
                <w:sz w:val="7"/>
                <w:szCs w:val="7"/>
                <w:color w:val="auto"/>
              </w:rPr>
            </w:pPr>
          </w:p>
        </w:tc>
        <w:tc>
          <w:tcPr>
            <w:tcW w:w="1220" w:type="dxa"/>
            <w:vAlign w:val="bottom"/>
            <w:shd w:val="clear" w:color="auto" w:fill="ACABC0"/>
          </w:tcPr>
          <w:p>
            <w:pPr>
              <w:spacing w:after="0"/>
              <w:rPr>
                <w:sz w:val="7"/>
                <w:szCs w:val="7"/>
                <w:color w:val="auto"/>
              </w:rPr>
            </w:pPr>
          </w:p>
        </w:tc>
        <w:tc>
          <w:tcPr>
            <w:tcW w:w="140" w:type="dxa"/>
            <w:vAlign w:val="bottom"/>
            <w:shd w:val="clear" w:color="auto" w:fill="ACABC0"/>
          </w:tcPr>
          <w:p>
            <w:pPr>
              <w:spacing w:after="0"/>
              <w:rPr>
                <w:sz w:val="7"/>
                <w:szCs w:val="7"/>
                <w:color w:val="auto"/>
              </w:rPr>
            </w:pPr>
          </w:p>
        </w:tc>
        <w:tc>
          <w:tcPr>
            <w:tcW w:w="120" w:type="dxa"/>
            <w:vAlign w:val="bottom"/>
            <w:shd w:val="clear" w:color="auto" w:fill="ACABC0"/>
          </w:tcPr>
          <w:p>
            <w:pPr>
              <w:spacing w:after="0"/>
              <w:rPr>
                <w:sz w:val="7"/>
                <w:szCs w:val="7"/>
                <w:color w:val="auto"/>
              </w:rPr>
            </w:pPr>
          </w:p>
        </w:tc>
        <w:tc>
          <w:tcPr>
            <w:tcW w:w="1340" w:type="dxa"/>
            <w:vAlign w:val="bottom"/>
            <w:shd w:val="clear" w:color="auto" w:fill="ACABC0"/>
          </w:tcPr>
          <w:p>
            <w:pPr>
              <w:spacing w:after="0"/>
              <w:rPr>
                <w:sz w:val="7"/>
                <w:szCs w:val="7"/>
                <w:color w:val="auto"/>
              </w:rPr>
            </w:pPr>
          </w:p>
        </w:tc>
        <w:tc>
          <w:tcPr>
            <w:tcW w:w="80" w:type="dxa"/>
            <w:vAlign w:val="bottom"/>
            <w:shd w:val="clear" w:color="auto" w:fill="ACABC0"/>
          </w:tcPr>
          <w:p>
            <w:pPr>
              <w:spacing w:after="0"/>
              <w:rPr>
                <w:sz w:val="7"/>
                <w:szCs w:val="7"/>
                <w:color w:val="auto"/>
              </w:rPr>
            </w:pPr>
          </w:p>
        </w:tc>
        <w:tc>
          <w:tcPr>
            <w:tcW w:w="160" w:type="dxa"/>
            <w:vAlign w:val="bottom"/>
            <w:shd w:val="clear" w:color="auto" w:fill="ACABC0"/>
          </w:tcPr>
          <w:p>
            <w:pPr>
              <w:spacing w:after="0"/>
              <w:rPr>
                <w:sz w:val="7"/>
                <w:szCs w:val="7"/>
                <w:color w:val="auto"/>
              </w:rPr>
            </w:pPr>
          </w:p>
        </w:tc>
        <w:tc>
          <w:tcPr>
            <w:tcW w:w="1240" w:type="dxa"/>
            <w:vAlign w:val="bottom"/>
            <w:shd w:val="clear" w:color="auto" w:fill="ACABC0"/>
          </w:tcPr>
          <w:p>
            <w:pPr>
              <w:spacing w:after="0"/>
              <w:rPr>
                <w:sz w:val="7"/>
                <w:szCs w:val="7"/>
                <w:color w:val="auto"/>
              </w:rPr>
            </w:pPr>
          </w:p>
        </w:tc>
        <w:tc>
          <w:tcPr>
            <w:tcW w:w="180" w:type="dxa"/>
            <w:vAlign w:val="bottom"/>
            <w:shd w:val="clear" w:color="auto" w:fill="ACABC0"/>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F1F2F2"/>
          </w:tcPr>
          <w:p>
            <w:pPr>
              <w:spacing w:after="0"/>
              <w:rPr>
                <w:sz w:val="24"/>
                <w:szCs w:val="24"/>
                <w:color w:val="auto"/>
              </w:rPr>
            </w:pPr>
          </w:p>
        </w:tc>
        <w:tc>
          <w:tcPr>
            <w:tcW w:w="1700" w:type="dxa"/>
            <w:vAlign w:val="bottom"/>
            <w:gridSpan w:val="2"/>
            <w:shd w:val="clear" w:color="auto" w:fill="F1F2F2"/>
          </w:tcPr>
          <w:p>
            <w:pPr>
              <w:ind w:left="60"/>
              <w:spacing w:after="0"/>
              <w:rPr>
                <w:sz w:val="20"/>
                <w:szCs w:val="20"/>
                <w:color w:val="auto"/>
              </w:rPr>
            </w:pPr>
            <w:r>
              <w:rPr>
                <w:rFonts w:ascii="Arial" w:cs="Arial" w:eastAsia="Arial" w:hAnsi="Arial"/>
                <w:sz w:val="16"/>
                <w:szCs w:val="16"/>
                <w:b w:val="1"/>
                <w:bCs w:val="1"/>
                <w:color w:val="auto"/>
              </w:rPr>
              <w:t>Roy A. Franklin</w:t>
            </w:r>
          </w:p>
        </w:tc>
        <w:tc>
          <w:tcPr>
            <w:tcW w:w="10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F1F2F2"/>
          </w:tcPr>
          <w:p>
            <w:pPr>
              <w:spacing w:after="0"/>
              <w:rPr>
                <w:sz w:val="24"/>
                <w:szCs w:val="24"/>
                <w:color w:val="auto"/>
              </w:rPr>
            </w:pPr>
          </w:p>
        </w:tc>
        <w:tc>
          <w:tcPr>
            <w:tcW w:w="8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shd w:val="clear" w:color="auto" w:fill="F1F2F2"/>
          </w:tcPr>
          <w:p>
            <w:pPr>
              <w:jc w:val="center"/>
              <w:spacing w:after="0"/>
              <w:rPr>
                <w:sz w:val="20"/>
                <w:szCs w:val="20"/>
                <w:color w:val="auto"/>
              </w:rPr>
            </w:pPr>
            <w:r>
              <w:rPr>
                <w:rFonts w:ascii="Arial" w:cs="Arial" w:eastAsia="Arial" w:hAnsi="Arial"/>
                <w:sz w:val="16"/>
                <w:szCs w:val="16"/>
                <w:b w:val="1"/>
                <w:bCs w:val="1"/>
                <w:color w:val="auto"/>
              </w:rPr>
              <w:t>Member</w:t>
            </w:r>
          </w:p>
        </w:tc>
        <w:tc>
          <w:tcPr>
            <w:tcW w:w="200" w:type="dxa"/>
            <w:vAlign w:val="bottom"/>
            <w:shd w:val="clear" w:color="auto" w:fill="F1F2F2"/>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shd w:val="clear" w:color="auto" w:fill="F1F2F2"/>
          </w:tcPr>
          <w:p>
            <w:pPr>
              <w:spacing w:after="0"/>
              <w:rPr>
                <w:sz w:val="24"/>
                <w:szCs w:val="24"/>
                <w:color w:val="auto"/>
              </w:rPr>
            </w:pPr>
          </w:p>
        </w:tc>
        <w:tc>
          <w:tcPr>
            <w:tcW w:w="140" w:type="dxa"/>
            <w:vAlign w:val="bottom"/>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shd w:val="clear" w:color="auto" w:fill="F1F2F2"/>
          </w:tcPr>
          <w:p>
            <w:pPr>
              <w:spacing w:after="0"/>
              <w:rPr>
                <w:sz w:val="24"/>
                <w:szCs w:val="24"/>
                <w:color w:val="auto"/>
              </w:rPr>
            </w:pPr>
          </w:p>
        </w:tc>
        <w:tc>
          <w:tcPr>
            <w:tcW w:w="8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40" w:type="dxa"/>
            <w:vAlign w:val="bottom"/>
            <w:shd w:val="clear" w:color="auto" w:fill="F1F2F2"/>
          </w:tcPr>
          <w:p>
            <w:pPr>
              <w:jc w:val="center"/>
              <w:spacing w:after="0"/>
              <w:rPr>
                <w:sz w:val="20"/>
                <w:szCs w:val="20"/>
                <w:color w:val="auto"/>
              </w:rPr>
            </w:pPr>
            <w:r>
              <w:rPr>
                <w:rFonts w:ascii="Arial" w:cs="Arial" w:eastAsia="Arial" w:hAnsi="Arial"/>
                <w:sz w:val="16"/>
                <w:szCs w:val="16"/>
                <w:b w:val="1"/>
                <w:bCs w:val="1"/>
                <w:color w:val="auto"/>
              </w:rPr>
              <w:t>Member</w:t>
            </w:r>
          </w:p>
        </w:tc>
        <w:tc>
          <w:tcPr>
            <w:tcW w:w="180" w:type="dxa"/>
            <w:vAlign w:val="bottom"/>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shd w:val="clear" w:color="auto" w:fill="F1F2F2"/>
          </w:tcPr>
          <w:p>
            <w:pPr>
              <w:spacing w:after="0"/>
              <w:rPr>
                <w:sz w:val="7"/>
                <w:szCs w:val="7"/>
                <w:color w:val="auto"/>
              </w:rPr>
            </w:pPr>
          </w:p>
        </w:tc>
        <w:tc>
          <w:tcPr>
            <w:tcW w:w="1700" w:type="dxa"/>
            <w:vAlign w:val="bottom"/>
            <w:gridSpan w:val="2"/>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80" w:type="dxa"/>
            <w:vAlign w:val="bottom"/>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80" w:type="dxa"/>
            <w:vAlign w:val="bottom"/>
            <w:shd w:val="clear" w:color="auto" w:fill="F1F2F2"/>
          </w:tcPr>
          <w:p>
            <w:pPr>
              <w:spacing w:after="0"/>
              <w:rPr>
                <w:sz w:val="7"/>
                <w:szCs w:val="7"/>
                <w:color w:val="auto"/>
              </w:rPr>
            </w:pPr>
          </w:p>
        </w:tc>
        <w:tc>
          <w:tcPr>
            <w:tcW w:w="260" w:type="dxa"/>
            <w:vAlign w:val="bottom"/>
            <w:shd w:val="clear" w:color="auto" w:fill="F1F2F2"/>
          </w:tcPr>
          <w:p>
            <w:pPr>
              <w:spacing w:after="0"/>
              <w:rPr>
                <w:sz w:val="7"/>
                <w:szCs w:val="7"/>
                <w:color w:val="auto"/>
              </w:rPr>
            </w:pPr>
          </w:p>
        </w:tc>
        <w:tc>
          <w:tcPr>
            <w:tcW w:w="1080" w:type="dxa"/>
            <w:vAlign w:val="bottom"/>
            <w:shd w:val="clear" w:color="auto" w:fill="F1F2F2"/>
          </w:tcPr>
          <w:p>
            <w:pPr>
              <w:spacing w:after="0"/>
              <w:rPr>
                <w:sz w:val="7"/>
                <w:szCs w:val="7"/>
                <w:color w:val="auto"/>
              </w:rPr>
            </w:pPr>
          </w:p>
        </w:tc>
        <w:tc>
          <w:tcPr>
            <w:tcW w:w="200" w:type="dxa"/>
            <w:vAlign w:val="bottom"/>
            <w:shd w:val="clear" w:color="auto" w:fill="F1F2F2"/>
          </w:tcPr>
          <w:p>
            <w:pPr>
              <w:spacing w:after="0"/>
              <w:rPr>
                <w:sz w:val="7"/>
                <w:szCs w:val="7"/>
                <w:color w:val="auto"/>
              </w:rPr>
            </w:pPr>
          </w:p>
        </w:tc>
        <w:tc>
          <w:tcPr>
            <w:tcW w:w="160" w:type="dxa"/>
            <w:vAlign w:val="bottom"/>
            <w:shd w:val="clear" w:color="auto" w:fill="F1F2F2"/>
          </w:tcPr>
          <w:p>
            <w:pPr>
              <w:spacing w:after="0"/>
              <w:rPr>
                <w:sz w:val="7"/>
                <w:szCs w:val="7"/>
                <w:color w:val="auto"/>
              </w:rPr>
            </w:pPr>
          </w:p>
        </w:tc>
        <w:tc>
          <w:tcPr>
            <w:tcW w:w="1220" w:type="dxa"/>
            <w:vAlign w:val="bottom"/>
            <w:shd w:val="clear" w:color="auto" w:fill="F1F2F2"/>
          </w:tcPr>
          <w:p>
            <w:pPr>
              <w:spacing w:after="0"/>
              <w:rPr>
                <w:sz w:val="7"/>
                <w:szCs w:val="7"/>
                <w:color w:val="auto"/>
              </w:rPr>
            </w:pPr>
          </w:p>
        </w:tc>
        <w:tc>
          <w:tcPr>
            <w:tcW w:w="140" w:type="dxa"/>
            <w:vAlign w:val="bottom"/>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1340" w:type="dxa"/>
            <w:vAlign w:val="bottom"/>
            <w:shd w:val="clear" w:color="auto" w:fill="F1F2F2"/>
          </w:tcPr>
          <w:p>
            <w:pPr>
              <w:spacing w:after="0"/>
              <w:rPr>
                <w:sz w:val="7"/>
                <w:szCs w:val="7"/>
                <w:color w:val="auto"/>
              </w:rPr>
            </w:pPr>
          </w:p>
        </w:tc>
        <w:tc>
          <w:tcPr>
            <w:tcW w:w="80" w:type="dxa"/>
            <w:vAlign w:val="bottom"/>
            <w:shd w:val="clear" w:color="auto" w:fill="F1F2F2"/>
          </w:tcPr>
          <w:p>
            <w:pPr>
              <w:spacing w:after="0"/>
              <w:rPr>
                <w:sz w:val="7"/>
                <w:szCs w:val="7"/>
                <w:color w:val="auto"/>
              </w:rPr>
            </w:pPr>
          </w:p>
        </w:tc>
        <w:tc>
          <w:tcPr>
            <w:tcW w:w="160" w:type="dxa"/>
            <w:vAlign w:val="bottom"/>
            <w:shd w:val="clear" w:color="auto" w:fill="F1F2F2"/>
          </w:tcPr>
          <w:p>
            <w:pPr>
              <w:spacing w:after="0"/>
              <w:rPr>
                <w:sz w:val="7"/>
                <w:szCs w:val="7"/>
                <w:color w:val="auto"/>
              </w:rPr>
            </w:pPr>
          </w:p>
        </w:tc>
        <w:tc>
          <w:tcPr>
            <w:tcW w:w="1240" w:type="dxa"/>
            <w:vAlign w:val="bottom"/>
            <w:shd w:val="clear" w:color="auto" w:fill="F1F2F2"/>
          </w:tcPr>
          <w:p>
            <w:pPr>
              <w:spacing w:after="0"/>
              <w:rPr>
                <w:sz w:val="7"/>
                <w:szCs w:val="7"/>
                <w:color w:val="auto"/>
              </w:rPr>
            </w:pPr>
          </w:p>
        </w:tc>
        <w:tc>
          <w:tcPr>
            <w:tcW w:w="18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ACABC0"/>
          </w:tcPr>
          <w:p>
            <w:pPr>
              <w:spacing w:after="0"/>
              <w:rPr>
                <w:sz w:val="24"/>
                <w:szCs w:val="24"/>
                <w:color w:val="auto"/>
              </w:rPr>
            </w:pPr>
          </w:p>
        </w:tc>
        <w:tc>
          <w:tcPr>
            <w:tcW w:w="1700" w:type="dxa"/>
            <w:vAlign w:val="bottom"/>
            <w:gridSpan w:val="2"/>
            <w:shd w:val="clear" w:color="auto" w:fill="ACABC0"/>
          </w:tcPr>
          <w:p>
            <w:pPr>
              <w:ind w:left="60"/>
              <w:spacing w:after="0"/>
              <w:rPr>
                <w:sz w:val="20"/>
                <w:szCs w:val="20"/>
                <w:color w:val="auto"/>
              </w:rPr>
            </w:pPr>
            <w:r>
              <w:rPr>
                <w:rFonts w:ascii="Arial" w:cs="Arial" w:eastAsia="Arial" w:hAnsi="Arial"/>
                <w:sz w:val="16"/>
                <w:szCs w:val="16"/>
                <w:b w:val="1"/>
                <w:bCs w:val="1"/>
                <w:color w:val="auto"/>
              </w:rPr>
              <w:t>Deanna L. Goodwin</w:t>
            </w:r>
          </w:p>
        </w:tc>
        <w:tc>
          <w:tcPr>
            <w:tcW w:w="10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vMerge w:val="restart"/>
            <w:shd w:val="clear" w:color="auto" w:fill="ACABC0"/>
          </w:tcPr>
          <w:p>
            <w:pPr>
              <w:ind w:left="40"/>
              <w:spacing w:after="0"/>
              <w:rPr>
                <w:sz w:val="20"/>
                <w:szCs w:val="20"/>
                <w:color w:val="auto"/>
              </w:rPr>
            </w:pPr>
            <w:r>
              <w:rPr>
                <w:rFonts w:ascii="Arial" w:cs="Arial" w:eastAsia="Arial" w:hAnsi="Arial"/>
                <w:sz w:val="16"/>
                <w:szCs w:val="16"/>
                <w:b w:val="1"/>
                <w:bCs w:val="1"/>
                <w:color w:val="auto"/>
              </w:rPr>
              <w:t> </w:t>
            </w:r>
          </w:p>
        </w:tc>
        <w:tc>
          <w:tcPr>
            <w:tcW w:w="8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shd w:val="clear" w:color="auto" w:fill="ACABC0"/>
          </w:tcPr>
          <w:p>
            <w:pPr>
              <w:jc w:val="center"/>
              <w:spacing w:after="0"/>
              <w:rPr>
                <w:sz w:val="20"/>
                <w:szCs w:val="20"/>
                <w:color w:val="auto"/>
              </w:rPr>
            </w:pPr>
            <w:r>
              <w:rPr>
                <w:rFonts w:ascii="Arial" w:cs="Arial" w:eastAsia="Arial" w:hAnsi="Arial"/>
                <w:sz w:val="16"/>
                <w:szCs w:val="16"/>
                <w:b w:val="1"/>
                <w:bCs w:val="1"/>
                <w:color w:val="auto"/>
              </w:rPr>
              <w:t>Member</w:t>
            </w:r>
          </w:p>
        </w:tc>
        <w:tc>
          <w:tcPr>
            <w:tcW w:w="200" w:type="dxa"/>
            <w:vAlign w:val="bottom"/>
            <w:shd w:val="clear" w:color="auto" w:fill="ACABC0"/>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shd w:val="clear" w:color="auto" w:fill="ACABC0"/>
          </w:tcPr>
          <w:p>
            <w:pPr>
              <w:spacing w:after="0"/>
              <w:rPr>
                <w:sz w:val="24"/>
                <w:szCs w:val="24"/>
                <w:color w:val="auto"/>
              </w:rPr>
            </w:pPr>
          </w:p>
        </w:tc>
        <w:tc>
          <w:tcPr>
            <w:tcW w:w="140" w:type="dxa"/>
            <w:vAlign w:val="bottom"/>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shd w:val="clear" w:color="auto" w:fill="ACABC0"/>
          </w:tcPr>
          <w:p>
            <w:pPr>
              <w:jc w:val="center"/>
              <w:spacing w:after="0"/>
              <w:rPr>
                <w:sz w:val="20"/>
                <w:szCs w:val="20"/>
                <w:color w:val="auto"/>
              </w:rPr>
            </w:pPr>
            <w:r>
              <w:rPr>
                <w:rFonts w:ascii="Arial" w:cs="Arial" w:eastAsia="Arial" w:hAnsi="Arial"/>
                <w:sz w:val="16"/>
                <w:szCs w:val="16"/>
                <w:b w:val="1"/>
                <w:bCs w:val="1"/>
                <w:color w:val="auto"/>
              </w:rPr>
              <w:t>Chair</w:t>
            </w:r>
          </w:p>
        </w:tc>
        <w:tc>
          <w:tcPr>
            <w:tcW w:w="8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40" w:type="dxa"/>
            <w:vAlign w:val="bottom"/>
            <w:shd w:val="clear" w:color="auto" w:fill="ACABC0"/>
          </w:tcPr>
          <w:p>
            <w:pPr>
              <w:spacing w:after="0"/>
              <w:rPr>
                <w:sz w:val="24"/>
                <w:szCs w:val="24"/>
                <w:color w:val="auto"/>
              </w:rPr>
            </w:pPr>
          </w:p>
        </w:tc>
        <w:tc>
          <w:tcPr>
            <w:tcW w:w="180" w:type="dxa"/>
            <w:vAlign w:val="bottom"/>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shd w:val="clear" w:color="auto" w:fill="ACABC0"/>
          </w:tcPr>
          <w:p>
            <w:pPr>
              <w:spacing w:after="0"/>
              <w:rPr>
                <w:sz w:val="6"/>
                <w:szCs w:val="6"/>
                <w:color w:val="auto"/>
              </w:rPr>
            </w:pPr>
          </w:p>
        </w:tc>
        <w:tc>
          <w:tcPr>
            <w:tcW w:w="120" w:type="dxa"/>
            <w:vAlign w:val="bottom"/>
            <w:shd w:val="clear" w:color="auto" w:fill="ACABC0"/>
          </w:tcPr>
          <w:p>
            <w:pPr>
              <w:spacing w:after="0"/>
              <w:rPr>
                <w:sz w:val="6"/>
                <w:szCs w:val="6"/>
                <w:color w:val="auto"/>
              </w:rPr>
            </w:pPr>
          </w:p>
        </w:tc>
        <w:tc>
          <w:tcPr>
            <w:tcW w:w="1580" w:type="dxa"/>
            <w:vAlign w:val="bottom"/>
            <w:shd w:val="clear" w:color="auto" w:fill="ACABC0"/>
          </w:tcPr>
          <w:p>
            <w:pPr>
              <w:spacing w:after="0"/>
              <w:rPr>
                <w:sz w:val="6"/>
                <w:szCs w:val="6"/>
                <w:color w:val="auto"/>
              </w:rPr>
            </w:pPr>
          </w:p>
        </w:tc>
        <w:tc>
          <w:tcPr>
            <w:tcW w:w="100" w:type="dxa"/>
            <w:vAlign w:val="bottom"/>
            <w:shd w:val="clear" w:color="auto" w:fill="ACABC0"/>
          </w:tcPr>
          <w:p>
            <w:pPr>
              <w:spacing w:after="0"/>
              <w:rPr>
                <w:sz w:val="6"/>
                <w:szCs w:val="6"/>
                <w:color w:val="auto"/>
              </w:rPr>
            </w:pPr>
          </w:p>
        </w:tc>
        <w:tc>
          <w:tcPr>
            <w:tcW w:w="80" w:type="dxa"/>
            <w:vAlign w:val="bottom"/>
            <w:shd w:val="clear" w:color="auto" w:fill="ACABC0"/>
          </w:tcPr>
          <w:p>
            <w:pPr>
              <w:spacing w:after="0"/>
              <w:rPr>
                <w:sz w:val="6"/>
                <w:szCs w:val="6"/>
                <w:color w:val="auto"/>
              </w:rPr>
            </w:pPr>
          </w:p>
        </w:tc>
        <w:tc>
          <w:tcPr>
            <w:tcW w:w="120" w:type="dxa"/>
            <w:vAlign w:val="bottom"/>
            <w:vMerge w:val="continue"/>
            <w:shd w:val="clear" w:color="auto" w:fill="ACABC0"/>
          </w:tcPr>
          <w:p>
            <w:pPr>
              <w:spacing w:after="0"/>
              <w:rPr>
                <w:sz w:val="6"/>
                <w:szCs w:val="6"/>
                <w:color w:val="auto"/>
              </w:rPr>
            </w:pPr>
          </w:p>
        </w:tc>
        <w:tc>
          <w:tcPr>
            <w:tcW w:w="80" w:type="dxa"/>
            <w:vAlign w:val="bottom"/>
            <w:shd w:val="clear" w:color="auto" w:fill="ACABC0"/>
          </w:tcPr>
          <w:p>
            <w:pPr>
              <w:spacing w:after="0"/>
              <w:rPr>
                <w:sz w:val="6"/>
                <w:szCs w:val="6"/>
                <w:color w:val="auto"/>
              </w:rPr>
            </w:pPr>
          </w:p>
        </w:tc>
        <w:tc>
          <w:tcPr>
            <w:tcW w:w="260" w:type="dxa"/>
            <w:vAlign w:val="bottom"/>
            <w:shd w:val="clear" w:color="auto" w:fill="ACABC0"/>
          </w:tcPr>
          <w:p>
            <w:pPr>
              <w:spacing w:after="0"/>
              <w:rPr>
                <w:sz w:val="6"/>
                <w:szCs w:val="6"/>
                <w:color w:val="auto"/>
              </w:rPr>
            </w:pPr>
          </w:p>
        </w:tc>
        <w:tc>
          <w:tcPr>
            <w:tcW w:w="1080" w:type="dxa"/>
            <w:vAlign w:val="bottom"/>
            <w:shd w:val="clear" w:color="auto" w:fill="ACABC0"/>
          </w:tcPr>
          <w:p>
            <w:pPr>
              <w:spacing w:after="0"/>
              <w:rPr>
                <w:sz w:val="6"/>
                <w:szCs w:val="6"/>
                <w:color w:val="auto"/>
              </w:rPr>
            </w:pPr>
          </w:p>
        </w:tc>
        <w:tc>
          <w:tcPr>
            <w:tcW w:w="200" w:type="dxa"/>
            <w:vAlign w:val="bottom"/>
            <w:shd w:val="clear" w:color="auto" w:fill="ACABC0"/>
          </w:tcPr>
          <w:p>
            <w:pPr>
              <w:spacing w:after="0"/>
              <w:rPr>
                <w:sz w:val="6"/>
                <w:szCs w:val="6"/>
                <w:color w:val="auto"/>
              </w:rPr>
            </w:pPr>
          </w:p>
        </w:tc>
        <w:tc>
          <w:tcPr>
            <w:tcW w:w="160" w:type="dxa"/>
            <w:vAlign w:val="bottom"/>
            <w:shd w:val="clear" w:color="auto" w:fill="ACABC0"/>
          </w:tcPr>
          <w:p>
            <w:pPr>
              <w:spacing w:after="0"/>
              <w:rPr>
                <w:sz w:val="6"/>
                <w:szCs w:val="6"/>
                <w:color w:val="auto"/>
              </w:rPr>
            </w:pPr>
          </w:p>
        </w:tc>
        <w:tc>
          <w:tcPr>
            <w:tcW w:w="1220" w:type="dxa"/>
            <w:vAlign w:val="bottom"/>
            <w:shd w:val="clear" w:color="auto" w:fill="ACABC0"/>
          </w:tcPr>
          <w:p>
            <w:pPr>
              <w:spacing w:after="0"/>
              <w:rPr>
                <w:sz w:val="6"/>
                <w:szCs w:val="6"/>
                <w:color w:val="auto"/>
              </w:rPr>
            </w:pPr>
          </w:p>
        </w:tc>
        <w:tc>
          <w:tcPr>
            <w:tcW w:w="140" w:type="dxa"/>
            <w:vAlign w:val="bottom"/>
            <w:shd w:val="clear" w:color="auto" w:fill="ACABC0"/>
          </w:tcPr>
          <w:p>
            <w:pPr>
              <w:spacing w:after="0"/>
              <w:rPr>
                <w:sz w:val="6"/>
                <w:szCs w:val="6"/>
                <w:color w:val="auto"/>
              </w:rPr>
            </w:pPr>
          </w:p>
        </w:tc>
        <w:tc>
          <w:tcPr>
            <w:tcW w:w="120" w:type="dxa"/>
            <w:vAlign w:val="bottom"/>
            <w:shd w:val="clear" w:color="auto" w:fill="ACABC0"/>
          </w:tcPr>
          <w:p>
            <w:pPr>
              <w:spacing w:after="0"/>
              <w:rPr>
                <w:sz w:val="6"/>
                <w:szCs w:val="6"/>
                <w:color w:val="auto"/>
              </w:rPr>
            </w:pPr>
          </w:p>
        </w:tc>
        <w:tc>
          <w:tcPr>
            <w:tcW w:w="1340" w:type="dxa"/>
            <w:vAlign w:val="bottom"/>
            <w:shd w:val="clear" w:color="auto" w:fill="ACABC0"/>
          </w:tcPr>
          <w:p>
            <w:pPr>
              <w:spacing w:after="0"/>
              <w:rPr>
                <w:sz w:val="6"/>
                <w:szCs w:val="6"/>
                <w:color w:val="auto"/>
              </w:rPr>
            </w:pPr>
          </w:p>
        </w:tc>
        <w:tc>
          <w:tcPr>
            <w:tcW w:w="80" w:type="dxa"/>
            <w:vAlign w:val="bottom"/>
            <w:shd w:val="clear" w:color="auto" w:fill="ACABC0"/>
          </w:tcPr>
          <w:p>
            <w:pPr>
              <w:spacing w:after="0"/>
              <w:rPr>
                <w:sz w:val="6"/>
                <w:szCs w:val="6"/>
                <w:color w:val="auto"/>
              </w:rPr>
            </w:pPr>
          </w:p>
        </w:tc>
        <w:tc>
          <w:tcPr>
            <w:tcW w:w="160" w:type="dxa"/>
            <w:vAlign w:val="bottom"/>
            <w:shd w:val="clear" w:color="auto" w:fill="ACABC0"/>
          </w:tcPr>
          <w:p>
            <w:pPr>
              <w:spacing w:after="0"/>
              <w:rPr>
                <w:sz w:val="6"/>
                <w:szCs w:val="6"/>
                <w:color w:val="auto"/>
              </w:rPr>
            </w:pPr>
          </w:p>
        </w:tc>
        <w:tc>
          <w:tcPr>
            <w:tcW w:w="1240" w:type="dxa"/>
            <w:vAlign w:val="bottom"/>
            <w:shd w:val="clear" w:color="auto" w:fill="ACABC0"/>
          </w:tcPr>
          <w:p>
            <w:pPr>
              <w:spacing w:after="0"/>
              <w:rPr>
                <w:sz w:val="6"/>
                <w:szCs w:val="6"/>
                <w:color w:val="auto"/>
              </w:rPr>
            </w:pPr>
          </w:p>
        </w:tc>
        <w:tc>
          <w:tcPr>
            <w:tcW w:w="180" w:type="dxa"/>
            <w:vAlign w:val="bottom"/>
            <w:shd w:val="clear" w:color="auto" w:fill="ACABC0"/>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shd w:val="clear" w:color="auto" w:fill="ACABC0"/>
          </w:tcPr>
          <w:p>
            <w:pPr>
              <w:spacing w:after="0"/>
              <w:rPr>
                <w:sz w:val="7"/>
                <w:szCs w:val="7"/>
                <w:color w:val="auto"/>
              </w:rPr>
            </w:pPr>
          </w:p>
        </w:tc>
        <w:tc>
          <w:tcPr>
            <w:tcW w:w="1800" w:type="dxa"/>
            <w:vAlign w:val="bottom"/>
            <w:gridSpan w:val="3"/>
            <w:shd w:val="clear" w:color="auto" w:fill="ACABC0"/>
          </w:tcPr>
          <w:p>
            <w:pPr>
              <w:spacing w:after="0"/>
              <w:rPr>
                <w:sz w:val="7"/>
                <w:szCs w:val="7"/>
                <w:color w:val="auto"/>
              </w:rPr>
            </w:pPr>
          </w:p>
        </w:tc>
        <w:tc>
          <w:tcPr>
            <w:tcW w:w="80" w:type="dxa"/>
            <w:vAlign w:val="bottom"/>
            <w:shd w:val="clear" w:color="auto" w:fill="ACABC0"/>
          </w:tcPr>
          <w:p>
            <w:pPr>
              <w:spacing w:after="0"/>
              <w:rPr>
                <w:sz w:val="7"/>
                <w:szCs w:val="7"/>
                <w:color w:val="auto"/>
              </w:rPr>
            </w:pPr>
          </w:p>
        </w:tc>
        <w:tc>
          <w:tcPr>
            <w:tcW w:w="120" w:type="dxa"/>
            <w:vAlign w:val="bottom"/>
            <w:shd w:val="clear" w:color="auto" w:fill="ACABC0"/>
          </w:tcPr>
          <w:p>
            <w:pPr>
              <w:spacing w:after="0"/>
              <w:rPr>
                <w:sz w:val="7"/>
                <w:szCs w:val="7"/>
                <w:color w:val="auto"/>
              </w:rPr>
            </w:pPr>
          </w:p>
        </w:tc>
        <w:tc>
          <w:tcPr>
            <w:tcW w:w="80" w:type="dxa"/>
            <w:vAlign w:val="bottom"/>
            <w:shd w:val="clear" w:color="auto" w:fill="ACABC0"/>
          </w:tcPr>
          <w:p>
            <w:pPr>
              <w:spacing w:after="0"/>
              <w:rPr>
                <w:sz w:val="7"/>
                <w:szCs w:val="7"/>
                <w:color w:val="auto"/>
              </w:rPr>
            </w:pPr>
          </w:p>
        </w:tc>
        <w:tc>
          <w:tcPr>
            <w:tcW w:w="260" w:type="dxa"/>
            <w:vAlign w:val="bottom"/>
            <w:shd w:val="clear" w:color="auto" w:fill="ACABC0"/>
          </w:tcPr>
          <w:p>
            <w:pPr>
              <w:spacing w:after="0"/>
              <w:rPr>
                <w:sz w:val="7"/>
                <w:szCs w:val="7"/>
                <w:color w:val="auto"/>
              </w:rPr>
            </w:pPr>
          </w:p>
        </w:tc>
        <w:tc>
          <w:tcPr>
            <w:tcW w:w="1080" w:type="dxa"/>
            <w:vAlign w:val="bottom"/>
            <w:shd w:val="clear" w:color="auto" w:fill="ACABC0"/>
          </w:tcPr>
          <w:p>
            <w:pPr>
              <w:spacing w:after="0"/>
              <w:rPr>
                <w:sz w:val="7"/>
                <w:szCs w:val="7"/>
                <w:color w:val="auto"/>
              </w:rPr>
            </w:pPr>
          </w:p>
        </w:tc>
        <w:tc>
          <w:tcPr>
            <w:tcW w:w="200" w:type="dxa"/>
            <w:vAlign w:val="bottom"/>
            <w:shd w:val="clear" w:color="auto" w:fill="ACABC0"/>
          </w:tcPr>
          <w:p>
            <w:pPr>
              <w:spacing w:after="0"/>
              <w:rPr>
                <w:sz w:val="7"/>
                <w:szCs w:val="7"/>
                <w:color w:val="auto"/>
              </w:rPr>
            </w:pPr>
          </w:p>
        </w:tc>
        <w:tc>
          <w:tcPr>
            <w:tcW w:w="160" w:type="dxa"/>
            <w:vAlign w:val="bottom"/>
            <w:shd w:val="clear" w:color="auto" w:fill="ACABC0"/>
          </w:tcPr>
          <w:p>
            <w:pPr>
              <w:spacing w:after="0"/>
              <w:rPr>
                <w:sz w:val="7"/>
                <w:szCs w:val="7"/>
                <w:color w:val="auto"/>
              </w:rPr>
            </w:pPr>
          </w:p>
        </w:tc>
        <w:tc>
          <w:tcPr>
            <w:tcW w:w="1220" w:type="dxa"/>
            <w:vAlign w:val="bottom"/>
            <w:shd w:val="clear" w:color="auto" w:fill="ACABC0"/>
          </w:tcPr>
          <w:p>
            <w:pPr>
              <w:spacing w:after="0"/>
              <w:rPr>
                <w:sz w:val="7"/>
                <w:szCs w:val="7"/>
                <w:color w:val="auto"/>
              </w:rPr>
            </w:pPr>
          </w:p>
        </w:tc>
        <w:tc>
          <w:tcPr>
            <w:tcW w:w="140" w:type="dxa"/>
            <w:vAlign w:val="bottom"/>
            <w:shd w:val="clear" w:color="auto" w:fill="ACABC0"/>
          </w:tcPr>
          <w:p>
            <w:pPr>
              <w:spacing w:after="0"/>
              <w:rPr>
                <w:sz w:val="7"/>
                <w:szCs w:val="7"/>
                <w:color w:val="auto"/>
              </w:rPr>
            </w:pPr>
          </w:p>
        </w:tc>
        <w:tc>
          <w:tcPr>
            <w:tcW w:w="120" w:type="dxa"/>
            <w:vAlign w:val="bottom"/>
            <w:shd w:val="clear" w:color="auto" w:fill="ACABC0"/>
          </w:tcPr>
          <w:p>
            <w:pPr>
              <w:spacing w:after="0"/>
              <w:rPr>
                <w:sz w:val="7"/>
                <w:szCs w:val="7"/>
                <w:color w:val="auto"/>
              </w:rPr>
            </w:pPr>
          </w:p>
        </w:tc>
        <w:tc>
          <w:tcPr>
            <w:tcW w:w="1340" w:type="dxa"/>
            <w:vAlign w:val="bottom"/>
            <w:shd w:val="clear" w:color="auto" w:fill="ACABC0"/>
          </w:tcPr>
          <w:p>
            <w:pPr>
              <w:spacing w:after="0"/>
              <w:rPr>
                <w:sz w:val="7"/>
                <w:szCs w:val="7"/>
                <w:color w:val="auto"/>
              </w:rPr>
            </w:pPr>
          </w:p>
        </w:tc>
        <w:tc>
          <w:tcPr>
            <w:tcW w:w="80" w:type="dxa"/>
            <w:vAlign w:val="bottom"/>
            <w:shd w:val="clear" w:color="auto" w:fill="ACABC0"/>
          </w:tcPr>
          <w:p>
            <w:pPr>
              <w:spacing w:after="0"/>
              <w:rPr>
                <w:sz w:val="7"/>
                <w:szCs w:val="7"/>
                <w:color w:val="auto"/>
              </w:rPr>
            </w:pPr>
          </w:p>
        </w:tc>
        <w:tc>
          <w:tcPr>
            <w:tcW w:w="160" w:type="dxa"/>
            <w:vAlign w:val="bottom"/>
            <w:shd w:val="clear" w:color="auto" w:fill="ACABC0"/>
          </w:tcPr>
          <w:p>
            <w:pPr>
              <w:spacing w:after="0"/>
              <w:rPr>
                <w:sz w:val="7"/>
                <w:szCs w:val="7"/>
                <w:color w:val="auto"/>
              </w:rPr>
            </w:pPr>
          </w:p>
        </w:tc>
        <w:tc>
          <w:tcPr>
            <w:tcW w:w="1240" w:type="dxa"/>
            <w:vAlign w:val="bottom"/>
            <w:shd w:val="clear" w:color="auto" w:fill="ACABC0"/>
          </w:tcPr>
          <w:p>
            <w:pPr>
              <w:spacing w:after="0"/>
              <w:rPr>
                <w:sz w:val="7"/>
                <w:szCs w:val="7"/>
                <w:color w:val="auto"/>
              </w:rPr>
            </w:pPr>
          </w:p>
        </w:tc>
        <w:tc>
          <w:tcPr>
            <w:tcW w:w="180" w:type="dxa"/>
            <w:vAlign w:val="bottom"/>
            <w:shd w:val="clear" w:color="auto" w:fill="ACABC0"/>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F1F2F2"/>
          </w:tcPr>
          <w:p>
            <w:pPr>
              <w:spacing w:after="0"/>
              <w:rPr>
                <w:sz w:val="24"/>
                <w:szCs w:val="24"/>
                <w:color w:val="auto"/>
              </w:rPr>
            </w:pPr>
          </w:p>
        </w:tc>
        <w:tc>
          <w:tcPr>
            <w:tcW w:w="1800" w:type="dxa"/>
            <w:vAlign w:val="bottom"/>
            <w:gridSpan w:val="3"/>
            <w:shd w:val="clear" w:color="auto" w:fill="F1F2F2"/>
          </w:tcPr>
          <w:p>
            <w:pPr>
              <w:ind w:left="60"/>
              <w:spacing w:after="0"/>
              <w:rPr>
                <w:sz w:val="20"/>
                <w:szCs w:val="20"/>
                <w:color w:val="auto"/>
              </w:rPr>
            </w:pPr>
            <w:r>
              <w:rPr>
                <w:rFonts w:ascii="Arial" w:cs="Arial" w:eastAsia="Arial" w:hAnsi="Arial"/>
                <w:sz w:val="16"/>
                <w:szCs w:val="16"/>
                <w:b w:val="1"/>
                <w:bCs w:val="1"/>
                <w:color w:val="auto"/>
              </w:rPr>
              <w:t xml:space="preserve">Adebayo O. Ogunlesi </w:t>
            </w:r>
            <w:r>
              <w:rPr>
                <w:rFonts w:ascii="Times New Roman" w:cs="Times New Roman" w:eastAsia="Times New Roman" w:hAnsi="Times New Roman"/>
                <w:sz w:val="3"/>
                <w:szCs w:val="3"/>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F1F2F2"/>
          </w:tcPr>
          <w:p>
            <w:pPr>
              <w:spacing w:after="0"/>
              <w:rPr>
                <w:sz w:val="24"/>
                <w:szCs w:val="24"/>
                <w:color w:val="auto"/>
              </w:rPr>
            </w:pPr>
          </w:p>
        </w:tc>
        <w:tc>
          <w:tcPr>
            <w:tcW w:w="8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shd w:val="clear" w:color="auto" w:fill="F1F2F2"/>
          </w:tcPr>
          <w:p>
            <w:pPr>
              <w:spacing w:after="0"/>
              <w:rPr>
                <w:sz w:val="24"/>
                <w:szCs w:val="24"/>
                <w:color w:val="auto"/>
              </w:rPr>
            </w:pPr>
          </w:p>
        </w:tc>
        <w:tc>
          <w:tcPr>
            <w:tcW w:w="200" w:type="dxa"/>
            <w:vAlign w:val="bottom"/>
            <w:shd w:val="clear" w:color="auto" w:fill="F1F2F2"/>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shd w:val="clear" w:color="auto" w:fill="F1F2F2"/>
          </w:tcPr>
          <w:p>
            <w:pPr>
              <w:jc w:val="center"/>
              <w:spacing w:after="0"/>
              <w:rPr>
                <w:sz w:val="20"/>
                <w:szCs w:val="20"/>
                <w:color w:val="auto"/>
              </w:rPr>
            </w:pPr>
            <w:r>
              <w:rPr>
                <w:rFonts w:ascii="Arial" w:cs="Arial" w:eastAsia="Arial" w:hAnsi="Arial"/>
                <w:sz w:val="16"/>
                <w:szCs w:val="16"/>
                <w:b w:val="1"/>
                <w:bCs w:val="1"/>
                <w:color w:val="auto"/>
                <w:w w:val="97"/>
              </w:rPr>
              <w:t>Chair</w:t>
            </w:r>
          </w:p>
        </w:tc>
        <w:tc>
          <w:tcPr>
            <w:tcW w:w="140" w:type="dxa"/>
            <w:vAlign w:val="bottom"/>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shd w:val="clear" w:color="auto" w:fill="F1F2F2"/>
          </w:tcPr>
          <w:p>
            <w:pPr>
              <w:spacing w:after="0"/>
              <w:rPr>
                <w:sz w:val="24"/>
                <w:szCs w:val="24"/>
                <w:color w:val="auto"/>
              </w:rPr>
            </w:pPr>
          </w:p>
        </w:tc>
        <w:tc>
          <w:tcPr>
            <w:tcW w:w="8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40" w:type="dxa"/>
            <w:vAlign w:val="bottom"/>
            <w:shd w:val="clear" w:color="auto" w:fill="F1F2F2"/>
          </w:tcPr>
          <w:p>
            <w:pPr>
              <w:jc w:val="center"/>
              <w:spacing w:after="0"/>
              <w:rPr>
                <w:sz w:val="20"/>
                <w:szCs w:val="20"/>
                <w:color w:val="auto"/>
              </w:rPr>
            </w:pPr>
            <w:r>
              <w:rPr>
                <w:rFonts w:ascii="Arial" w:cs="Arial" w:eastAsia="Arial" w:hAnsi="Arial"/>
                <w:sz w:val="16"/>
                <w:szCs w:val="16"/>
                <w:b w:val="1"/>
                <w:bCs w:val="1"/>
                <w:color w:val="auto"/>
              </w:rPr>
              <w:t>Member</w:t>
            </w:r>
          </w:p>
        </w:tc>
        <w:tc>
          <w:tcPr>
            <w:tcW w:w="180" w:type="dxa"/>
            <w:vAlign w:val="bottom"/>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shd w:val="clear" w:color="auto" w:fill="F1F2F2"/>
          </w:tcPr>
          <w:p>
            <w:pPr>
              <w:spacing w:after="0"/>
              <w:rPr>
                <w:sz w:val="7"/>
                <w:szCs w:val="7"/>
                <w:color w:val="auto"/>
              </w:rPr>
            </w:pPr>
          </w:p>
        </w:tc>
        <w:tc>
          <w:tcPr>
            <w:tcW w:w="1700" w:type="dxa"/>
            <w:vAlign w:val="bottom"/>
            <w:gridSpan w:val="2"/>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80" w:type="dxa"/>
            <w:vAlign w:val="bottom"/>
            <w:shd w:val="clear" w:color="auto" w:fill="F1F2F2"/>
          </w:tcPr>
          <w:p>
            <w:pPr>
              <w:spacing w:after="0"/>
              <w:rPr>
                <w:sz w:val="7"/>
                <w:szCs w:val="7"/>
                <w:color w:val="auto"/>
              </w:rPr>
            </w:pPr>
          </w:p>
        </w:tc>
        <w:tc>
          <w:tcPr>
            <w:tcW w:w="200" w:type="dxa"/>
            <w:vAlign w:val="bottom"/>
            <w:gridSpan w:val="2"/>
            <w:shd w:val="clear" w:color="auto" w:fill="F1F2F2"/>
          </w:tcPr>
          <w:p>
            <w:pPr>
              <w:spacing w:after="0"/>
              <w:rPr>
                <w:sz w:val="7"/>
                <w:szCs w:val="7"/>
                <w:color w:val="auto"/>
              </w:rPr>
            </w:pPr>
          </w:p>
        </w:tc>
        <w:tc>
          <w:tcPr>
            <w:tcW w:w="260" w:type="dxa"/>
            <w:vAlign w:val="bottom"/>
            <w:shd w:val="clear" w:color="auto" w:fill="F1F2F2"/>
          </w:tcPr>
          <w:p>
            <w:pPr>
              <w:spacing w:after="0"/>
              <w:rPr>
                <w:sz w:val="7"/>
                <w:szCs w:val="7"/>
                <w:color w:val="auto"/>
              </w:rPr>
            </w:pPr>
          </w:p>
        </w:tc>
        <w:tc>
          <w:tcPr>
            <w:tcW w:w="1080" w:type="dxa"/>
            <w:vAlign w:val="bottom"/>
            <w:shd w:val="clear" w:color="auto" w:fill="F1F2F2"/>
          </w:tcPr>
          <w:p>
            <w:pPr>
              <w:spacing w:after="0"/>
              <w:rPr>
                <w:sz w:val="7"/>
                <w:szCs w:val="7"/>
                <w:color w:val="auto"/>
              </w:rPr>
            </w:pPr>
          </w:p>
        </w:tc>
        <w:tc>
          <w:tcPr>
            <w:tcW w:w="200" w:type="dxa"/>
            <w:vAlign w:val="bottom"/>
            <w:shd w:val="clear" w:color="auto" w:fill="F1F2F2"/>
          </w:tcPr>
          <w:p>
            <w:pPr>
              <w:spacing w:after="0"/>
              <w:rPr>
                <w:sz w:val="7"/>
                <w:szCs w:val="7"/>
                <w:color w:val="auto"/>
              </w:rPr>
            </w:pPr>
          </w:p>
        </w:tc>
        <w:tc>
          <w:tcPr>
            <w:tcW w:w="160" w:type="dxa"/>
            <w:vAlign w:val="bottom"/>
            <w:shd w:val="clear" w:color="auto" w:fill="F1F2F2"/>
          </w:tcPr>
          <w:p>
            <w:pPr>
              <w:spacing w:after="0"/>
              <w:rPr>
                <w:sz w:val="7"/>
                <w:szCs w:val="7"/>
                <w:color w:val="auto"/>
              </w:rPr>
            </w:pPr>
          </w:p>
        </w:tc>
        <w:tc>
          <w:tcPr>
            <w:tcW w:w="1220" w:type="dxa"/>
            <w:vAlign w:val="bottom"/>
            <w:shd w:val="clear" w:color="auto" w:fill="F1F2F2"/>
          </w:tcPr>
          <w:p>
            <w:pPr>
              <w:spacing w:after="0"/>
              <w:rPr>
                <w:sz w:val="7"/>
                <w:szCs w:val="7"/>
                <w:color w:val="auto"/>
              </w:rPr>
            </w:pPr>
          </w:p>
        </w:tc>
        <w:tc>
          <w:tcPr>
            <w:tcW w:w="140" w:type="dxa"/>
            <w:vAlign w:val="bottom"/>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1340" w:type="dxa"/>
            <w:vAlign w:val="bottom"/>
            <w:shd w:val="clear" w:color="auto" w:fill="F1F2F2"/>
          </w:tcPr>
          <w:p>
            <w:pPr>
              <w:spacing w:after="0"/>
              <w:rPr>
                <w:sz w:val="7"/>
                <w:szCs w:val="7"/>
                <w:color w:val="auto"/>
              </w:rPr>
            </w:pPr>
          </w:p>
        </w:tc>
        <w:tc>
          <w:tcPr>
            <w:tcW w:w="80" w:type="dxa"/>
            <w:vAlign w:val="bottom"/>
            <w:shd w:val="clear" w:color="auto" w:fill="F1F2F2"/>
          </w:tcPr>
          <w:p>
            <w:pPr>
              <w:spacing w:after="0"/>
              <w:rPr>
                <w:sz w:val="7"/>
                <w:szCs w:val="7"/>
                <w:color w:val="auto"/>
              </w:rPr>
            </w:pPr>
          </w:p>
        </w:tc>
        <w:tc>
          <w:tcPr>
            <w:tcW w:w="160" w:type="dxa"/>
            <w:vAlign w:val="bottom"/>
            <w:shd w:val="clear" w:color="auto" w:fill="F1F2F2"/>
          </w:tcPr>
          <w:p>
            <w:pPr>
              <w:spacing w:after="0"/>
              <w:rPr>
                <w:sz w:val="7"/>
                <w:szCs w:val="7"/>
                <w:color w:val="auto"/>
              </w:rPr>
            </w:pPr>
          </w:p>
        </w:tc>
        <w:tc>
          <w:tcPr>
            <w:tcW w:w="1240" w:type="dxa"/>
            <w:vAlign w:val="bottom"/>
            <w:shd w:val="clear" w:color="auto" w:fill="F1F2F2"/>
          </w:tcPr>
          <w:p>
            <w:pPr>
              <w:spacing w:after="0"/>
              <w:rPr>
                <w:sz w:val="7"/>
                <w:szCs w:val="7"/>
                <w:color w:val="auto"/>
              </w:rPr>
            </w:pPr>
          </w:p>
        </w:tc>
        <w:tc>
          <w:tcPr>
            <w:tcW w:w="18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489"/>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Borders>
              <w:bottom w:val="single" w:sz="8" w:color="ACABC0"/>
            </w:tcBorders>
            <w:shd w:val="clear" w:color="auto" w:fill="ACABC0"/>
          </w:tcPr>
          <w:p>
            <w:pPr>
              <w:spacing w:after="0"/>
              <w:rPr>
                <w:sz w:val="24"/>
                <w:szCs w:val="24"/>
                <w:color w:val="auto"/>
              </w:rPr>
            </w:pPr>
          </w:p>
        </w:tc>
        <w:tc>
          <w:tcPr>
            <w:tcW w:w="1700" w:type="dxa"/>
            <w:vAlign w:val="bottom"/>
            <w:tcBorders>
              <w:bottom w:val="single" w:sz="8" w:color="ACABC0"/>
            </w:tcBorders>
            <w:gridSpan w:val="2"/>
            <w:shd w:val="clear" w:color="auto" w:fill="ACABC0"/>
          </w:tcPr>
          <w:p>
            <w:pPr>
              <w:ind w:left="60"/>
              <w:spacing w:after="0"/>
              <w:rPr>
                <w:sz w:val="20"/>
                <w:szCs w:val="20"/>
                <w:color w:val="auto"/>
              </w:rPr>
            </w:pPr>
            <w:r>
              <w:rPr>
                <w:rFonts w:ascii="Arial" w:cs="Arial" w:eastAsia="Arial" w:hAnsi="Arial"/>
                <w:sz w:val="16"/>
                <w:szCs w:val="16"/>
                <w:b w:val="1"/>
                <w:bCs w:val="1"/>
                <w:color w:val="auto"/>
              </w:rPr>
              <w:t>Steven M. Sterin</w:t>
            </w:r>
          </w:p>
        </w:tc>
        <w:tc>
          <w:tcPr>
            <w:tcW w:w="10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ACABC0"/>
            </w:tcBorders>
            <w:gridSpan w:val="2"/>
            <w:shd w:val="clear" w:color="auto" w:fill="ACABC0"/>
          </w:tcPr>
          <w:p>
            <w:pPr>
              <w:jc w:val="right"/>
              <w:ind w:right="22"/>
              <w:spacing w:after="0"/>
              <w:rPr>
                <w:sz w:val="20"/>
                <w:szCs w:val="20"/>
                <w:color w:val="auto"/>
              </w:rPr>
            </w:pPr>
            <w:r>
              <w:rPr>
                <w:rFonts w:ascii="Arial" w:cs="Arial" w:eastAsia="Arial" w:hAnsi="Arial"/>
                <w:sz w:val="32"/>
                <w:szCs w:val="32"/>
                <w:b w:val="1"/>
                <w:bCs w:val="1"/>
                <w:color w:val="auto"/>
                <w:vertAlign w:val="subscript"/>
              </w:rPr>
              <w:t xml:space="preserve"> </w:t>
            </w:r>
            <w:r>
              <w:rPr>
                <w:rFonts w:ascii="Times New Roman" w:cs="Times New Roman" w:eastAsia="Times New Roman" w:hAnsi="Times New Roman"/>
                <w:sz w:val="4"/>
                <w:szCs w:val="4"/>
                <w:color w:val="auto"/>
              </w:rPr>
              <w:t xml:space="preserve"> ​</w:t>
            </w:r>
          </w:p>
        </w:tc>
        <w:tc>
          <w:tcPr>
            <w:tcW w:w="26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6"/>
                <w:szCs w:val="16"/>
                <w:b w:val="1"/>
                <w:bCs w:val="1"/>
                <w:color w:val="auto"/>
              </w:rPr>
              <w:t>Chair</w:t>
            </w:r>
          </w:p>
        </w:tc>
        <w:tc>
          <w:tcPr>
            <w:tcW w:w="200" w:type="dxa"/>
            <w:vAlign w:val="bottom"/>
            <w:tcBorders>
              <w:bottom w:val="single" w:sz="8" w:color="ACABC0"/>
            </w:tcBorders>
            <w:shd w:val="clear" w:color="auto" w:fill="ACABC0"/>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6"/>
                <w:szCs w:val="16"/>
                <w:b w:val="1"/>
                <w:bCs w:val="1"/>
                <w:color w:val="auto"/>
                <w:w w:val="97"/>
              </w:rPr>
              <w:t>Member</w:t>
            </w:r>
          </w:p>
        </w:tc>
        <w:tc>
          <w:tcPr>
            <w:tcW w:w="140" w:type="dxa"/>
            <w:vAlign w:val="bottom"/>
            <w:tcBorders>
              <w:bottom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6"/>
                <w:szCs w:val="16"/>
                <w:b w:val="1"/>
                <w:bCs w:val="1"/>
                <w:color w:val="auto"/>
              </w:rPr>
              <w:t>Member</w:t>
            </w:r>
          </w:p>
        </w:tc>
        <w:tc>
          <w:tcPr>
            <w:tcW w:w="8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40" w:type="dxa"/>
            <w:vAlign w:val="bottom"/>
            <w:tcBorders>
              <w:bottom w:val="single" w:sz="8" w:color="ACABC0"/>
            </w:tcBorders>
            <w:shd w:val="clear" w:color="auto" w:fill="ACABC0"/>
          </w:tcPr>
          <w:p>
            <w:pPr>
              <w:spacing w:after="0"/>
              <w:rPr>
                <w:sz w:val="24"/>
                <w:szCs w:val="24"/>
                <w:color w:val="auto"/>
              </w:rPr>
            </w:pPr>
          </w:p>
        </w:tc>
        <w:tc>
          <w:tcPr>
            <w:tcW w:w="180" w:type="dxa"/>
            <w:vAlign w:val="bottom"/>
            <w:tcBorders>
              <w:bottom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454"/>
        </w:trPr>
        <w:tc>
          <w:tcPr>
            <w:tcW w:w="10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1580" w:type="dxa"/>
            <w:vAlign w:val="bottom"/>
          </w:tcPr>
          <w:p>
            <w:pPr>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6"/>
                <w:szCs w:val="16"/>
                <w:color w:val="auto"/>
              </w:rPr>
              <w:t>Financial Expert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1495425</wp:posOffset>
            </wp:positionH>
            <wp:positionV relativeFrom="paragraph">
              <wp:posOffset>-1205865</wp:posOffset>
            </wp:positionV>
            <wp:extent cx="67945" cy="102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945" cy="102235"/>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-593725</wp:posOffset>
            </wp:positionV>
            <wp:extent cx="67945" cy="102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945" cy="10223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-227965</wp:posOffset>
            </wp:positionV>
            <wp:extent cx="67945" cy="102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45" cy="102235"/>
                    </a:xfrm>
                    <a:prstGeom prst="rect">
                      <a:avLst/>
                    </a:prstGeom>
                    <a:noFill/>
                  </pic:spPr>
                </pic:pic>
              </a:graphicData>
            </a:graphic>
          </wp:anchor>
        </w:drawing>
      </w:r>
    </w:p>
    <w:p>
      <w:pPr>
        <w:spacing w:after="0" w:line="146" w:lineRule="exact"/>
        <w:rPr>
          <w:sz w:val="20"/>
          <w:szCs w:val="20"/>
          <w:color w:val="auto"/>
        </w:rPr>
      </w:pPr>
    </w:p>
    <w:p>
      <w:pPr>
        <w:ind w:left="6400"/>
        <w:spacing w:after="0"/>
        <w:rPr>
          <w:sz w:val="20"/>
          <w:szCs w:val="20"/>
          <w:color w:val="auto"/>
        </w:rPr>
      </w:pPr>
      <w:r>
        <w:rPr>
          <w:rFonts w:ascii="Arial" w:cs="Arial" w:eastAsia="Arial" w:hAnsi="Arial"/>
          <w:sz w:val="23"/>
          <w:szCs w:val="23"/>
          <w:color w:val="auto"/>
        </w:rPr>
        <w:t> </w:t>
      </w:r>
    </w:p>
    <w:p>
      <w:pPr>
        <w:ind w:left="6520"/>
        <w:spacing w:after="0"/>
        <w:rPr>
          <w:sz w:val="20"/>
          <w:szCs w:val="20"/>
          <w:color w:val="auto"/>
        </w:rPr>
      </w:pPr>
      <w:r>
        <w:rPr>
          <w:rFonts w:ascii="Arial" w:cs="Arial" w:eastAsia="Arial" w:hAnsi="Arial"/>
          <w:sz w:val="15"/>
          <w:szCs w:val="15"/>
          <w:color w:val="auto"/>
        </w:rPr>
        <w:t>  2022 Proxy Statement</w:t>
      </w:r>
      <w:r>
        <w:rPr>
          <w:rFonts w:ascii="Arial" w:cs="Arial" w:eastAsia="Arial" w:hAnsi="Arial"/>
          <w:sz w:val="23"/>
          <w:szCs w:val="23"/>
          <w:b w:val="1"/>
          <w:bCs w:val="1"/>
          <w:color w:val="2A3D6C"/>
        </w:rPr>
        <w:t xml:space="preserve">  | </w:t>
      </w:r>
      <w:r>
        <w:rPr>
          <w:rFonts w:ascii="Arial" w:cs="Arial" w:eastAsia="Arial" w:hAnsi="Arial"/>
          <w:sz w:val="15"/>
          <w:szCs w:val="15"/>
          <w:color w:val="auto"/>
        </w:rPr>
        <w:t xml:space="preserve"> </w:t>
      </w:r>
      <w:r>
        <w:rPr>
          <w:rFonts w:ascii="Arial" w:cs="Arial" w:eastAsia="Arial" w:hAnsi="Arial"/>
          <w:sz w:val="15"/>
          <w:szCs w:val="15"/>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112395</wp:posOffset>
            </wp:positionV>
            <wp:extent cx="693801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-167005</wp:posOffset>
            </wp:positionV>
            <wp:extent cx="594995" cy="170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8" w:name="page19"/>
    <w:bookmarkEnd w:id="18"/>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179" w:lineRule="exact"/>
        <w:rPr>
          <w:sz w:val="20"/>
          <w:szCs w:val="20"/>
          <w:color w:val="auto"/>
        </w:rPr>
      </w:pPr>
    </w:p>
    <w:p>
      <w:pPr>
        <w:ind w:left="320" w:right="839"/>
        <w:spacing w:after="0" w:line="282" w:lineRule="auto"/>
        <w:rPr>
          <w:sz w:val="20"/>
          <w:szCs w:val="20"/>
          <w:color w:val="auto"/>
        </w:rPr>
      </w:pPr>
      <w:r>
        <w:rPr>
          <w:rFonts w:ascii="Arial" w:cs="Arial" w:eastAsia="Arial" w:hAnsi="Arial"/>
          <w:sz w:val="16"/>
          <w:szCs w:val="16"/>
          <w:color w:val="auto"/>
        </w:rPr>
        <w:t>As of the date of this Proxy Statement, each of the standing Committees of the Board had the composition and responsibilities described below.</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74295</wp:posOffset>
            </wp:positionV>
            <wp:extent cx="5305425" cy="71843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05425" cy="718439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1940" w:type="dxa"/>
            <w:vAlign w:val="bottom"/>
          </w:tcPr>
          <w:p>
            <w:pPr>
              <w:spacing w:after="0"/>
              <w:rPr>
                <w:sz w:val="20"/>
                <w:szCs w:val="20"/>
                <w:color w:val="auto"/>
              </w:rPr>
            </w:pPr>
            <w:r>
              <w:rPr>
                <w:rFonts w:ascii="Arial" w:cs="Arial" w:eastAsia="Arial" w:hAnsi="Arial"/>
                <w:sz w:val="21"/>
                <w:szCs w:val="21"/>
                <w:b w:val="1"/>
                <w:bCs w:val="1"/>
                <w:color w:val="FFFFFF"/>
              </w:rPr>
              <w:t xml:space="preserve">Audit Committee </w:t>
            </w:r>
            <w:r>
              <w:rPr>
                <w:rFonts w:ascii="Times New Roman" w:cs="Times New Roman" w:eastAsia="Times New Roman" w:hAnsi="Times New Roman"/>
                <w:sz w:val="3"/>
                <w:szCs w:val="3"/>
                <w:color w:val="000000"/>
              </w:rPr>
              <w:t>​</w:t>
            </w:r>
          </w:p>
        </w:tc>
        <w:tc>
          <w:tcPr>
            <w:tcW w:w="5900" w:type="dxa"/>
            <w:vAlign w:val="bottom"/>
            <w:gridSpan w:val="2"/>
          </w:tcPr>
          <w:p>
            <w:pPr>
              <w:ind w:left="100"/>
              <w:spacing w:after="0"/>
              <w:rPr>
                <w:sz w:val="20"/>
                <w:szCs w:val="20"/>
                <w:color w:val="auto"/>
              </w:rPr>
            </w:pPr>
            <w:r>
              <w:rPr>
                <w:rFonts w:ascii="Arial" w:cs="Arial" w:eastAsia="Arial" w:hAnsi="Arial"/>
                <w:sz w:val="16"/>
                <w:szCs w:val="16"/>
                <w:color w:val="auto"/>
                <w:w w:val="99"/>
              </w:rPr>
              <w:t>The Audit Committee is a separately designated standing Committee of the Board</w:t>
            </w: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5900" w:type="dxa"/>
            <w:vAlign w:val="bottom"/>
            <w:gridSpan w:val="2"/>
          </w:tcPr>
          <w:p>
            <w:pPr>
              <w:ind w:left="100"/>
              <w:spacing w:after="0" w:line="174" w:lineRule="exact"/>
              <w:rPr>
                <w:sz w:val="20"/>
                <w:szCs w:val="20"/>
                <w:color w:val="auto"/>
              </w:rPr>
            </w:pPr>
            <w:r>
              <w:rPr>
                <w:rFonts w:ascii="Arial" w:cs="Arial" w:eastAsia="Arial" w:hAnsi="Arial"/>
                <w:sz w:val="16"/>
                <w:szCs w:val="16"/>
                <w:color w:val="auto"/>
              </w:rPr>
              <w:t>established in accordance with Section 3(a)(58)(A) of the Exchange Act.</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5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40" w:type="dxa"/>
            <w:vAlign w:val="bottom"/>
            <w:vMerge w:val="restart"/>
          </w:tcPr>
          <w:p>
            <w:pPr>
              <w:spacing w:after="0"/>
              <w:rPr>
                <w:sz w:val="20"/>
                <w:szCs w:val="20"/>
                <w:color w:val="auto"/>
              </w:rPr>
            </w:pPr>
            <w:r>
              <w:rPr>
                <w:rFonts w:ascii="Arial" w:cs="Arial" w:eastAsia="Arial" w:hAnsi="Arial"/>
                <w:sz w:val="16"/>
                <w:szCs w:val="16"/>
                <w:b w:val="1"/>
                <w:bCs w:val="1"/>
                <w:color w:val="2A3D6C"/>
              </w:rPr>
              <w:t>Members:</w:t>
            </w:r>
          </w:p>
        </w:tc>
        <w:tc>
          <w:tcPr>
            <w:tcW w:w="5900" w:type="dxa"/>
            <w:vAlign w:val="bottom"/>
            <w:gridSpan w:val="2"/>
          </w:tcPr>
          <w:p>
            <w:pPr>
              <w:ind w:left="100"/>
              <w:spacing w:after="0"/>
              <w:rPr>
                <w:sz w:val="20"/>
                <w:szCs w:val="20"/>
                <w:color w:val="auto"/>
              </w:rPr>
            </w:pPr>
            <w:r>
              <w:rPr>
                <w:rFonts w:ascii="Arial" w:cs="Arial" w:eastAsia="Arial" w:hAnsi="Arial"/>
                <w:sz w:val="16"/>
                <w:szCs w:val="16"/>
                <w:b w:val="1"/>
                <w:bCs w:val="1"/>
                <w:color w:val="2A3D6C"/>
              </w:rPr>
              <w:t>Membership:</w:t>
            </w:r>
          </w:p>
        </w:tc>
        <w:tc>
          <w:tcPr>
            <w:tcW w:w="0" w:type="dxa"/>
            <w:vAlign w:val="bottom"/>
          </w:tcPr>
          <w:p>
            <w:pPr>
              <w:spacing w:after="0"/>
              <w:rPr>
                <w:sz w:val="1"/>
                <w:szCs w:val="1"/>
                <w:color w:val="auto"/>
              </w:rPr>
            </w:pPr>
          </w:p>
        </w:tc>
      </w:tr>
      <w:tr>
        <w:trPr>
          <w:trHeight w:val="150"/>
        </w:trPr>
        <w:tc>
          <w:tcPr>
            <w:tcW w:w="1940" w:type="dxa"/>
            <w:vAlign w:val="bottom"/>
            <w:vMerge w:val="continue"/>
          </w:tcPr>
          <w:p>
            <w:pPr>
              <w:spacing w:after="0"/>
              <w:rPr>
                <w:sz w:val="13"/>
                <w:szCs w:val="13"/>
                <w:color w:val="auto"/>
              </w:rPr>
            </w:pPr>
          </w:p>
        </w:tc>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5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rPr>
                <w:sz w:val="20"/>
                <w:szCs w:val="20"/>
                <w:color w:val="auto"/>
              </w:rPr>
            </w:pPr>
            <w:r>
              <w:rPr>
                <w:rFonts w:ascii="Arial" w:cs="Arial" w:eastAsia="Arial" w:hAnsi="Arial"/>
                <w:sz w:val="16"/>
                <w:szCs w:val="16"/>
                <w:color w:val="auto"/>
              </w:rPr>
              <w:t>Steven M. Sterin,</w:t>
            </w:r>
          </w:p>
        </w:tc>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5700" w:type="dxa"/>
            <w:vAlign w:val="bottom"/>
          </w:tcPr>
          <w:p>
            <w:pPr>
              <w:ind w:left="6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Our Board has determined that all members are independent directors as</w:t>
            </w:r>
          </w:p>
        </w:tc>
        <w:tc>
          <w:tcPr>
            <w:tcW w:w="0" w:type="dxa"/>
            <w:vAlign w:val="bottom"/>
          </w:tcPr>
          <w:p>
            <w:pPr>
              <w:spacing w:after="0"/>
              <w:rPr>
                <w:sz w:val="1"/>
                <w:szCs w:val="1"/>
                <w:color w:val="auto"/>
              </w:rPr>
            </w:pPr>
          </w:p>
        </w:tc>
      </w:tr>
      <w:tr>
        <w:trPr>
          <w:trHeight w:val="160"/>
        </w:trPr>
        <w:tc>
          <w:tcPr>
            <w:tcW w:w="1940" w:type="dxa"/>
            <w:vAlign w:val="bottom"/>
          </w:tcPr>
          <w:p>
            <w:pPr>
              <w:spacing w:after="0" w:line="160" w:lineRule="exact"/>
              <w:rPr>
                <w:sz w:val="20"/>
                <w:szCs w:val="20"/>
                <w:color w:val="auto"/>
              </w:rPr>
            </w:pPr>
            <w:r>
              <w:rPr>
                <w:rFonts w:ascii="Arial" w:cs="Arial" w:eastAsia="Arial" w:hAnsi="Arial"/>
                <w:sz w:val="16"/>
                <w:szCs w:val="16"/>
                <w:color w:val="auto"/>
              </w:rPr>
              <w:t>Chair</w:t>
            </w:r>
          </w:p>
        </w:tc>
        <w:tc>
          <w:tcPr>
            <w:tcW w:w="200" w:type="dxa"/>
            <w:vAlign w:val="bottom"/>
          </w:tcPr>
          <w:p>
            <w:pPr>
              <w:spacing w:after="0"/>
              <w:rPr>
                <w:sz w:val="13"/>
                <w:szCs w:val="13"/>
                <w:color w:val="auto"/>
              </w:rPr>
            </w:pPr>
          </w:p>
        </w:tc>
        <w:tc>
          <w:tcPr>
            <w:tcW w:w="5700" w:type="dxa"/>
            <w:vAlign w:val="bottom"/>
            <w:vMerge w:val="restart"/>
          </w:tcPr>
          <w:p>
            <w:pPr>
              <w:ind w:left="320"/>
              <w:spacing w:after="0"/>
              <w:rPr>
                <w:sz w:val="20"/>
                <w:szCs w:val="20"/>
                <w:color w:val="auto"/>
              </w:rPr>
            </w:pPr>
            <w:r>
              <w:rPr>
                <w:rFonts w:ascii="Arial" w:cs="Arial" w:eastAsia="Arial" w:hAnsi="Arial"/>
                <w:sz w:val="16"/>
                <w:szCs w:val="16"/>
                <w:color w:val="auto"/>
              </w:rPr>
              <w:t>defined by the NYSE rules and Rule 10A-3 of the Exchange Act.</w:t>
            </w:r>
          </w:p>
        </w:tc>
        <w:tc>
          <w:tcPr>
            <w:tcW w:w="0" w:type="dxa"/>
            <w:vAlign w:val="bottom"/>
          </w:tcPr>
          <w:p>
            <w:pPr>
              <w:spacing w:after="0"/>
              <w:rPr>
                <w:sz w:val="1"/>
                <w:szCs w:val="1"/>
                <w:color w:val="auto"/>
              </w:rPr>
            </w:pPr>
          </w:p>
        </w:tc>
      </w:tr>
      <w:tr>
        <w:trPr>
          <w:trHeight w:val="80"/>
        </w:trPr>
        <w:tc>
          <w:tcPr>
            <w:tcW w:w="1940" w:type="dxa"/>
            <w:vAlign w:val="bottom"/>
            <w:vMerge w:val="restart"/>
          </w:tcPr>
          <w:p>
            <w:pPr>
              <w:spacing w:after="0"/>
              <w:rPr>
                <w:sz w:val="20"/>
                <w:szCs w:val="20"/>
                <w:color w:val="auto"/>
              </w:rPr>
            </w:pPr>
            <w:r>
              <w:rPr>
                <w:rFonts w:ascii="Arial" w:cs="Arial" w:eastAsia="Arial" w:hAnsi="Arial"/>
                <w:sz w:val="16"/>
                <w:szCs w:val="16"/>
                <w:color w:val="auto"/>
              </w:rPr>
              <w:t>Lisa A. Davis</w:t>
            </w:r>
          </w:p>
        </w:tc>
        <w:tc>
          <w:tcPr>
            <w:tcW w:w="200" w:type="dxa"/>
            <w:vAlign w:val="bottom"/>
            <w:vMerge w:val="restart"/>
          </w:tcPr>
          <w:p>
            <w:pPr>
              <w:ind w:left="100"/>
              <w:spacing w:after="0"/>
              <w:rPr>
                <w:sz w:val="20"/>
                <w:szCs w:val="20"/>
                <w:color w:val="auto"/>
              </w:rPr>
            </w:pPr>
            <w:r>
              <w:rPr>
                <w:rFonts w:ascii="Arial" w:cs="Arial" w:eastAsia="Arial" w:hAnsi="Arial"/>
                <w:sz w:val="11"/>
                <w:szCs w:val="11"/>
                <w:color w:val="auto"/>
                <w:w w:val="72"/>
              </w:rPr>
              <w:t> </w:t>
            </w:r>
          </w:p>
        </w:tc>
        <w:tc>
          <w:tcPr>
            <w:tcW w:w="5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94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940" w:type="dxa"/>
            <w:vAlign w:val="bottom"/>
            <w:vMerge w:val="restart"/>
          </w:tcPr>
          <w:p>
            <w:pPr>
              <w:spacing w:after="0"/>
              <w:rPr>
                <w:sz w:val="20"/>
                <w:szCs w:val="20"/>
                <w:color w:val="auto"/>
              </w:rPr>
            </w:pPr>
            <w:r>
              <w:rPr>
                <w:rFonts w:ascii="Arial" w:cs="Arial" w:eastAsia="Arial" w:hAnsi="Arial"/>
                <w:sz w:val="16"/>
                <w:szCs w:val="16"/>
                <w:color w:val="auto"/>
              </w:rPr>
              <w:t>Deanna L. Goodwin</w:t>
            </w:r>
          </w:p>
        </w:tc>
        <w:tc>
          <w:tcPr>
            <w:tcW w:w="200" w:type="dxa"/>
            <w:vAlign w:val="bottom"/>
            <w:vMerge w:val="continue"/>
          </w:tcPr>
          <w:p>
            <w:pPr>
              <w:spacing w:after="0"/>
              <w:rPr>
                <w:sz w:val="4"/>
                <w:szCs w:val="4"/>
                <w:color w:val="auto"/>
              </w:rPr>
            </w:pPr>
          </w:p>
        </w:tc>
        <w:tc>
          <w:tcPr>
            <w:tcW w:w="5700" w:type="dxa"/>
            <w:vAlign w:val="bottom"/>
            <w:vMerge w:val="restart"/>
          </w:tcPr>
          <w:p>
            <w:pPr>
              <w:ind w:left="6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Our Board has determined that all of the members are financially literate.</w:t>
            </w:r>
          </w:p>
        </w:tc>
        <w:tc>
          <w:tcPr>
            <w:tcW w:w="0" w:type="dxa"/>
            <w:vAlign w:val="bottom"/>
          </w:tcPr>
          <w:p>
            <w:pPr>
              <w:spacing w:after="0"/>
              <w:rPr>
                <w:sz w:val="1"/>
                <w:szCs w:val="1"/>
                <w:color w:val="auto"/>
              </w:rPr>
            </w:pPr>
          </w:p>
        </w:tc>
      </w:tr>
      <w:tr>
        <w:trPr>
          <w:trHeight w:val="161"/>
        </w:trPr>
        <w:tc>
          <w:tcPr>
            <w:tcW w:w="1940" w:type="dxa"/>
            <w:vAlign w:val="bottom"/>
            <w:vMerge w:val="continue"/>
          </w:tcPr>
          <w:p>
            <w:pPr>
              <w:spacing w:after="0"/>
              <w:rPr>
                <w:sz w:val="14"/>
                <w:szCs w:val="14"/>
                <w:color w:val="auto"/>
              </w:rPr>
            </w:pPr>
          </w:p>
        </w:tc>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5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40" w:type="dxa"/>
            <w:vAlign w:val="bottom"/>
          </w:tcPr>
          <w:p>
            <w:pPr>
              <w:spacing w:after="0" w:line="160" w:lineRule="exact"/>
              <w:rPr>
                <w:sz w:val="20"/>
                <w:szCs w:val="20"/>
                <w:color w:val="auto"/>
              </w:rPr>
            </w:pPr>
            <w:r>
              <w:rPr>
                <w:rFonts w:ascii="Arial" w:cs="Arial" w:eastAsia="Arial" w:hAnsi="Arial"/>
                <w:sz w:val="16"/>
                <w:szCs w:val="16"/>
                <w:color w:val="auto"/>
              </w:rPr>
              <w:t>Roy A. Franklin</w:t>
            </w:r>
          </w:p>
        </w:tc>
        <w:tc>
          <w:tcPr>
            <w:tcW w:w="200" w:type="dxa"/>
            <w:vAlign w:val="bottom"/>
            <w:vMerge w:val="restart"/>
          </w:tcPr>
          <w:p>
            <w:pPr>
              <w:ind w:left="100"/>
              <w:spacing w:after="0"/>
              <w:rPr>
                <w:sz w:val="20"/>
                <w:szCs w:val="20"/>
                <w:color w:val="auto"/>
              </w:rPr>
            </w:pPr>
            <w:r>
              <w:rPr>
                <w:rFonts w:ascii="Arial" w:cs="Arial" w:eastAsia="Arial" w:hAnsi="Arial"/>
                <w:sz w:val="11"/>
                <w:szCs w:val="11"/>
                <w:color w:val="auto"/>
                <w:w w:val="72"/>
              </w:rPr>
              <w:t> </w:t>
            </w:r>
          </w:p>
        </w:tc>
        <w:tc>
          <w:tcPr>
            <w:tcW w:w="5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940" w:type="dxa"/>
            <w:vAlign w:val="bottom"/>
            <w:vMerge w:val="restart"/>
          </w:tcPr>
          <w:p>
            <w:pPr>
              <w:spacing w:after="0"/>
              <w:rPr>
                <w:sz w:val="20"/>
                <w:szCs w:val="20"/>
                <w:color w:val="auto"/>
              </w:rPr>
            </w:pPr>
            <w:r>
              <w:rPr>
                <w:rFonts w:ascii="Arial" w:cs="Arial" w:eastAsia="Arial" w:hAnsi="Arial"/>
                <w:sz w:val="16"/>
                <w:szCs w:val="16"/>
                <w:color w:val="auto"/>
              </w:rPr>
              <w:t> </w:t>
            </w:r>
          </w:p>
        </w:tc>
        <w:tc>
          <w:tcPr>
            <w:tcW w:w="200" w:type="dxa"/>
            <w:vAlign w:val="bottom"/>
            <w:vMerge w:val="continue"/>
          </w:tcPr>
          <w:p>
            <w:pPr>
              <w:spacing w:after="0"/>
              <w:rPr>
                <w:sz w:val="4"/>
                <w:szCs w:val="4"/>
                <w:color w:val="auto"/>
              </w:rPr>
            </w:pPr>
          </w:p>
        </w:tc>
        <w:tc>
          <w:tcPr>
            <w:tcW w:w="5700" w:type="dxa"/>
            <w:vAlign w:val="bottom"/>
            <w:vMerge w:val="restart"/>
          </w:tcPr>
          <w:p>
            <w:pPr>
              <w:ind w:left="6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Our Board has determined that each of Mr. Sterin and Ms. Goodwin is an</w:t>
            </w:r>
          </w:p>
        </w:tc>
        <w:tc>
          <w:tcPr>
            <w:tcW w:w="0" w:type="dxa"/>
            <w:vAlign w:val="bottom"/>
          </w:tcPr>
          <w:p>
            <w:pPr>
              <w:spacing w:after="0"/>
              <w:rPr>
                <w:sz w:val="1"/>
                <w:szCs w:val="1"/>
                <w:color w:val="auto"/>
              </w:rPr>
            </w:pPr>
          </w:p>
        </w:tc>
      </w:tr>
      <w:tr>
        <w:trPr>
          <w:trHeight w:val="161"/>
        </w:trPr>
        <w:tc>
          <w:tcPr>
            <w:tcW w:w="1940" w:type="dxa"/>
            <w:vAlign w:val="bottom"/>
            <w:vMerge w:val="continue"/>
          </w:tcPr>
          <w:p>
            <w:pPr>
              <w:spacing w:after="0"/>
              <w:rPr>
                <w:sz w:val="14"/>
                <w:szCs w:val="14"/>
                <w:color w:val="auto"/>
              </w:rPr>
            </w:pPr>
          </w:p>
        </w:tc>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5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20"/>
                <w:szCs w:val="20"/>
                <w:color w:val="auto"/>
              </w:rPr>
            </w:pPr>
            <w:r>
              <w:rPr>
                <w:rFonts w:ascii="Arial" w:cs="Arial" w:eastAsia="Arial" w:hAnsi="Arial"/>
                <w:sz w:val="16"/>
                <w:szCs w:val="16"/>
                <w:color w:val="auto"/>
              </w:rPr>
              <w:t>Meetings in 2021: 4</w:t>
            </w:r>
          </w:p>
        </w:tc>
        <w:tc>
          <w:tcPr>
            <w:tcW w:w="20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6"/>
                <w:szCs w:val="16"/>
                <w:color w:val="auto"/>
              </w:rPr>
              <w:t>“audit committee financial expert” as described in Item 407(d)(5) of</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00" w:type="dxa"/>
            <w:vAlign w:val="bottom"/>
          </w:tcPr>
          <w:p>
            <w:pPr>
              <w:ind w:left="320"/>
              <w:spacing w:after="0"/>
              <w:rPr>
                <w:sz w:val="20"/>
                <w:szCs w:val="20"/>
                <w:color w:val="auto"/>
              </w:rPr>
            </w:pPr>
            <w:r>
              <w:rPr>
                <w:rFonts w:ascii="Arial" w:cs="Arial" w:eastAsia="Arial" w:hAnsi="Arial"/>
                <w:sz w:val="16"/>
                <w:szCs w:val="16"/>
                <w:color w:val="auto"/>
              </w:rPr>
              <w:t>Regulation S-K.</w:t>
            </w:r>
          </w:p>
        </w:tc>
        <w:tc>
          <w:tcPr>
            <w:tcW w:w="0" w:type="dxa"/>
            <w:vAlign w:val="bottom"/>
          </w:tcPr>
          <w:p>
            <w:pPr>
              <w:spacing w:after="0"/>
              <w:rPr>
                <w:sz w:val="1"/>
                <w:szCs w:val="1"/>
                <w:color w:val="auto"/>
              </w:rPr>
            </w:pPr>
          </w:p>
        </w:tc>
      </w:tr>
    </w:tbl>
    <w:p>
      <w:pPr>
        <w:ind w:left="2540"/>
        <w:spacing w:after="0"/>
        <w:rPr>
          <w:sz w:val="20"/>
          <w:szCs w:val="20"/>
          <w:color w:val="auto"/>
        </w:rPr>
      </w:pPr>
      <w:r>
        <w:rPr>
          <w:rFonts w:ascii="Arial" w:cs="Arial" w:eastAsia="Arial" w:hAnsi="Arial"/>
          <w:sz w:val="16"/>
          <w:szCs w:val="16"/>
          <w:color w:val="auto"/>
        </w:rPr>
        <w:t> </w:t>
      </w:r>
    </w:p>
    <w:p>
      <w:pPr>
        <w:spacing w:after="0" w:line="3"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2A3D6C"/>
        </w:rPr>
        <w:t>Primary Responsibilities:</w:t>
      </w:r>
    </w:p>
    <w:p>
      <w:pPr>
        <w:ind w:left="2540"/>
        <w:spacing w:after="0" w:line="214" w:lineRule="auto"/>
        <w:rPr>
          <w:sz w:val="20"/>
          <w:szCs w:val="20"/>
          <w:color w:val="auto"/>
        </w:rPr>
      </w:pPr>
      <w:r>
        <w:rPr>
          <w:rFonts w:ascii="Arial" w:cs="Arial" w:eastAsia="Arial" w:hAnsi="Arial"/>
          <w:sz w:val="16"/>
          <w:szCs w:val="16"/>
          <w:color w:val="auto"/>
        </w:rPr>
        <w:t> </w:t>
      </w:r>
    </w:p>
    <w:p>
      <w:pPr>
        <w:ind w:left="2960" w:right="919" w:hanging="424"/>
        <w:spacing w:after="0" w:line="261" w:lineRule="auto"/>
        <w:tabs>
          <w:tab w:leader="none" w:pos="2702" w:val="left"/>
        </w:tabs>
        <w:numPr>
          <w:ilvl w:val="0"/>
          <w:numId w:val="16"/>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Recommend, through the Board, to the stockholders on the appointment</w:t>
      </w:r>
      <w:r>
        <w:rPr>
          <w:rFonts w:ascii="Arial" w:cs="Arial" w:eastAsia="Arial" w:hAnsi="Arial"/>
          <w:sz w:val="16"/>
          <w:szCs w:val="16"/>
          <w:color w:val="2A3D6C"/>
        </w:rPr>
        <w:t xml:space="preserve"> </w:t>
      </w:r>
      <w:r>
        <w:rPr>
          <w:rFonts w:ascii="Arial" w:cs="Arial" w:eastAsia="Arial" w:hAnsi="Arial"/>
          <w:sz w:val="16"/>
          <w:szCs w:val="16"/>
          <w:color w:val="000000"/>
        </w:rPr>
        <w:t>and termination of our independent auditors;</w:t>
      </w:r>
    </w:p>
    <w:tbl>
      <w:tblPr>
        <w:tblLayout w:type="fixed"/>
        <w:tblInd w:w="2340" w:type="dxa"/>
        <w:tblCellMar>
          <w:top w:w="0" w:type="dxa"/>
          <w:left w:w="0" w:type="dxa"/>
          <w:bottom w:w="0" w:type="dxa"/>
          <w:right w:w="0" w:type="dxa"/>
        </w:tblCellMar>
      </w:tblPr>
      <w:tr>
        <w:trPr>
          <w:trHeight w:val="173"/>
        </w:trPr>
        <w:tc>
          <w:tcPr>
            <w:tcW w:w="300" w:type="dxa"/>
            <w:vAlign w:val="bottom"/>
          </w:tcPr>
          <w:p>
            <w:pPr>
              <w:jc w:val="right"/>
              <w:spacing w:after="0" w:line="173" w:lineRule="exact"/>
              <w:rPr>
                <w:sz w:val="20"/>
                <w:szCs w:val="20"/>
                <w:color w:val="auto"/>
              </w:rPr>
            </w:pPr>
            <w:r>
              <w:rPr>
                <w:rFonts w:ascii="Arial" w:cs="Arial" w:eastAsia="Arial" w:hAnsi="Arial"/>
                <w:sz w:val="16"/>
                <w:szCs w:val="16"/>
                <w:color w:val="auto"/>
              </w:rPr>
              <w:t> </w:t>
            </w:r>
          </w:p>
        </w:tc>
        <w:tc>
          <w:tcPr>
            <w:tcW w:w="5700" w:type="dxa"/>
            <w:vAlign w:val="bottom"/>
            <w:vMerge w:val="restart"/>
          </w:tcPr>
          <w:p>
            <w:pPr>
              <w:ind w:left="6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Review the proposed scope and results of the independent auditors’</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00" w:type="dxa"/>
            <w:vAlign w:val="bottom"/>
          </w:tcPr>
          <w:p>
            <w:pPr>
              <w:jc w:val="right"/>
              <w:spacing w:after="0"/>
              <w:rPr>
                <w:sz w:val="20"/>
                <w:szCs w:val="20"/>
                <w:color w:val="auto"/>
              </w:rPr>
            </w:pPr>
            <w:r>
              <w:rPr>
                <w:rFonts w:ascii="Arial" w:cs="Arial" w:eastAsia="Arial" w:hAnsi="Arial"/>
                <w:sz w:val="16"/>
                <w:szCs w:val="16"/>
                <w:color w:val="auto"/>
              </w:rPr>
              <w:t> </w:t>
            </w:r>
          </w:p>
        </w:tc>
        <w:tc>
          <w:tcPr>
            <w:tcW w:w="5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5700" w:type="dxa"/>
            <w:vAlign w:val="bottom"/>
          </w:tcPr>
          <w:p>
            <w:pPr>
              <w:ind w:left="320"/>
              <w:spacing w:after="0"/>
              <w:rPr>
                <w:sz w:val="20"/>
                <w:szCs w:val="20"/>
                <w:color w:val="auto"/>
              </w:rPr>
            </w:pPr>
            <w:r>
              <w:rPr>
                <w:rFonts w:ascii="Arial" w:cs="Arial" w:eastAsia="Arial" w:hAnsi="Arial"/>
                <w:sz w:val="16"/>
                <w:szCs w:val="16"/>
                <w:color w:val="auto"/>
              </w:rPr>
              <w:t>audit;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00" w:type="dxa"/>
            <w:vAlign w:val="bottom"/>
            <w:vMerge w:val="continue"/>
          </w:tcPr>
          <w:p>
            <w:pPr>
              <w:spacing w:after="0"/>
              <w:rPr>
                <w:sz w:val="14"/>
                <w:szCs w:val="14"/>
                <w:color w:val="auto"/>
              </w:rPr>
            </w:pPr>
          </w:p>
        </w:tc>
        <w:tc>
          <w:tcPr>
            <w:tcW w:w="5700" w:type="dxa"/>
            <w:vAlign w:val="bottom"/>
            <w:vMerge w:val="restart"/>
          </w:tcPr>
          <w:p>
            <w:pPr>
              <w:ind w:left="6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Review and approve the independent auditors’ audit and non-audit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00" w:type="dxa"/>
            <w:vAlign w:val="bottom"/>
          </w:tcPr>
          <w:p>
            <w:pPr>
              <w:jc w:val="right"/>
              <w:spacing w:after="0"/>
              <w:rPr>
                <w:sz w:val="20"/>
                <w:szCs w:val="20"/>
                <w:color w:val="auto"/>
              </w:rPr>
            </w:pPr>
            <w:r>
              <w:rPr>
                <w:rFonts w:ascii="Arial" w:cs="Arial" w:eastAsia="Arial" w:hAnsi="Arial"/>
                <w:sz w:val="16"/>
                <w:szCs w:val="16"/>
                <w:color w:val="auto"/>
              </w:rPr>
              <w:t> </w:t>
            </w:r>
          </w:p>
        </w:tc>
        <w:tc>
          <w:tcPr>
            <w:tcW w:w="5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5700" w:type="dxa"/>
            <w:vAlign w:val="bottom"/>
          </w:tcPr>
          <w:p>
            <w:pPr>
              <w:ind w:left="320"/>
              <w:spacing w:after="0"/>
              <w:rPr>
                <w:sz w:val="20"/>
                <w:szCs w:val="20"/>
                <w:color w:val="auto"/>
              </w:rPr>
            </w:pPr>
            <w:r>
              <w:rPr>
                <w:rFonts w:ascii="Arial" w:cs="Arial" w:eastAsia="Arial" w:hAnsi="Arial"/>
                <w:sz w:val="16"/>
                <w:szCs w:val="16"/>
                <w:color w:val="auto"/>
              </w:rPr>
              <w:t>services rendered;</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00" w:type="dxa"/>
            <w:vAlign w:val="bottom"/>
            <w:vMerge w:val="continue"/>
          </w:tcPr>
          <w:p>
            <w:pPr>
              <w:spacing w:after="0"/>
              <w:rPr>
                <w:sz w:val="14"/>
                <w:szCs w:val="14"/>
                <w:color w:val="auto"/>
              </w:rPr>
            </w:pPr>
          </w:p>
        </w:tc>
        <w:tc>
          <w:tcPr>
            <w:tcW w:w="5700" w:type="dxa"/>
            <w:vAlign w:val="bottom"/>
            <w:vMerge w:val="restart"/>
          </w:tcPr>
          <w:p>
            <w:pPr>
              <w:ind w:left="6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Approve the audit fees to be paid (subject to authorization by our</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00" w:type="dxa"/>
            <w:vAlign w:val="bottom"/>
          </w:tcPr>
          <w:p>
            <w:pPr>
              <w:jc w:val="right"/>
              <w:spacing w:after="0"/>
              <w:rPr>
                <w:sz w:val="20"/>
                <w:szCs w:val="20"/>
                <w:color w:val="auto"/>
              </w:rPr>
            </w:pPr>
            <w:r>
              <w:rPr>
                <w:rFonts w:ascii="Arial" w:cs="Arial" w:eastAsia="Arial" w:hAnsi="Arial"/>
                <w:sz w:val="16"/>
                <w:szCs w:val="16"/>
                <w:color w:val="auto"/>
              </w:rPr>
              <w:t> </w:t>
            </w:r>
          </w:p>
        </w:tc>
        <w:tc>
          <w:tcPr>
            <w:tcW w:w="5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5700" w:type="dxa"/>
            <w:vAlign w:val="bottom"/>
          </w:tcPr>
          <w:p>
            <w:pPr>
              <w:ind w:left="320"/>
              <w:spacing w:after="0"/>
              <w:rPr>
                <w:sz w:val="20"/>
                <w:szCs w:val="20"/>
                <w:color w:val="auto"/>
              </w:rPr>
            </w:pPr>
            <w:r>
              <w:rPr>
                <w:rFonts w:ascii="Arial" w:cs="Arial" w:eastAsia="Arial" w:hAnsi="Arial"/>
                <w:sz w:val="16"/>
                <w:szCs w:val="16"/>
                <w:color w:val="auto"/>
              </w:rPr>
              <w:t>stockholders to do so);</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00" w:type="dxa"/>
            <w:vAlign w:val="bottom"/>
            <w:vMerge w:val="continue"/>
          </w:tcPr>
          <w:p>
            <w:pPr>
              <w:spacing w:after="0"/>
              <w:rPr>
                <w:sz w:val="14"/>
                <w:szCs w:val="14"/>
                <w:color w:val="auto"/>
              </w:rPr>
            </w:pPr>
          </w:p>
        </w:tc>
        <w:tc>
          <w:tcPr>
            <w:tcW w:w="5700" w:type="dxa"/>
            <w:vAlign w:val="bottom"/>
            <w:vMerge w:val="restart"/>
          </w:tcPr>
          <w:p>
            <w:pPr>
              <w:ind w:left="6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Review accounting and financial controls with the independent auditors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00" w:type="dxa"/>
            <w:vAlign w:val="bottom"/>
          </w:tcPr>
          <w:p>
            <w:pPr>
              <w:jc w:val="right"/>
              <w:spacing w:after="0"/>
              <w:rPr>
                <w:sz w:val="20"/>
                <w:szCs w:val="20"/>
                <w:color w:val="auto"/>
              </w:rPr>
            </w:pPr>
            <w:r>
              <w:rPr>
                <w:rFonts w:ascii="Arial" w:cs="Arial" w:eastAsia="Arial" w:hAnsi="Arial"/>
                <w:sz w:val="16"/>
                <w:szCs w:val="16"/>
                <w:color w:val="auto"/>
              </w:rPr>
              <w:t> </w:t>
            </w:r>
          </w:p>
        </w:tc>
        <w:tc>
          <w:tcPr>
            <w:tcW w:w="5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 w:type="dxa"/>
            <w:vAlign w:val="bottom"/>
          </w:tcPr>
          <w:p>
            <w:pPr>
              <w:jc w:val="right"/>
              <w:ind w:right="104"/>
              <w:spacing w:after="0"/>
              <w:rPr>
                <w:sz w:val="20"/>
                <w:szCs w:val="20"/>
                <w:color w:val="auto"/>
              </w:rPr>
            </w:pPr>
            <w:r>
              <w:rPr>
                <w:rFonts w:ascii="Times New Roman" w:cs="Times New Roman" w:eastAsia="Times New Roman" w:hAnsi="Times New Roman"/>
                <w:sz w:val="4"/>
                <w:szCs w:val="4"/>
                <w:color w:val="auto"/>
              </w:rPr>
              <w:t>​</w:t>
            </w:r>
          </w:p>
        </w:tc>
        <w:tc>
          <w:tcPr>
            <w:tcW w:w="5700" w:type="dxa"/>
            <w:vAlign w:val="bottom"/>
          </w:tcPr>
          <w:p>
            <w:pPr>
              <w:ind w:left="320"/>
              <w:spacing w:after="0" w:line="108" w:lineRule="exact"/>
              <w:rPr>
                <w:sz w:val="20"/>
                <w:szCs w:val="20"/>
                <w:color w:val="auto"/>
              </w:rPr>
            </w:pPr>
            <w:r>
              <w:rPr>
                <w:rFonts w:ascii="Arial" w:cs="Arial" w:eastAsia="Arial" w:hAnsi="Arial"/>
                <w:sz w:val="12"/>
                <w:szCs w:val="12"/>
                <w:color w:val="auto"/>
              </w:rPr>
              <w:t>and our financial and accounting staff;</w:t>
            </w:r>
          </w:p>
        </w:tc>
        <w:tc>
          <w:tcPr>
            <w:tcW w:w="24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58"/>
        </w:trPr>
        <w:tc>
          <w:tcPr>
            <w:tcW w:w="300" w:type="dxa"/>
            <w:vAlign w:val="bottom"/>
          </w:tcPr>
          <w:p>
            <w:pPr>
              <w:jc w:val="right"/>
              <w:spacing w:after="0"/>
              <w:rPr>
                <w:sz w:val="20"/>
                <w:szCs w:val="20"/>
                <w:color w:val="auto"/>
              </w:rPr>
            </w:pPr>
            <w:r>
              <w:rPr>
                <w:rFonts w:ascii="Times New Roman" w:cs="Times New Roman" w:eastAsia="Times New Roman" w:hAnsi="Times New Roman"/>
                <w:sz w:val="7"/>
                <w:szCs w:val="7"/>
                <w:color w:val="auto"/>
                <w:vertAlign w:val="subscript"/>
              </w:rPr>
              <w:t>​</w:t>
            </w:r>
            <w:r>
              <w:rPr>
                <w:rFonts w:ascii="Arial" w:cs="Arial" w:eastAsia="Arial" w:hAnsi="Arial"/>
                <w:sz w:val="16"/>
                <w:szCs w:val="16"/>
                <w:color w:val="auto"/>
              </w:rPr>
              <w:t xml:space="preserve">           </w:t>
            </w:r>
          </w:p>
        </w:tc>
        <w:tc>
          <w:tcPr>
            <w:tcW w:w="5700" w:type="dxa"/>
            <w:vAlign w:val="bottom"/>
            <w:vMerge w:val="restart"/>
          </w:tcPr>
          <w:p>
            <w:pPr>
              <w:ind w:left="6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Recognize and prevent prohibited non-audit services;</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300" w:type="dxa"/>
            <w:vAlign w:val="bottom"/>
          </w:tcPr>
          <w:p>
            <w:pPr>
              <w:jc w:val="right"/>
              <w:spacing w:after="0"/>
              <w:rPr>
                <w:sz w:val="20"/>
                <w:szCs w:val="20"/>
                <w:color w:val="auto"/>
              </w:rPr>
            </w:pPr>
            <w:r>
              <w:rPr>
                <w:rFonts w:ascii="Arial" w:cs="Arial" w:eastAsia="Arial" w:hAnsi="Arial"/>
                <w:sz w:val="16"/>
                <w:szCs w:val="16"/>
                <w:color w:val="auto"/>
              </w:rPr>
              <w:t> </w:t>
            </w:r>
          </w:p>
        </w:tc>
        <w:tc>
          <w:tcPr>
            <w:tcW w:w="5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 w:type="dxa"/>
            <w:vAlign w:val="bottom"/>
          </w:tcPr>
          <w:p>
            <w:pPr>
              <w:jc w:val="right"/>
              <w:spacing w:after="0"/>
              <w:rPr>
                <w:sz w:val="20"/>
                <w:szCs w:val="20"/>
                <w:color w:val="auto"/>
              </w:rPr>
            </w:pPr>
            <w:r>
              <w:rPr>
                <w:rFonts w:ascii="Arial" w:cs="Arial" w:eastAsia="Arial" w:hAnsi="Arial"/>
                <w:sz w:val="16"/>
                <w:szCs w:val="16"/>
                <w:color w:val="auto"/>
              </w:rPr>
              <w:t> </w:t>
            </w:r>
          </w:p>
        </w:tc>
        <w:tc>
          <w:tcPr>
            <w:tcW w:w="5700" w:type="dxa"/>
            <w:vAlign w:val="bottom"/>
            <w:vMerge w:val="restart"/>
          </w:tcPr>
          <w:p>
            <w:pPr>
              <w:ind w:left="6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Establish procedures for complaints received by us regarding accounting</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 w:type="dxa"/>
            <w:vAlign w:val="bottom"/>
          </w:tcPr>
          <w:p>
            <w:pPr>
              <w:jc w:val="right"/>
              <w:spacing w:after="0"/>
              <w:rPr>
                <w:sz w:val="20"/>
                <w:szCs w:val="20"/>
                <w:color w:val="auto"/>
              </w:rPr>
            </w:pPr>
            <w:r>
              <w:rPr>
                <w:rFonts w:ascii="Arial" w:cs="Arial" w:eastAsia="Arial" w:hAnsi="Arial"/>
                <w:sz w:val="16"/>
                <w:szCs w:val="16"/>
                <w:color w:val="auto"/>
              </w:rPr>
              <w:t> </w:t>
            </w:r>
          </w:p>
        </w:tc>
        <w:tc>
          <w:tcPr>
            <w:tcW w:w="5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700" w:type="dxa"/>
            <w:vAlign w:val="bottom"/>
          </w:tcPr>
          <w:p>
            <w:pPr>
              <w:ind w:left="320"/>
              <w:spacing w:after="0"/>
              <w:rPr>
                <w:sz w:val="20"/>
                <w:szCs w:val="20"/>
                <w:color w:val="auto"/>
              </w:rPr>
            </w:pPr>
            <w:r>
              <w:rPr>
                <w:rFonts w:ascii="Arial" w:cs="Arial" w:eastAsia="Arial" w:hAnsi="Arial"/>
                <w:sz w:val="16"/>
                <w:szCs w:val="16"/>
                <w:color w:val="auto"/>
              </w:rPr>
              <w:t>matters;</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540"/>
        <w:spacing w:after="0" w:line="209" w:lineRule="auto"/>
        <w:rPr>
          <w:sz w:val="20"/>
          <w:szCs w:val="20"/>
          <w:color w:val="auto"/>
        </w:rPr>
      </w:pPr>
      <w:r>
        <w:rPr>
          <w:rFonts w:ascii="Arial" w:cs="Arial" w:eastAsia="Arial" w:hAnsi="Arial"/>
          <w:sz w:val="16"/>
          <w:szCs w:val="16"/>
          <w:color w:val="auto"/>
        </w:rPr>
        <w:t> </w:t>
      </w:r>
    </w:p>
    <w:p>
      <w:pPr>
        <w:ind w:left="2700" w:hanging="164"/>
        <w:spacing w:after="0"/>
        <w:tabs>
          <w:tab w:leader="none" w:pos="2700" w:val="left"/>
        </w:tabs>
        <w:numPr>
          <w:ilvl w:val="0"/>
          <w:numId w:val="17"/>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Oversee internal audit functions;</w:t>
      </w:r>
    </w:p>
    <w:p>
      <w:pPr>
        <w:spacing w:after="0" w:line="30" w:lineRule="exact"/>
        <w:rPr>
          <w:rFonts w:ascii="Arial" w:cs="Arial" w:eastAsia="Arial" w:hAnsi="Arial"/>
          <w:sz w:val="16"/>
          <w:szCs w:val="16"/>
          <w:color w:val="auto"/>
        </w:rPr>
      </w:pPr>
    </w:p>
    <w:p>
      <w:pPr>
        <w:spacing w:after="0"/>
        <w:tabs>
          <w:tab w:leader="none" w:pos="0" w:val="left"/>
        </w:tabs>
        <w:numPr>
          <w:ilvl w:val="0"/>
          <w:numId w:val="17"/>
        </w:numPr>
        <w:rPr>
          <w:rFonts w:ascii="Arial" w:cs="Arial" w:eastAsia="Arial" w:hAnsi="Arial"/>
          <w:sz w:val="16"/>
          <w:szCs w:val="16"/>
          <w:color w:val="auto"/>
        </w:rPr>
      </w:pPr>
    </w:p>
    <w:p>
      <w:pPr>
        <w:spacing w:after="0" w:line="3" w:lineRule="exact"/>
        <w:rPr>
          <w:rFonts w:ascii="Arial" w:cs="Arial" w:eastAsia="Arial" w:hAnsi="Arial"/>
          <w:sz w:val="16"/>
          <w:szCs w:val="16"/>
          <w:color w:val="auto"/>
        </w:rPr>
      </w:pPr>
    </w:p>
    <w:p>
      <w:pPr>
        <w:ind w:left="2700" w:hanging="164"/>
        <w:spacing w:after="0"/>
        <w:tabs>
          <w:tab w:leader="none" w:pos="2700" w:val="left"/>
        </w:tabs>
        <w:numPr>
          <w:ilvl w:val="0"/>
          <w:numId w:val="17"/>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Oversee the resource and reserve process, including the external</w:t>
      </w:r>
    </w:p>
    <w:p>
      <w:pPr>
        <w:spacing w:after="0" w:line="3" w:lineRule="exact"/>
        <w:rPr>
          <w:sz w:val="20"/>
          <w:szCs w:val="20"/>
          <w:color w:val="auto"/>
        </w:rPr>
      </w:pPr>
    </w:p>
    <w:p>
      <w:pPr>
        <w:jc w:val="center"/>
        <w:ind w:left="2020"/>
        <w:spacing w:after="0"/>
        <w:rPr>
          <w:sz w:val="20"/>
          <w:szCs w:val="20"/>
          <w:color w:val="auto"/>
        </w:rPr>
      </w:pPr>
      <w:r>
        <w:rPr>
          <w:rFonts w:ascii="Arial" w:cs="Arial" w:eastAsia="Arial" w:hAnsi="Arial"/>
          <w:sz w:val="16"/>
          <w:szCs w:val="16"/>
          <w:color w:val="auto"/>
        </w:rPr>
        <w:t>reporting of resource and reserve information;</w:t>
      </w:r>
    </w:p>
    <w:p>
      <w:pPr>
        <w:ind w:left="2540"/>
        <w:spacing w:after="0" w:line="214" w:lineRule="auto"/>
        <w:rPr>
          <w:sz w:val="20"/>
          <w:szCs w:val="20"/>
          <w:color w:val="auto"/>
        </w:rPr>
      </w:pPr>
      <w:r>
        <w:rPr>
          <w:rFonts w:ascii="Arial" w:cs="Arial" w:eastAsia="Arial" w:hAnsi="Arial"/>
          <w:sz w:val="16"/>
          <w:szCs w:val="16"/>
          <w:color w:val="auto"/>
        </w:rPr>
        <w:t> </w:t>
      </w:r>
    </w:p>
    <w:p>
      <w:pPr>
        <w:ind w:left="2700" w:hanging="164"/>
        <w:spacing w:after="0"/>
        <w:tabs>
          <w:tab w:leader="none" w:pos="2700" w:val="left"/>
        </w:tabs>
        <w:numPr>
          <w:ilvl w:val="0"/>
          <w:numId w:val="18"/>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Review and approve the report of the Audit Committee that SEC rules</w:t>
      </w:r>
    </w:p>
    <w:p>
      <w:pPr>
        <w:spacing w:after="0" w:line="30" w:lineRule="exact"/>
        <w:rPr>
          <w:sz w:val="20"/>
          <w:szCs w:val="20"/>
          <w:color w:val="auto"/>
        </w:rPr>
      </w:pPr>
    </w:p>
    <w:p>
      <w:pPr>
        <w:jc w:val="center"/>
        <w:ind w:left="2020"/>
        <w:spacing w:after="0"/>
        <w:rPr>
          <w:sz w:val="20"/>
          <w:szCs w:val="20"/>
          <w:color w:val="auto"/>
        </w:rPr>
      </w:pPr>
      <w:r>
        <w:rPr>
          <w:rFonts w:ascii="Arial" w:cs="Arial" w:eastAsia="Arial" w:hAnsi="Arial"/>
          <w:sz w:val="16"/>
          <w:szCs w:val="16"/>
          <w:color w:val="auto"/>
        </w:rPr>
        <w:t>require to be included in this Proxy Statement; and</w:t>
      </w:r>
    </w:p>
    <w:p>
      <w:pPr>
        <w:ind w:left="2540"/>
        <w:spacing w:after="0" w:line="214" w:lineRule="auto"/>
        <w:rPr>
          <w:sz w:val="20"/>
          <w:szCs w:val="20"/>
          <w:color w:val="auto"/>
        </w:rPr>
      </w:pPr>
      <w:r>
        <w:rPr>
          <w:rFonts w:ascii="Arial" w:cs="Arial" w:eastAsia="Arial" w:hAnsi="Arial"/>
          <w:sz w:val="16"/>
          <w:szCs w:val="16"/>
          <w:color w:val="auto"/>
        </w:rPr>
        <w:t> </w:t>
      </w:r>
    </w:p>
    <w:p>
      <w:pPr>
        <w:ind w:left="2700" w:hanging="164"/>
        <w:spacing w:after="0"/>
        <w:tabs>
          <w:tab w:leader="none" w:pos="2700" w:val="left"/>
        </w:tabs>
        <w:numPr>
          <w:ilvl w:val="0"/>
          <w:numId w:val="19"/>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Oversee information and cybersecurity risks, including receiving updates from</w:t>
      </w:r>
    </w:p>
    <w:p>
      <w:pPr>
        <w:spacing w:after="0" w:line="30" w:lineRule="exact"/>
        <w:rPr>
          <w:sz w:val="20"/>
          <w:szCs w:val="20"/>
          <w:color w:val="auto"/>
        </w:rPr>
      </w:pPr>
    </w:p>
    <w:p>
      <w:pPr>
        <w:ind w:left="2960" w:right="1259"/>
        <w:spacing w:after="0" w:line="244" w:lineRule="auto"/>
        <w:rPr>
          <w:sz w:val="20"/>
          <w:szCs w:val="20"/>
          <w:color w:val="auto"/>
        </w:rPr>
      </w:pPr>
      <w:r>
        <w:rPr>
          <w:rFonts w:ascii="Arial" w:cs="Arial" w:eastAsia="Arial" w:hAnsi="Arial"/>
          <w:sz w:val="16"/>
          <w:szCs w:val="16"/>
          <w:color w:val="auto"/>
        </w:rPr>
        <w:t>company executives on information security matters at least twice a year and more often as necessary.</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 </w:t>
      </w:r>
    </w:p>
    <w:p>
      <w:pPr>
        <w:spacing w:after="0" w:line="3"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2A3D6C"/>
        </w:rPr>
        <w:t>The Audit Committee Charter:</w:t>
      </w:r>
    </w:p>
    <w:p>
      <w:pPr>
        <w:ind w:left="2540"/>
        <w:spacing w:after="0" w:line="214" w:lineRule="auto"/>
        <w:rPr>
          <w:sz w:val="20"/>
          <w:szCs w:val="20"/>
          <w:color w:val="auto"/>
        </w:rPr>
      </w:pPr>
      <w:r>
        <w:rPr>
          <w:rFonts w:ascii="Arial" w:cs="Arial" w:eastAsia="Arial" w:hAnsi="Arial"/>
          <w:sz w:val="16"/>
          <w:szCs w:val="16"/>
          <w:color w:val="auto"/>
        </w:rPr>
        <w:t> </w:t>
      </w:r>
    </w:p>
    <w:p>
      <w:pPr>
        <w:ind w:left="2700" w:hanging="164"/>
        <w:spacing w:after="0"/>
        <w:tabs>
          <w:tab w:leader="none" w:pos="2700" w:val="left"/>
        </w:tabs>
        <w:numPr>
          <w:ilvl w:val="0"/>
          <w:numId w:val="20"/>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Was approved by the Board on May 9, 2011 (as amended on April 3, 2012</w:t>
      </w:r>
    </w:p>
    <w:p>
      <w:pPr>
        <w:spacing w:after="0" w:line="30" w:lineRule="exact"/>
        <w:rPr>
          <w:rFonts w:ascii="Arial" w:cs="Arial" w:eastAsia="Arial" w:hAnsi="Arial"/>
          <w:sz w:val="16"/>
          <w:szCs w:val="16"/>
          <w:color w:val="auto"/>
        </w:rPr>
      </w:pPr>
    </w:p>
    <w:p>
      <w:pPr>
        <w:ind w:left="2960"/>
        <w:spacing w:after="0"/>
        <w:rPr>
          <w:rFonts w:ascii="Arial" w:cs="Arial" w:eastAsia="Arial" w:hAnsi="Arial"/>
          <w:sz w:val="16"/>
          <w:szCs w:val="16"/>
          <w:color w:val="auto"/>
        </w:rPr>
      </w:pPr>
      <w:r>
        <w:rPr>
          <w:rFonts w:ascii="Arial" w:cs="Arial" w:eastAsia="Arial" w:hAnsi="Arial"/>
          <w:sz w:val="16"/>
          <w:szCs w:val="16"/>
          <w:color w:val="auto"/>
        </w:rPr>
        <w:t>further updated on May 2, 2019 and further updated on June 10, 2020)</w:t>
      </w:r>
    </w:p>
    <w:p>
      <w:pPr>
        <w:spacing w:after="0" w:line="3"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and is reviewed annually; and</w:t>
      </w:r>
    </w:p>
    <w:p>
      <w:pPr>
        <w:ind w:left="2540"/>
        <w:spacing w:after="0" w:line="214" w:lineRule="auto"/>
        <w:rPr>
          <w:sz w:val="20"/>
          <w:szCs w:val="20"/>
          <w:color w:val="auto"/>
        </w:rPr>
      </w:pPr>
      <w:r>
        <w:rPr>
          <w:rFonts w:ascii="Arial" w:cs="Arial" w:eastAsia="Arial" w:hAnsi="Arial"/>
          <w:sz w:val="16"/>
          <w:szCs w:val="16"/>
          <w:color w:val="auto"/>
        </w:rPr>
        <w:t> </w:t>
      </w:r>
    </w:p>
    <w:p>
      <w:pPr>
        <w:ind w:left="2700" w:hanging="164"/>
        <w:spacing w:after="0"/>
        <w:tabs>
          <w:tab w:leader="none" w:pos="2700" w:val="left"/>
        </w:tabs>
        <w:numPr>
          <w:ilvl w:val="0"/>
          <w:numId w:val="21"/>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Is available under the Corporate Governance link on the Investors’ page of our</w:t>
      </w:r>
    </w:p>
    <w:p>
      <w:pPr>
        <w:spacing w:after="0" w:line="30" w:lineRule="exact"/>
        <w:rPr>
          <w:sz w:val="20"/>
          <w:szCs w:val="20"/>
          <w:color w:val="auto"/>
        </w:rPr>
      </w:pPr>
    </w:p>
    <w:p>
      <w:pPr>
        <w:ind w:left="2960" w:right="1339"/>
        <w:spacing w:after="0" w:line="244" w:lineRule="auto"/>
        <w:rPr>
          <w:sz w:val="20"/>
          <w:szCs w:val="20"/>
          <w:color w:val="auto"/>
        </w:rPr>
      </w:pPr>
      <w:r>
        <w:rPr>
          <w:rFonts w:ascii="Arial" w:cs="Arial" w:eastAsia="Arial" w:hAnsi="Arial"/>
          <w:sz w:val="16"/>
          <w:szCs w:val="16"/>
          <w:color w:val="auto"/>
        </w:rPr>
        <w:t>website at www.kosmosenergy.com. The information on our website is not incorporated by reference into this Proxy Statement.</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 </w:t>
      </w:r>
    </w:p>
    <w:p>
      <w:pPr>
        <w:spacing w:after="0" w:line="3"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 xml:space="preserve">The Report of the Audit Committee is set forth on page </w:t>
      </w:r>
      <w:r>
        <w:rPr>
          <w:rFonts w:ascii="Arial" w:cs="Arial" w:eastAsia="Arial" w:hAnsi="Arial"/>
          <w:sz w:val="16"/>
          <w:szCs w:val="16"/>
          <w:u w:val="single" w:color="auto"/>
          <w:color w:val="0000EE"/>
        </w:rPr>
        <w:t>27</w:t>
      </w:r>
      <w:r>
        <w:rPr>
          <w:rFonts w:ascii="Arial" w:cs="Arial" w:eastAsia="Arial" w:hAnsi="Arial"/>
          <w:sz w:val="16"/>
          <w:szCs w:val="16"/>
          <w:color w:val="auto"/>
        </w:rPr>
        <w:t xml:space="preserve"> of this Proxy Statement.</w:t>
      </w:r>
    </w:p>
    <w:p>
      <w:pPr>
        <w:sectPr>
          <w:pgSz w:w="11900" w:h="16838" w:orient="portrait"/>
          <w:cols w:equalWidth="0" w:num="1">
            <w:col w:w="9019"/>
          </w:cols>
          <w:pgMar w:left="1440" w:top="262" w:right="1440" w:bottom="1440" w:gutter="0" w:footer="0" w:header="0"/>
          <w:type w:val="continuous"/>
        </w:sectPr>
      </w:pP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14</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920" w:type="dxa"/>
            <w:vAlign w:val="bottom"/>
            <w:vMerge w:val="continue"/>
          </w:tcPr>
          <w:p>
            <w:pPr>
              <w:spacing w:after="0"/>
              <w:rPr>
                <w:sz w:val="23"/>
                <w:szCs w:val="23"/>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9" w:name="page20"/>
    <w:bookmarkEnd w:id="19"/>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right"/>
        <w:ind w:right="339"/>
        <w:spacing w:after="0"/>
        <w:rPr>
          <w:sz w:val="20"/>
          <w:szCs w:val="20"/>
          <w:color w:val="auto"/>
        </w:rPr>
      </w:pPr>
      <w:r>
        <w:rPr>
          <w:rFonts w:ascii="Arial" w:cs="Arial" w:eastAsia="Arial" w:hAnsi="Arial"/>
          <w:sz w:val="18"/>
          <w:szCs w:val="18"/>
          <w:b w:val="1"/>
          <w:bCs w:val="1"/>
          <w:color w:val="2A3D6C"/>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5305425" cy="69462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05425" cy="694626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05"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FFFFFF"/>
        </w:rPr>
        <w:t>Compensation</w:t>
      </w:r>
    </w:p>
    <w:p>
      <w:pPr>
        <w:spacing w:after="0" w:line="3" w:lineRule="exact"/>
        <w:rPr>
          <w:sz w:val="20"/>
          <w:szCs w:val="20"/>
          <w:color w:val="auto"/>
        </w:rPr>
      </w:pPr>
    </w:p>
    <w:p>
      <w:pPr>
        <w:ind w:left="500" w:hanging="160"/>
        <w:spacing w:after="0"/>
        <w:tabs>
          <w:tab w:leader="none" w:pos="500" w:val="left"/>
        </w:tabs>
        <w:numPr>
          <w:ilvl w:val="0"/>
          <w:numId w:val="22"/>
        </w:numPr>
        <w:rPr>
          <w:rFonts w:ascii="Times New Roman" w:cs="Times New Roman" w:eastAsia="Times New Roman" w:hAnsi="Times New Roman"/>
          <w:sz w:val="7"/>
          <w:szCs w:val="7"/>
          <w:color w:val="auto"/>
          <w:vertAlign w:val="superscript"/>
        </w:rPr>
      </w:pPr>
      <w:r>
        <w:rPr>
          <w:rFonts w:ascii="Arial" w:cs="Arial" w:eastAsia="Arial" w:hAnsi="Arial"/>
          <w:sz w:val="21"/>
          <w:szCs w:val="21"/>
          <w:b w:val="1"/>
          <w:bCs w:val="1"/>
          <w:color w:val="FFFFFF"/>
        </w:rPr>
        <w:t>Committee</w:t>
      </w:r>
    </w:p>
    <w:p>
      <w:pPr>
        <w:spacing w:after="0" w:line="200" w:lineRule="exact"/>
        <w:rPr>
          <w:sz w:val="20"/>
          <w:szCs w:val="20"/>
          <w:color w:val="auto"/>
        </w:rPr>
      </w:pP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2A3D6C"/>
        </w:rPr>
        <w:t>Members:</w:t>
      </w:r>
    </w:p>
    <w:p>
      <w:pPr>
        <w:spacing w:after="0" w:line="19" w:lineRule="exact"/>
        <w:rPr>
          <w:sz w:val="20"/>
          <w:szCs w:val="20"/>
          <w:color w:val="auto"/>
        </w:rPr>
      </w:pPr>
    </w:p>
    <w:p>
      <w:pPr>
        <w:ind w:left="500"/>
        <w:spacing w:after="0" w:line="244" w:lineRule="auto"/>
        <w:rPr>
          <w:sz w:val="20"/>
          <w:szCs w:val="20"/>
          <w:color w:val="auto"/>
        </w:rPr>
      </w:pPr>
      <w:r>
        <w:rPr>
          <w:rFonts w:ascii="Arial" w:cs="Arial" w:eastAsia="Arial" w:hAnsi="Arial"/>
          <w:sz w:val="16"/>
          <w:szCs w:val="16"/>
          <w:color w:val="auto"/>
        </w:rPr>
        <w:t>Adebayo O. Ogunlesi, Chair</w:t>
      </w:r>
    </w:p>
    <w:p>
      <w:pPr>
        <w:spacing w:after="0" w:line="1" w:lineRule="exact"/>
        <w:rPr>
          <w:sz w:val="20"/>
          <w:szCs w:val="20"/>
          <w:color w:val="auto"/>
        </w:rPr>
      </w:pPr>
    </w:p>
    <w:p>
      <w:pPr>
        <w:ind w:left="500" w:right="80"/>
        <w:spacing w:after="0" w:line="249" w:lineRule="auto"/>
        <w:rPr>
          <w:sz w:val="20"/>
          <w:szCs w:val="20"/>
          <w:color w:val="auto"/>
        </w:rPr>
      </w:pPr>
      <w:r>
        <w:rPr>
          <w:rFonts w:ascii="Arial" w:cs="Arial" w:eastAsia="Arial" w:hAnsi="Arial"/>
          <w:sz w:val="16"/>
          <w:szCs w:val="16"/>
          <w:color w:val="auto"/>
        </w:rPr>
        <w:t>Sir Richard Dearlove Steven M. Sterin  </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Meetings in 2021: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287"/>
        <w:spacing w:after="0"/>
        <w:rPr>
          <w:sz w:val="20"/>
          <w:szCs w:val="20"/>
          <w:color w:val="auto"/>
        </w:rPr>
      </w:pPr>
      <w:r>
        <w:rPr>
          <w:rFonts w:ascii="Arial" w:cs="Arial" w:eastAsia="Arial" w:hAnsi="Arial"/>
          <w:sz w:val="16"/>
          <w:szCs w:val="16"/>
          <w:color w:val="auto"/>
        </w:rPr>
        <w:t>The Compensation Committee is a separately designated standing Committee of the</w:t>
      </w:r>
    </w:p>
    <w:p>
      <w:pPr>
        <w:spacing w:after="0" w:line="19" w:lineRule="exact"/>
        <w:rPr>
          <w:sz w:val="20"/>
          <w:szCs w:val="20"/>
          <w:color w:val="auto"/>
        </w:rPr>
      </w:pPr>
    </w:p>
    <w:p>
      <w:pPr>
        <w:ind w:left="192" w:hanging="192"/>
        <w:spacing w:after="0"/>
        <w:tabs>
          <w:tab w:leader="none" w:pos="192" w:val="left"/>
        </w:tabs>
        <w:numPr>
          <w:ilvl w:val="0"/>
          <w:numId w:val="23"/>
        </w:numPr>
        <w:rPr>
          <w:rFonts w:ascii="Times New Roman" w:cs="Times New Roman" w:eastAsia="Times New Roman" w:hAnsi="Times New Roman"/>
          <w:sz w:val="4"/>
          <w:szCs w:val="4"/>
          <w:color w:val="auto"/>
        </w:rPr>
      </w:pPr>
      <w:r>
        <w:rPr>
          <w:rFonts w:ascii="Arial" w:cs="Arial" w:eastAsia="Arial" w:hAnsi="Arial"/>
          <w:sz w:val="16"/>
          <w:szCs w:val="16"/>
          <w:color w:val="auto"/>
        </w:rPr>
        <w:t>Board established in accordance with Section 3(a)(58)(A) of the Exchange Act.</w:t>
      </w:r>
    </w:p>
    <w:p>
      <w:pPr>
        <w:spacing w:after="0" w:line="3" w:lineRule="exact"/>
        <w:rPr>
          <w:rFonts w:ascii="Times New Roman" w:cs="Times New Roman" w:eastAsia="Times New Roman" w:hAnsi="Times New Roman"/>
          <w:sz w:val="4"/>
          <w:szCs w:val="4"/>
          <w:color w:val="auto"/>
        </w:rPr>
      </w:pPr>
    </w:p>
    <w:p>
      <w:pPr>
        <w:ind w:left="192"/>
        <w:spacing w:after="0"/>
        <w:rPr>
          <w:rFonts w:ascii="Times New Roman" w:cs="Times New Roman" w:eastAsia="Times New Roman" w:hAnsi="Times New Roman"/>
          <w:sz w:val="4"/>
          <w:szCs w:val="4"/>
          <w:color w:val="auto"/>
        </w:rPr>
      </w:pPr>
      <w:r>
        <w:rPr>
          <w:rFonts w:ascii="Arial" w:cs="Arial" w:eastAsia="Arial" w:hAnsi="Arial"/>
          <w:sz w:val="16"/>
          <w:szCs w:val="16"/>
          <w:color w:val="auto"/>
        </w:rPr>
        <w:t> </w:t>
      </w:r>
    </w:p>
    <w:p>
      <w:pPr>
        <w:spacing w:after="0" w:line="3" w:lineRule="exact"/>
        <w:rPr>
          <w:rFonts w:ascii="Times New Roman" w:cs="Times New Roman" w:eastAsia="Times New Roman" w:hAnsi="Times New Roman"/>
          <w:sz w:val="4"/>
          <w:szCs w:val="4"/>
          <w:color w:val="auto"/>
        </w:rPr>
      </w:pPr>
    </w:p>
    <w:p>
      <w:pPr>
        <w:ind w:left="192"/>
        <w:spacing w:after="0"/>
        <w:rPr>
          <w:rFonts w:ascii="Times New Roman" w:cs="Times New Roman" w:eastAsia="Times New Roman" w:hAnsi="Times New Roman"/>
          <w:sz w:val="4"/>
          <w:szCs w:val="4"/>
          <w:color w:val="auto"/>
        </w:rPr>
      </w:pPr>
      <w:r>
        <w:rPr>
          <w:rFonts w:ascii="Arial" w:cs="Arial" w:eastAsia="Arial" w:hAnsi="Arial"/>
          <w:sz w:val="16"/>
          <w:szCs w:val="16"/>
          <w:b w:val="1"/>
          <w:bCs w:val="1"/>
          <w:color w:val="2A3D6C"/>
        </w:rPr>
        <w:t>Membership:</w:t>
      </w:r>
    </w:p>
    <w:p>
      <w:pPr>
        <w:spacing w:after="0" w:line="3" w:lineRule="exact"/>
        <w:rPr>
          <w:rFonts w:ascii="Times New Roman" w:cs="Times New Roman" w:eastAsia="Times New Roman" w:hAnsi="Times New Roman"/>
          <w:sz w:val="4"/>
          <w:szCs w:val="4"/>
          <w:color w:val="auto"/>
        </w:rPr>
      </w:pPr>
    </w:p>
    <w:p>
      <w:pPr>
        <w:ind w:left="192"/>
        <w:spacing w:after="0" w:line="227" w:lineRule="auto"/>
        <w:rPr>
          <w:rFonts w:ascii="Times New Roman" w:cs="Times New Roman" w:eastAsia="Times New Roman" w:hAnsi="Times New Roman"/>
          <w:sz w:val="4"/>
          <w:szCs w:val="4"/>
          <w:color w:val="auto"/>
        </w:rPr>
      </w:pPr>
      <w:r>
        <w:rPr>
          <w:rFonts w:ascii="Arial" w:cs="Arial" w:eastAsia="Arial" w:hAnsi="Arial"/>
          <w:sz w:val="16"/>
          <w:szCs w:val="16"/>
          <w:color w:val="auto"/>
        </w:rPr>
        <w:t> </w:t>
      </w:r>
    </w:p>
    <w:p>
      <w:pPr>
        <w:ind w:left="612" w:right="499" w:hanging="424"/>
        <w:spacing w:after="0" w:line="250" w:lineRule="auto"/>
        <w:tabs>
          <w:tab w:leader="none" w:pos="354" w:val="left"/>
        </w:tabs>
        <w:numPr>
          <w:ilvl w:val="0"/>
          <w:numId w:val="24"/>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Our Board has determined that all members are independent directors as</w:t>
      </w:r>
      <w:r>
        <w:rPr>
          <w:rFonts w:ascii="Arial" w:cs="Arial" w:eastAsia="Arial" w:hAnsi="Arial"/>
          <w:sz w:val="16"/>
          <w:szCs w:val="16"/>
          <w:color w:val="2A3D6C"/>
        </w:rPr>
        <w:t xml:space="preserve"> </w:t>
      </w:r>
      <w:r>
        <w:rPr>
          <w:rFonts w:ascii="Arial" w:cs="Arial" w:eastAsia="Arial" w:hAnsi="Arial"/>
          <w:sz w:val="16"/>
          <w:szCs w:val="16"/>
          <w:color w:val="000000"/>
        </w:rPr>
        <w:t>defined by the NYSE rules and Rule 10A-3 of the Exchange Act and qualify as “non-employee directors” for purposes of Rule 16b-3 under the</w:t>
      </w:r>
    </w:p>
    <w:p>
      <w:pPr>
        <w:ind w:left="612"/>
        <w:spacing w:after="0"/>
        <w:rPr>
          <w:rFonts w:ascii="Arial" w:cs="Arial" w:eastAsia="Arial" w:hAnsi="Arial"/>
          <w:sz w:val="16"/>
          <w:szCs w:val="16"/>
          <w:color w:val="auto"/>
        </w:rPr>
      </w:pPr>
      <w:r>
        <w:rPr>
          <w:rFonts w:ascii="Arial" w:cs="Arial" w:eastAsia="Arial" w:hAnsi="Arial"/>
          <w:sz w:val="16"/>
          <w:szCs w:val="16"/>
          <w:color w:val="auto"/>
        </w:rPr>
        <w:t>Exchange Act.</w:t>
      </w:r>
    </w:p>
    <w:p>
      <w:pPr>
        <w:spacing w:after="0" w:line="3" w:lineRule="exact"/>
        <w:rPr>
          <w:sz w:val="20"/>
          <w:szCs w:val="20"/>
          <w:color w:val="auto"/>
        </w:rPr>
      </w:pPr>
    </w:p>
    <w:p>
      <w:pPr>
        <w:ind w:left="192"/>
        <w:spacing w:after="0"/>
        <w:rPr>
          <w:sz w:val="20"/>
          <w:szCs w:val="20"/>
          <w:color w:val="auto"/>
        </w:rPr>
      </w:pPr>
      <w:r>
        <w:rPr>
          <w:rFonts w:ascii="Arial" w:cs="Arial" w:eastAsia="Arial" w:hAnsi="Arial"/>
          <w:sz w:val="16"/>
          <w:szCs w:val="16"/>
          <w:color w:val="auto"/>
        </w:rPr>
        <w:t> </w:t>
      </w:r>
    </w:p>
    <w:p>
      <w:pPr>
        <w:spacing w:after="0" w:line="3" w:lineRule="exact"/>
        <w:rPr>
          <w:sz w:val="20"/>
          <w:szCs w:val="20"/>
          <w:color w:val="auto"/>
        </w:rPr>
      </w:pPr>
    </w:p>
    <w:p>
      <w:pPr>
        <w:ind w:left="192"/>
        <w:spacing w:after="0"/>
        <w:rPr>
          <w:sz w:val="20"/>
          <w:szCs w:val="20"/>
          <w:color w:val="auto"/>
        </w:rPr>
      </w:pPr>
      <w:r>
        <w:rPr>
          <w:rFonts w:ascii="Arial" w:cs="Arial" w:eastAsia="Arial" w:hAnsi="Arial"/>
          <w:sz w:val="16"/>
          <w:szCs w:val="16"/>
          <w:b w:val="1"/>
          <w:bCs w:val="1"/>
          <w:color w:val="2A3D6C"/>
        </w:rPr>
        <w:t>Compensation Committee Interlocks:</w:t>
      </w:r>
    </w:p>
    <w:p>
      <w:pPr>
        <w:ind w:left="192"/>
        <w:spacing w:after="0" w:line="231" w:lineRule="auto"/>
        <w:rPr>
          <w:sz w:val="20"/>
          <w:szCs w:val="20"/>
          <w:color w:val="auto"/>
        </w:rPr>
      </w:pPr>
      <w:r>
        <w:rPr>
          <w:rFonts w:ascii="Arial" w:cs="Arial" w:eastAsia="Arial" w:hAnsi="Arial"/>
          <w:sz w:val="16"/>
          <w:szCs w:val="16"/>
          <w:color w:val="auto"/>
        </w:rPr>
        <w:t> </w:t>
      </w:r>
    </w:p>
    <w:p>
      <w:pPr>
        <w:ind w:left="612" w:right="499" w:hanging="424"/>
        <w:spacing w:after="0" w:line="248" w:lineRule="auto"/>
        <w:tabs>
          <w:tab w:leader="none" w:pos="354" w:val="left"/>
        </w:tabs>
        <w:numPr>
          <w:ilvl w:val="0"/>
          <w:numId w:val="25"/>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No member of the Compensation Committee has been at any time an</w:t>
      </w:r>
      <w:r>
        <w:rPr>
          <w:rFonts w:ascii="Arial" w:cs="Arial" w:eastAsia="Arial" w:hAnsi="Arial"/>
          <w:sz w:val="16"/>
          <w:szCs w:val="16"/>
          <w:color w:val="2A3D6C"/>
        </w:rPr>
        <w:t xml:space="preserve"> </w:t>
      </w:r>
      <w:r>
        <w:rPr>
          <w:rFonts w:ascii="Arial" w:cs="Arial" w:eastAsia="Arial" w:hAnsi="Arial"/>
          <w:sz w:val="16"/>
          <w:szCs w:val="16"/>
          <w:color w:val="000000"/>
        </w:rPr>
        <w:t>employee or an officer of ours. None of our executive officers serves as a member of the board of directors or compensation committee of any entity that has one or more executive officers serving as a member of</w:t>
      </w:r>
    </w:p>
    <w:p>
      <w:pPr>
        <w:spacing w:after="0" w:line="3" w:lineRule="exact"/>
        <w:rPr>
          <w:sz w:val="20"/>
          <w:szCs w:val="20"/>
          <w:color w:val="auto"/>
        </w:rPr>
      </w:pPr>
    </w:p>
    <w:p>
      <w:pPr>
        <w:ind w:left="612"/>
        <w:spacing w:after="0"/>
        <w:rPr>
          <w:sz w:val="20"/>
          <w:szCs w:val="20"/>
          <w:color w:val="auto"/>
        </w:rPr>
      </w:pPr>
      <w:r>
        <w:rPr>
          <w:rFonts w:ascii="Arial" w:cs="Arial" w:eastAsia="Arial" w:hAnsi="Arial"/>
          <w:sz w:val="16"/>
          <w:szCs w:val="16"/>
          <w:color w:val="auto"/>
        </w:rPr>
        <w:t>our Board or Compensation Committee.</w:t>
      </w:r>
    </w:p>
    <w:p>
      <w:pPr>
        <w:spacing w:after="0" w:line="3" w:lineRule="exact"/>
        <w:rPr>
          <w:sz w:val="20"/>
          <w:szCs w:val="20"/>
          <w:color w:val="auto"/>
        </w:rPr>
      </w:pPr>
    </w:p>
    <w:p>
      <w:pPr>
        <w:ind w:left="192"/>
        <w:spacing w:after="0"/>
        <w:rPr>
          <w:sz w:val="20"/>
          <w:szCs w:val="20"/>
          <w:color w:val="auto"/>
        </w:rPr>
      </w:pPr>
      <w:r>
        <w:rPr>
          <w:rFonts w:ascii="Arial" w:cs="Arial" w:eastAsia="Arial" w:hAnsi="Arial"/>
          <w:sz w:val="16"/>
          <w:szCs w:val="16"/>
          <w:color w:val="auto"/>
        </w:rPr>
        <w:t> </w:t>
      </w:r>
    </w:p>
    <w:p>
      <w:pPr>
        <w:spacing w:after="0" w:line="3" w:lineRule="exact"/>
        <w:rPr>
          <w:sz w:val="20"/>
          <w:szCs w:val="20"/>
          <w:color w:val="auto"/>
        </w:rPr>
      </w:pPr>
    </w:p>
    <w:p>
      <w:pPr>
        <w:ind w:left="192"/>
        <w:spacing w:after="0"/>
        <w:rPr>
          <w:sz w:val="20"/>
          <w:szCs w:val="20"/>
          <w:color w:val="auto"/>
        </w:rPr>
      </w:pPr>
      <w:r>
        <w:rPr>
          <w:rFonts w:ascii="Arial" w:cs="Arial" w:eastAsia="Arial" w:hAnsi="Arial"/>
          <w:sz w:val="16"/>
          <w:szCs w:val="16"/>
          <w:b w:val="1"/>
          <w:bCs w:val="1"/>
          <w:color w:val="2A3D6C"/>
        </w:rPr>
        <w:t>Primary Responsibilities:</w:t>
      </w:r>
    </w:p>
    <w:p>
      <w:pPr>
        <w:ind w:left="192"/>
        <w:spacing w:after="0" w:line="231" w:lineRule="auto"/>
        <w:rPr>
          <w:sz w:val="20"/>
          <w:szCs w:val="20"/>
          <w:color w:val="auto"/>
        </w:rPr>
      </w:pPr>
      <w:r>
        <w:rPr>
          <w:rFonts w:ascii="Arial" w:cs="Arial" w:eastAsia="Arial" w:hAnsi="Arial"/>
          <w:sz w:val="16"/>
          <w:szCs w:val="16"/>
          <w:color w:val="auto"/>
        </w:rPr>
        <w:t> </w:t>
      </w:r>
    </w:p>
    <w:p>
      <w:pPr>
        <w:ind w:left="352" w:hanging="164"/>
        <w:spacing w:after="0"/>
        <w:tabs>
          <w:tab w:leader="none" w:pos="352" w:val="left"/>
        </w:tabs>
        <w:numPr>
          <w:ilvl w:val="0"/>
          <w:numId w:val="26"/>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Review and approve the compensation arrangements for our executive</w:t>
      </w:r>
    </w:p>
    <w:p>
      <w:pPr>
        <w:spacing w:after="0" w:line="17" w:lineRule="exact"/>
        <w:rPr>
          <w:sz w:val="20"/>
          <w:szCs w:val="20"/>
          <w:color w:val="auto"/>
        </w:rPr>
      </w:pPr>
    </w:p>
    <w:p>
      <w:pPr>
        <w:ind w:left="612"/>
        <w:spacing w:after="0"/>
        <w:rPr>
          <w:sz w:val="20"/>
          <w:szCs w:val="20"/>
          <w:color w:val="auto"/>
        </w:rPr>
      </w:pPr>
      <w:r>
        <w:rPr>
          <w:rFonts w:ascii="Arial" w:cs="Arial" w:eastAsia="Arial" w:hAnsi="Arial"/>
          <w:sz w:val="16"/>
          <w:szCs w:val="16"/>
          <w:color w:val="auto"/>
        </w:rPr>
        <w:t>officers, including the compensation for our Chief Executive Officer;</w:t>
      </w:r>
    </w:p>
    <w:p>
      <w:pPr>
        <w:ind w:left="192"/>
        <w:spacing w:after="0" w:line="231" w:lineRule="auto"/>
        <w:rPr>
          <w:sz w:val="20"/>
          <w:szCs w:val="20"/>
          <w:color w:val="auto"/>
        </w:rPr>
      </w:pPr>
      <w:r>
        <w:rPr>
          <w:rFonts w:ascii="Arial" w:cs="Arial" w:eastAsia="Arial" w:hAnsi="Arial"/>
          <w:sz w:val="16"/>
          <w:szCs w:val="16"/>
          <w:color w:val="auto"/>
        </w:rPr>
        <w:t> </w:t>
      </w:r>
    </w:p>
    <w:p>
      <w:pPr>
        <w:ind w:left="352" w:hanging="164"/>
        <w:spacing w:after="0"/>
        <w:tabs>
          <w:tab w:leader="none" w:pos="352" w:val="left"/>
        </w:tabs>
        <w:numPr>
          <w:ilvl w:val="0"/>
          <w:numId w:val="27"/>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Review and approve compensation for our directors;</w:t>
      </w:r>
    </w:p>
    <w:p>
      <w:pPr>
        <w:spacing w:after="0" w:line="16" w:lineRule="exact"/>
        <w:rPr>
          <w:rFonts w:ascii="Arial" w:cs="Arial" w:eastAsia="Arial" w:hAnsi="Arial"/>
          <w:sz w:val="16"/>
          <w:szCs w:val="16"/>
          <w:color w:val="auto"/>
        </w:rPr>
      </w:pPr>
    </w:p>
    <w:p>
      <w:pPr>
        <w:spacing w:after="0"/>
        <w:tabs>
          <w:tab w:leader="none" w:pos="0" w:val="left"/>
        </w:tabs>
        <w:numPr>
          <w:ilvl w:val="0"/>
          <w:numId w:val="27"/>
        </w:numPr>
        <w:rPr>
          <w:rFonts w:ascii="Arial" w:cs="Arial" w:eastAsia="Arial" w:hAnsi="Arial"/>
          <w:sz w:val="16"/>
          <w:szCs w:val="16"/>
          <w:color w:val="auto"/>
        </w:rPr>
      </w:pPr>
    </w:p>
    <w:p>
      <w:pPr>
        <w:spacing w:after="0" w:line="3" w:lineRule="exact"/>
        <w:rPr>
          <w:rFonts w:ascii="Arial" w:cs="Arial" w:eastAsia="Arial" w:hAnsi="Arial"/>
          <w:sz w:val="16"/>
          <w:szCs w:val="16"/>
          <w:color w:val="auto"/>
        </w:rPr>
      </w:pPr>
    </w:p>
    <w:p>
      <w:pPr>
        <w:ind w:left="612" w:right="1039" w:hanging="424"/>
        <w:spacing w:after="0" w:line="244" w:lineRule="auto"/>
        <w:tabs>
          <w:tab w:leader="none" w:pos="354" w:val="left"/>
        </w:tabs>
        <w:numPr>
          <w:ilvl w:val="0"/>
          <w:numId w:val="27"/>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Periodically review, in consultation with our Chief Executive Officer, our</w:t>
      </w:r>
      <w:r>
        <w:rPr>
          <w:rFonts w:ascii="Arial" w:cs="Arial" w:eastAsia="Arial" w:hAnsi="Arial"/>
          <w:sz w:val="16"/>
          <w:szCs w:val="16"/>
          <w:color w:val="2A3D6C"/>
        </w:rPr>
        <w:t xml:space="preserve"> </w:t>
      </w:r>
      <w:r>
        <w:rPr>
          <w:rFonts w:ascii="Arial" w:cs="Arial" w:eastAsia="Arial" w:hAnsi="Arial"/>
          <w:sz w:val="16"/>
          <w:szCs w:val="16"/>
          <w:color w:val="000000"/>
        </w:rPr>
        <w:t>management succession planning;</w:t>
      </w:r>
    </w:p>
    <w:p>
      <w:pPr>
        <w:spacing w:after="0" w:line="1" w:lineRule="exact"/>
        <w:rPr>
          <w:sz w:val="20"/>
          <w:szCs w:val="20"/>
          <w:color w:val="auto"/>
        </w:rPr>
      </w:pPr>
    </w:p>
    <w:tbl>
      <w:tblPr>
        <w:tblLayout w:type="fixed"/>
        <w:tblInd w:w="112" w:type="dxa"/>
        <w:tblCellMar>
          <w:top w:w="0" w:type="dxa"/>
          <w:left w:w="0" w:type="dxa"/>
          <w:bottom w:w="0" w:type="dxa"/>
          <w:right w:w="0" w:type="dxa"/>
        </w:tblCellMar>
      </w:tblPr>
      <w:tr>
        <w:trPr>
          <w:trHeight w:val="171"/>
        </w:trPr>
        <w:tc>
          <w:tcPr>
            <w:tcW w:w="180" w:type="dxa"/>
            <w:vAlign w:val="bottom"/>
          </w:tcPr>
          <w:p>
            <w:pPr>
              <w:jc w:val="right"/>
              <w:ind w:right="32"/>
              <w:spacing w:after="0"/>
              <w:rPr>
                <w:sz w:val="20"/>
                <w:szCs w:val="20"/>
                <w:color w:val="auto"/>
              </w:rPr>
            </w:pPr>
            <w:r>
              <w:rPr>
                <w:rFonts w:ascii="Arial" w:cs="Arial" w:eastAsia="Arial" w:hAnsi="Arial"/>
                <w:sz w:val="14"/>
                <w:szCs w:val="14"/>
                <w:color w:val="auto"/>
                <w:w w:val="71"/>
              </w:rPr>
              <w:t> </w:t>
            </w:r>
          </w:p>
        </w:tc>
        <w:tc>
          <w:tcPr>
            <w:tcW w:w="5640" w:type="dxa"/>
            <w:vAlign w:val="bottom"/>
            <w:vMerge w:val="restart"/>
          </w:tcPr>
          <w:p>
            <w:pPr>
              <w:ind w:left="6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Review and evaluate our executive compensation and benefits policies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80" w:type="dxa"/>
            <w:vAlign w:val="bottom"/>
          </w:tcPr>
          <w:p>
            <w:pPr>
              <w:jc w:val="right"/>
              <w:ind w:right="32"/>
              <w:spacing w:after="0"/>
              <w:rPr>
                <w:sz w:val="20"/>
                <w:szCs w:val="20"/>
                <w:color w:val="auto"/>
              </w:rPr>
            </w:pPr>
            <w:r>
              <w:rPr>
                <w:rFonts w:ascii="Times New Roman" w:cs="Times New Roman" w:eastAsia="Times New Roman" w:hAnsi="Times New Roman"/>
                <w:sz w:val="4"/>
                <w:szCs w:val="4"/>
                <w:color w:val="auto"/>
                <w:w w:val="79"/>
              </w:rPr>
              <w:t>​</w:t>
            </w:r>
            <w:r>
              <w:rPr>
                <w:rFonts w:ascii="Arial" w:cs="Arial" w:eastAsia="Arial" w:hAnsi="Arial"/>
                <w:sz w:val="5"/>
                <w:szCs w:val="5"/>
                <w:color w:val="auto"/>
                <w:w w:val="79"/>
              </w:rPr>
              <w:t> </w:t>
            </w:r>
          </w:p>
        </w:tc>
        <w:tc>
          <w:tcPr>
            <w:tcW w:w="5640" w:type="dxa"/>
            <w:vAlign w:val="bottom"/>
            <w:vMerge w:val="continue"/>
          </w:tcPr>
          <w:p>
            <w:pPr>
              <w:spacing w:after="0"/>
              <w:rPr>
                <w:sz w:val="16"/>
                <w:szCs w:val="16"/>
                <w:color w:val="auto"/>
              </w:rPr>
            </w:pPr>
          </w:p>
        </w:tc>
        <w:tc>
          <w:tcPr>
            <w:tcW w:w="300" w:type="dxa"/>
            <w:vAlign w:val="bottom"/>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640" w:type="dxa"/>
            <w:vAlign w:val="bottom"/>
          </w:tcPr>
          <w:p>
            <w:pPr>
              <w:ind w:left="320"/>
              <w:spacing w:after="0"/>
              <w:rPr>
                <w:sz w:val="20"/>
                <w:szCs w:val="20"/>
                <w:color w:val="auto"/>
              </w:rPr>
            </w:pPr>
            <w:r>
              <w:rPr>
                <w:rFonts w:ascii="Arial" w:cs="Arial" w:eastAsia="Arial" w:hAnsi="Arial"/>
                <w:sz w:val="16"/>
                <w:szCs w:val="16"/>
                <w:color w:val="auto"/>
              </w:rPr>
              <w:t>generally, including review and recommendation of any incentive</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12" w:hanging="612"/>
        <w:spacing w:after="0"/>
        <w:tabs>
          <w:tab w:leader="none" w:pos="612" w:val="left"/>
        </w:tabs>
        <w:numPr>
          <w:ilvl w:val="0"/>
          <w:numId w:val="28"/>
        </w:numPr>
        <w:rPr>
          <w:rFonts w:ascii="Times New Roman" w:cs="Times New Roman" w:eastAsia="Times New Roman" w:hAnsi="Times New Roman"/>
          <w:sz w:val="4"/>
          <w:szCs w:val="4"/>
          <w:color w:val="auto"/>
        </w:rPr>
      </w:pPr>
      <w:r>
        <w:rPr>
          <w:rFonts w:ascii="Arial" w:cs="Arial" w:eastAsia="Arial" w:hAnsi="Arial"/>
          <w:sz w:val="16"/>
          <w:szCs w:val="16"/>
          <w:color w:val="auto"/>
        </w:rPr>
        <w:t>compensation and equity-based plans;</w:t>
      </w:r>
    </w:p>
    <w:p>
      <w:pPr>
        <w:spacing w:after="0" w:line="3" w:lineRule="exact"/>
        <w:rPr>
          <w:rFonts w:ascii="Times New Roman" w:cs="Times New Roman" w:eastAsia="Times New Roman" w:hAnsi="Times New Roman"/>
          <w:sz w:val="4"/>
          <w:szCs w:val="4"/>
          <w:color w:val="auto"/>
        </w:rPr>
      </w:pPr>
    </w:p>
    <w:p>
      <w:pPr>
        <w:spacing w:after="0"/>
        <w:tabs>
          <w:tab w:leader="none" w:pos="0" w:val="left"/>
        </w:tabs>
        <w:numPr>
          <w:ilvl w:val="1"/>
          <w:numId w:val="28"/>
        </w:numPr>
        <w:rPr>
          <w:rFonts w:ascii="Arial" w:cs="Arial" w:eastAsia="Arial" w:hAnsi="Arial"/>
          <w:sz w:val="16"/>
          <w:szCs w:val="16"/>
          <w:color w:val="auto"/>
        </w:rPr>
      </w:pPr>
    </w:p>
    <w:p>
      <w:pPr>
        <w:spacing w:after="0" w:line="3" w:lineRule="exact"/>
        <w:rPr>
          <w:rFonts w:ascii="Arial" w:cs="Arial" w:eastAsia="Arial" w:hAnsi="Arial"/>
          <w:sz w:val="16"/>
          <w:szCs w:val="16"/>
          <w:color w:val="auto"/>
        </w:rPr>
      </w:pPr>
    </w:p>
    <w:p>
      <w:pPr>
        <w:ind w:left="612" w:right="599" w:hanging="424"/>
        <w:spacing w:after="0" w:line="244" w:lineRule="auto"/>
        <w:tabs>
          <w:tab w:leader="none" w:pos="354" w:val="left"/>
        </w:tabs>
        <w:numPr>
          <w:ilvl w:val="1"/>
          <w:numId w:val="28"/>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Prepare the report of the Compensation Committee that SEC rules require to</w:t>
      </w:r>
      <w:r>
        <w:rPr>
          <w:rFonts w:ascii="Arial" w:cs="Arial" w:eastAsia="Arial" w:hAnsi="Arial"/>
          <w:sz w:val="16"/>
          <w:szCs w:val="16"/>
          <w:color w:val="2A3D6C"/>
        </w:rPr>
        <w:t xml:space="preserve"> </w:t>
      </w:r>
      <w:r>
        <w:rPr>
          <w:rFonts w:ascii="Arial" w:cs="Arial" w:eastAsia="Arial" w:hAnsi="Arial"/>
          <w:sz w:val="16"/>
          <w:szCs w:val="16"/>
          <w:color w:val="000000"/>
        </w:rPr>
        <w:t>be included in the Proxy Statement or Annual Report on Form 10-K, review and discuss the Company’s Compensation Discussion and Analysis with management and provide a recommendation to the Company’s Board regarding the inclusion of the Compensation</w:t>
      </w:r>
    </w:p>
    <w:p>
      <w:pPr>
        <w:spacing w:after="0" w:line="2" w:lineRule="exact"/>
        <w:rPr>
          <w:sz w:val="20"/>
          <w:szCs w:val="20"/>
          <w:color w:val="auto"/>
        </w:rPr>
      </w:pPr>
    </w:p>
    <w:p>
      <w:pPr>
        <w:ind w:left="612"/>
        <w:spacing w:after="0"/>
        <w:rPr>
          <w:sz w:val="20"/>
          <w:szCs w:val="20"/>
          <w:color w:val="auto"/>
        </w:rPr>
      </w:pPr>
      <w:r>
        <w:rPr>
          <w:rFonts w:ascii="Arial" w:cs="Arial" w:eastAsia="Arial" w:hAnsi="Arial"/>
          <w:sz w:val="16"/>
          <w:szCs w:val="16"/>
          <w:color w:val="auto"/>
        </w:rPr>
        <w:t>Discussion and Analysis in the Proxy Statement or Form 10-K;</w:t>
      </w:r>
    </w:p>
    <w:p>
      <w:pPr>
        <w:ind w:left="192"/>
        <w:spacing w:after="0" w:line="231" w:lineRule="auto"/>
        <w:rPr>
          <w:sz w:val="20"/>
          <w:szCs w:val="20"/>
          <w:color w:val="auto"/>
        </w:rPr>
      </w:pPr>
      <w:r>
        <w:rPr>
          <w:rFonts w:ascii="Arial" w:cs="Arial" w:eastAsia="Arial" w:hAnsi="Arial"/>
          <w:sz w:val="16"/>
          <w:szCs w:val="16"/>
          <w:color w:val="auto"/>
        </w:rPr>
        <w:t> </w:t>
      </w:r>
    </w:p>
    <w:p>
      <w:pPr>
        <w:ind w:left="612" w:right="659" w:hanging="424"/>
        <w:spacing w:after="0" w:line="253" w:lineRule="auto"/>
        <w:tabs>
          <w:tab w:leader="none" w:pos="354" w:val="left"/>
        </w:tabs>
        <w:numPr>
          <w:ilvl w:val="0"/>
          <w:numId w:val="29"/>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Retain and terminate any advisors, including any compensation consultants,</w:t>
      </w:r>
      <w:r>
        <w:rPr>
          <w:rFonts w:ascii="Arial" w:cs="Arial" w:eastAsia="Arial" w:hAnsi="Arial"/>
          <w:sz w:val="16"/>
          <w:szCs w:val="16"/>
          <w:color w:val="2A3D6C"/>
        </w:rPr>
        <w:t xml:space="preserve"> </w:t>
      </w:r>
      <w:r>
        <w:rPr>
          <w:rFonts w:ascii="Arial" w:cs="Arial" w:eastAsia="Arial" w:hAnsi="Arial"/>
          <w:sz w:val="16"/>
          <w:szCs w:val="16"/>
          <w:color w:val="000000"/>
        </w:rPr>
        <w:t>and approve any such advisors’ fees and other retention</w:t>
      </w:r>
    </w:p>
    <w:p>
      <w:pPr>
        <w:ind w:left="612"/>
        <w:spacing w:after="0"/>
        <w:rPr>
          <w:rFonts w:ascii="Arial" w:cs="Arial" w:eastAsia="Arial" w:hAnsi="Arial"/>
          <w:sz w:val="16"/>
          <w:szCs w:val="16"/>
          <w:color w:val="auto"/>
        </w:rPr>
      </w:pPr>
      <w:r>
        <w:rPr>
          <w:rFonts w:ascii="Arial" w:cs="Arial" w:eastAsia="Arial" w:hAnsi="Arial"/>
          <w:sz w:val="16"/>
          <w:szCs w:val="16"/>
          <w:color w:val="auto"/>
        </w:rPr>
        <w:t>terms; and</w:t>
      </w:r>
    </w:p>
    <w:p>
      <w:pPr>
        <w:ind w:left="192"/>
        <w:spacing w:after="0" w:line="231" w:lineRule="auto"/>
        <w:rPr>
          <w:sz w:val="20"/>
          <w:szCs w:val="20"/>
          <w:color w:val="auto"/>
        </w:rPr>
      </w:pPr>
      <w:r>
        <w:rPr>
          <w:rFonts w:ascii="Arial" w:cs="Arial" w:eastAsia="Arial" w:hAnsi="Arial"/>
          <w:sz w:val="16"/>
          <w:szCs w:val="16"/>
          <w:color w:val="auto"/>
        </w:rPr>
        <w:t> </w:t>
      </w:r>
    </w:p>
    <w:p>
      <w:pPr>
        <w:jc w:val="right"/>
        <w:ind w:left="612" w:right="1079" w:hanging="424"/>
        <w:spacing w:after="0" w:line="253" w:lineRule="auto"/>
        <w:tabs>
          <w:tab w:leader="none" w:pos="354" w:val="left"/>
        </w:tabs>
        <w:numPr>
          <w:ilvl w:val="0"/>
          <w:numId w:val="30"/>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Delegate its authority to subcommittees or the Chair of the Committee</w:t>
      </w:r>
      <w:r>
        <w:rPr>
          <w:rFonts w:ascii="Arial" w:cs="Arial" w:eastAsia="Arial" w:hAnsi="Arial"/>
          <w:sz w:val="16"/>
          <w:szCs w:val="16"/>
          <w:color w:val="2A3D6C"/>
        </w:rPr>
        <w:t xml:space="preserve"> </w:t>
      </w:r>
      <w:r>
        <w:rPr>
          <w:rFonts w:ascii="Arial" w:cs="Arial" w:eastAsia="Arial" w:hAnsi="Arial"/>
          <w:sz w:val="16"/>
          <w:szCs w:val="16"/>
          <w:color w:val="000000"/>
        </w:rPr>
        <w:t>when it deems it appropriate and in the best interests of the Company.</w:t>
      </w:r>
    </w:p>
    <w:p>
      <w:pPr>
        <w:ind w:left="192"/>
        <w:spacing w:after="0"/>
        <w:rPr>
          <w:sz w:val="20"/>
          <w:szCs w:val="20"/>
          <w:color w:val="auto"/>
        </w:rPr>
      </w:pPr>
      <w:r>
        <w:rPr>
          <w:rFonts w:ascii="Arial" w:cs="Arial" w:eastAsia="Arial" w:hAnsi="Arial"/>
          <w:sz w:val="16"/>
          <w:szCs w:val="16"/>
          <w:color w:val="auto"/>
        </w:rPr>
        <w:t> </w:t>
      </w:r>
    </w:p>
    <w:p>
      <w:pPr>
        <w:spacing w:after="0" w:line="3" w:lineRule="exact"/>
        <w:rPr>
          <w:sz w:val="20"/>
          <w:szCs w:val="20"/>
          <w:color w:val="auto"/>
        </w:rPr>
      </w:pPr>
    </w:p>
    <w:p>
      <w:pPr>
        <w:ind w:left="192"/>
        <w:spacing w:after="0"/>
        <w:rPr>
          <w:sz w:val="20"/>
          <w:szCs w:val="20"/>
          <w:color w:val="auto"/>
        </w:rPr>
      </w:pPr>
      <w:r>
        <w:rPr>
          <w:rFonts w:ascii="Arial" w:cs="Arial" w:eastAsia="Arial" w:hAnsi="Arial"/>
          <w:sz w:val="16"/>
          <w:szCs w:val="16"/>
          <w:b w:val="1"/>
          <w:bCs w:val="1"/>
          <w:color w:val="2A3D6C"/>
        </w:rPr>
        <w:t>The Compensation Committee Charter:</w:t>
      </w:r>
    </w:p>
    <w:p>
      <w:pPr>
        <w:ind w:left="192"/>
        <w:spacing w:after="0" w:line="231" w:lineRule="auto"/>
        <w:rPr>
          <w:sz w:val="20"/>
          <w:szCs w:val="20"/>
          <w:color w:val="auto"/>
        </w:rPr>
      </w:pPr>
      <w:r>
        <w:rPr>
          <w:rFonts w:ascii="Arial" w:cs="Arial" w:eastAsia="Arial" w:hAnsi="Arial"/>
          <w:sz w:val="16"/>
          <w:szCs w:val="16"/>
          <w:color w:val="auto"/>
        </w:rPr>
        <w:t> </w:t>
      </w:r>
    </w:p>
    <w:p>
      <w:pPr>
        <w:ind w:left="612" w:right="879" w:hanging="424"/>
        <w:spacing w:after="0" w:line="253" w:lineRule="auto"/>
        <w:tabs>
          <w:tab w:leader="none" w:pos="354" w:val="left"/>
        </w:tabs>
        <w:numPr>
          <w:ilvl w:val="0"/>
          <w:numId w:val="31"/>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Was approved by the Board on May 9, 2011 and is reviewed periodically;</w:t>
      </w:r>
      <w:r>
        <w:rPr>
          <w:rFonts w:ascii="Arial" w:cs="Arial" w:eastAsia="Arial" w:hAnsi="Arial"/>
          <w:sz w:val="16"/>
          <w:szCs w:val="16"/>
          <w:color w:val="2A3D6C"/>
        </w:rPr>
        <w:t xml:space="preserve"> </w:t>
      </w:r>
      <w:r>
        <w:rPr>
          <w:rFonts w:ascii="Arial" w:cs="Arial" w:eastAsia="Arial" w:hAnsi="Arial"/>
          <w:sz w:val="16"/>
          <w:szCs w:val="16"/>
          <w:color w:val="000000"/>
        </w:rPr>
        <w:t>and</w:t>
      </w:r>
    </w:p>
    <w:p>
      <w:pPr>
        <w:ind w:left="192"/>
        <w:spacing w:after="0" w:line="227" w:lineRule="auto"/>
        <w:rPr>
          <w:sz w:val="20"/>
          <w:szCs w:val="20"/>
          <w:color w:val="auto"/>
        </w:rPr>
      </w:pPr>
      <w:r>
        <w:rPr>
          <w:rFonts w:ascii="Arial" w:cs="Arial" w:eastAsia="Arial" w:hAnsi="Arial"/>
          <w:sz w:val="16"/>
          <w:szCs w:val="16"/>
          <w:color w:val="auto"/>
        </w:rPr>
        <w:t> </w:t>
      </w:r>
    </w:p>
    <w:p>
      <w:pPr>
        <w:ind w:left="612" w:right="499" w:hanging="424"/>
        <w:spacing w:after="0" w:line="253" w:lineRule="auto"/>
        <w:tabs>
          <w:tab w:leader="none" w:pos="354" w:val="left"/>
        </w:tabs>
        <w:numPr>
          <w:ilvl w:val="0"/>
          <w:numId w:val="32"/>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Is available under the Corporate Governance link on the Investors’ page of our</w:t>
      </w:r>
      <w:r>
        <w:rPr>
          <w:rFonts w:ascii="Arial" w:cs="Arial" w:eastAsia="Arial" w:hAnsi="Arial"/>
          <w:sz w:val="16"/>
          <w:szCs w:val="16"/>
          <w:color w:val="2A3D6C"/>
        </w:rPr>
        <w:t xml:space="preserve"> </w:t>
      </w:r>
      <w:r>
        <w:rPr>
          <w:rFonts w:ascii="Arial" w:cs="Arial" w:eastAsia="Arial" w:hAnsi="Arial"/>
          <w:sz w:val="16"/>
          <w:szCs w:val="16"/>
          <w:color w:val="000000"/>
        </w:rPr>
        <w:t>website at www.kosmosenergy.com. The information on our</w:t>
      </w:r>
    </w:p>
    <w:p>
      <w:pPr>
        <w:ind w:left="612"/>
        <w:spacing w:after="0"/>
        <w:rPr>
          <w:rFonts w:ascii="Arial" w:cs="Arial" w:eastAsia="Arial" w:hAnsi="Arial"/>
          <w:sz w:val="16"/>
          <w:szCs w:val="16"/>
          <w:color w:val="auto"/>
        </w:rPr>
      </w:pPr>
      <w:r>
        <w:rPr>
          <w:rFonts w:ascii="Arial" w:cs="Arial" w:eastAsia="Arial" w:hAnsi="Arial"/>
          <w:sz w:val="16"/>
          <w:szCs w:val="16"/>
          <w:color w:val="auto"/>
        </w:rPr>
        <w:t>website is not incorporated by reference into this Proxy Statement.</w:t>
      </w:r>
    </w:p>
    <w:p>
      <w:pPr>
        <w:spacing w:after="0" w:line="3" w:lineRule="exact"/>
        <w:rPr>
          <w:sz w:val="20"/>
          <w:szCs w:val="20"/>
          <w:color w:val="auto"/>
        </w:rPr>
      </w:pPr>
    </w:p>
    <w:p>
      <w:pPr>
        <w:ind w:left="192"/>
        <w:spacing w:after="0"/>
        <w:rPr>
          <w:sz w:val="20"/>
          <w:szCs w:val="20"/>
          <w:color w:val="auto"/>
        </w:rPr>
      </w:pPr>
      <w:r>
        <w:rPr>
          <w:rFonts w:ascii="Arial" w:cs="Arial" w:eastAsia="Arial" w:hAnsi="Arial"/>
          <w:sz w:val="16"/>
          <w:szCs w:val="16"/>
          <w:color w:val="auto"/>
        </w:rPr>
        <w:t> </w:t>
      </w:r>
    </w:p>
    <w:p>
      <w:pPr>
        <w:spacing w:after="0" w:line="3" w:lineRule="exact"/>
        <w:rPr>
          <w:sz w:val="20"/>
          <w:szCs w:val="20"/>
          <w:color w:val="auto"/>
        </w:rPr>
      </w:pPr>
    </w:p>
    <w:p>
      <w:pPr>
        <w:ind w:left="192" w:right="839"/>
        <w:spacing w:after="0" w:line="262" w:lineRule="auto"/>
        <w:rPr>
          <w:sz w:val="20"/>
          <w:szCs w:val="20"/>
          <w:color w:val="auto"/>
        </w:rPr>
      </w:pPr>
      <w:r>
        <w:rPr>
          <w:rFonts w:ascii="Arial" w:cs="Arial" w:eastAsia="Arial" w:hAnsi="Arial"/>
          <w:sz w:val="16"/>
          <w:szCs w:val="16"/>
          <w:color w:val="auto"/>
        </w:rPr>
        <w:t xml:space="preserve">The report of the Compensation Committee is set forth on page </w:t>
      </w:r>
      <w:r>
        <w:rPr>
          <w:rFonts w:ascii="Arial" w:cs="Arial" w:eastAsia="Arial" w:hAnsi="Arial"/>
          <w:sz w:val="16"/>
          <w:szCs w:val="16"/>
          <w:u w:val="single" w:color="auto"/>
          <w:color w:val="0000EE"/>
        </w:rPr>
        <w:t>48</w:t>
      </w:r>
      <w:r>
        <w:rPr>
          <w:rFonts w:ascii="Arial" w:cs="Arial" w:eastAsia="Arial" w:hAnsi="Arial"/>
          <w:sz w:val="16"/>
          <w:szCs w:val="16"/>
          <w:color w:val="auto"/>
        </w:rPr>
        <w:t xml:space="preserve"> of this Proxy Statement.</w:t>
      </w:r>
    </w:p>
    <w:p>
      <w:pPr>
        <w:spacing w:after="0" w:line="190" w:lineRule="exact"/>
        <w:rPr>
          <w:sz w:val="20"/>
          <w:szCs w:val="20"/>
          <w:color w:val="auto"/>
        </w:rPr>
      </w:pPr>
    </w:p>
    <w:p>
      <w:pPr>
        <w:sectPr>
          <w:pgSz w:w="11900" w:h="16838" w:orient="portrait"/>
          <w:cols w:equalWidth="0" w:num="2">
            <w:col w:w="2060" w:space="288"/>
            <w:col w:w="6671"/>
          </w:cols>
          <w:pgMar w:left="1440" w:top="262" w:right="1440" w:bottom="1440" w:gutter="0" w:footer="0" w:header="0"/>
          <w:type w:val="continuous"/>
        </w:sectPr>
      </w:pPr>
    </w:p>
    <w:p>
      <w:pPr>
        <w:ind w:left="640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121285</wp:posOffset>
            </wp:positionV>
            <wp:extent cx="693801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-158750</wp:posOffset>
            </wp:positionV>
            <wp:extent cx="594995" cy="170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20" w:name="page21"/>
    <w:bookmarkEnd w:id="20"/>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5305425" cy="36137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05425" cy="361378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1740" w:type="dxa"/>
            <w:vAlign w:val="bottom"/>
          </w:tcPr>
          <w:p>
            <w:pPr>
              <w:spacing w:after="0"/>
              <w:rPr>
                <w:sz w:val="20"/>
                <w:szCs w:val="20"/>
                <w:color w:val="auto"/>
              </w:rPr>
            </w:pPr>
            <w:r>
              <w:rPr>
                <w:rFonts w:ascii="Arial" w:cs="Arial" w:eastAsia="Arial" w:hAnsi="Arial"/>
                <w:sz w:val="21"/>
                <w:szCs w:val="21"/>
                <w:b w:val="1"/>
                <w:bCs w:val="1"/>
                <w:color w:val="FFFFFF"/>
              </w:rPr>
              <w:t>Nominating and</w:t>
            </w:r>
          </w:p>
        </w:tc>
        <w:tc>
          <w:tcPr>
            <w:tcW w:w="260" w:type="dxa"/>
            <w:vAlign w:val="bottom"/>
          </w:tcPr>
          <w:p>
            <w:pPr>
              <w:spacing w:after="0"/>
              <w:rPr>
                <w:sz w:val="21"/>
                <w:szCs w:val="21"/>
                <w:color w:val="auto"/>
              </w:rPr>
            </w:pPr>
          </w:p>
        </w:tc>
        <w:tc>
          <w:tcPr>
            <w:tcW w:w="6060" w:type="dxa"/>
            <w:vAlign w:val="bottom"/>
            <w:gridSpan w:val="2"/>
          </w:tcPr>
          <w:p>
            <w:pPr>
              <w:ind w:left="40"/>
              <w:spacing w:after="0"/>
              <w:rPr>
                <w:sz w:val="20"/>
                <w:szCs w:val="20"/>
                <w:color w:val="auto"/>
              </w:rPr>
            </w:pPr>
            <w:r>
              <w:rPr>
                <w:rFonts w:ascii="Arial" w:cs="Arial" w:eastAsia="Arial" w:hAnsi="Arial"/>
                <w:sz w:val="16"/>
                <w:szCs w:val="16"/>
                <w:color w:val="auto"/>
              </w:rPr>
              <w:t>The Nominating and Corporate Governance Committee is a separately designated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740" w:type="dxa"/>
            <w:vAlign w:val="bottom"/>
            <w:vMerge w:val="restart"/>
          </w:tcPr>
          <w:p>
            <w:pPr>
              <w:spacing w:after="0"/>
              <w:rPr>
                <w:sz w:val="20"/>
                <w:szCs w:val="20"/>
                <w:color w:val="auto"/>
              </w:rPr>
            </w:pPr>
            <w:r>
              <w:rPr>
                <w:rFonts w:ascii="Arial" w:cs="Arial" w:eastAsia="Arial" w:hAnsi="Arial"/>
                <w:sz w:val="21"/>
                <w:szCs w:val="21"/>
                <w:b w:val="1"/>
                <w:bCs w:val="1"/>
                <w:color w:val="FFFFFF"/>
              </w:rPr>
              <w:t>Corporate</w:t>
            </w:r>
          </w:p>
        </w:tc>
        <w:tc>
          <w:tcPr>
            <w:tcW w:w="260" w:type="dxa"/>
            <w:vAlign w:val="bottom"/>
          </w:tcPr>
          <w:p>
            <w:pPr>
              <w:spacing w:after="0"/>
              <w:rPr>
                <w:sz w:val="15"/>
                <w:szCs w:val="15"/>
                <w:color w:val="auto"/>
              </w:rPr>
            </w:pPr>
          </w:p>
        </w:tc>
        <w:tc>
          <w:tcPr>
            <w:tcW w:w="6060" w:type="dxa"/>
            <w:vAlign w:val="bottom"/>
            <w:gridSpan w:val="2"/>
          </w:tcPr>
          <w:p>
            <w:pPr>
              <w:ind w:left="40"/>
              <w:spacing w:after="0" w:line="174" w:lineRule="exact"/>
              <w:rPr>
                <w:sz w:val="20"/>
                <w:szCs w:val="20"/>
                <w:color w:val="auto"/>
              </w:rPr>
            </w:pPr>
            <w:r>
              <w:rPr>
                <w:rFonts w:ascii="Arial" w:cs="Arial" w:eastAsia="Arial" w:hAnsi="Arial"/>
                <w:sz w:val="16"/>
                <w:szCs w:val="16"/>
                <w:color w:val="auto"/>
              </w:rPr>
              <w:t>standing Committee of the Board established in accordance with Section 3(a)(58)(A)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7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060" w:type="dxa"/>
            <w:vAlign w:val="bottom"/>
            <w:gridSpan w:val="2"/>
            <w:vMerge w:val="restart"/>
          </w:tcPr>
          <w:p>
            <w:pPr>
              <w:ind w:left="40"/>
              <w:spacing w:after="0"/>
              <w:rPr>
                <w:sz w:val="20"/>
                <w:szCs w:val="20"/>
                <w:color w:val="auto"/>
              </w:rPr>
            </w:pPr>
            <w:r>
              <w:rPr>
                <w:rFonts w:ascii="Arial" w:cs="Arial" w:eastAsia="Arial" w:hAnsi="Arial"/>
                <w:sz w:val="16"/>
                <w:szCs w:val="16"/>
                <w:color w:val="auto"/>
              </w:rPr>
              <w:t>of the Exchange Act.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740" w:type="dxa"/>
            <w:vAlign w:val="bottom"/>
            <w:vMerge w:val="restart"/>
          </w:tcPr>
          <w:p>
            <w:pPr>
              <w:spacing w:after="0"/>
              <w:rPr>
                <w:sz w:val="20"/>
                <w:szCs w:val="20"/>
                <w:color w:val="auto"/>
              </w:rPr>
            </w:pPr>
            <w:r>
              <w:rPr>
                <w:rFonts w:ascii="Arial" w:cs="Arial" w:eastAsia="Arial" w:hAnsi="Arial"/>
                <w:sz w:val="21"/>
                <w:szCs w:val="21"/>
                <w:b w:val="1"/>
                <w:bCs w:val="1"/>
                <w:color w:val="FFFFFF"/>
              </w:rPr>
              <w:t>Governance</w:t>
            </w:r>
          </w:p>
        </w:tc>
        <w:tc>
          <w:tcPr>
            <w:tcW w:w="260" w:type="dxa"/>
            <w:vAlign w:val="bottom"/>
          </w:tcPr>
          <w:p>
            <w:pPr>
              <w:spacing w:after="0"/>
              <w:rPr>
                <w:sz w:val="8"/>
                <w:szCs w:val="8"/>
                <w:color w:val="auto"/>
              </w:rPr>
            </w:pPr>
          </w:p>
        </w:tc>
        <w:tc>
          <w:tcPr>
            <w:tcW w:w="60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1740" w:type="dxa"/>
            <w:vAlign w:val="bottom"/>
            <w:vMerge w:val="continue"/>
          </w:tcPr>
          <w:p>
            <w:pPr>
              <w:spacing w:after="0"/>
              <w:rPr>
                <w:sz w:val="14"/>
                <w:szCs w:val="14"/>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740" w:type="dxa"/>
            <w:vAlign w:val="bottom"/>
          </w:tcPr>
          <w:p>
            <w:pPr>
              <w:spacing w:after="0" w:line="207" w:lineRule="exact"/>
              <w:rPr>
                <w:sz w:val="20"/>
                <w:szCs w:val="20"/>
                <w:color w:val="auto"/>
              </w:rPr>
            </w:pPr>
            <w:r>
              <w:rPr>
                <w:rFonts w:ascii="Arial" w:cs="Arial" w:eastAsia="Arial" w:hAnsi="Arial"/>
                <w:sz w:val="21"/>
                <w:szCs w:val="21"/>
                <w:b w:val="1"/>
                <w:bCs w:val="1"/>
                <w:color w:val="FFFFFF"/>
              </w:rPr>
              <w:t>Committee</w:t>
            </w:r>
          </w:p>
        </w:tc>
        <w:tc>
          <w:tcPr>
            <w:tcW w:w="260" w:type="dxa"/>
            <w:vAlign w:val="bottom"/>
          </w:tcPr>
          <w:p>
            <w:pPr>
              <w:spacing w:after="0"/>
              <w:rPr>
                <w:sz w:val="17"/>
                <w:szCs w:val="17"/>
                <w:color w:val="auto"/>
              </w:rPr>
            </w:pPr>
          </w:p>
        </w:tc>
        <w:tc>
          <w:tcPr>
            <w:tcW w:w="6060" w:type="dxa"/>
            <w:vAlign w:val="bottom"/>
            <w:gridSpan w:val="2"/>
          </w:tcPr>
          <w:p>
            <w:pPr>
              <w:ind w:left="40"/>
              <w:spacing w:after="0"/>
              <w:rPr>
                <w:sz w:val="20"/>
                <w:szCs w:val="20"/>
                <w:color w:val="auto"/>
              </w:rPr>
            </w:pPr>
            <w:r>
              <w:rPr>
                <w:rFonts w:ascii="Arial" w:cs="Arial" w:eastAsia="Arial" w:hAnsi="Arial"/>
                <w:sz w:val="16"/>
                <w:szCs w:val="16"/>
                <w:b w:val="1"/>
                <w:bCs w:val="1"/>
                <w:color w:val="2A3D6C"/>
              </w:rPr>
              <w:t>Membership:</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5920" w:type="dxa"/>
            <w:vAlign w:val="bottom"/>
            <w:vMerge w:val="restart"/>
          </w:tcPr>
          <w:p>
            <w:pPr>
              <w:ind w:left="6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Our Board has determined that all members are independent directors as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5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vMerge w:val="restart"/>
          </w:tcPr>
          <w:p>
            <w:pPr>
              <w:ind w:left="40"/>
              <w:spacing w:after="0"/>
              <w:rPr>
                <w:sz w:val="20"/>
                <w:szCs w:val="20"/>
                <w:color w:val="auto"/>
              </w:rPr>
            </w:pPr>
            <w:r>
              <w:rPr>
                <w:rFonts w:ascii="Arial" w:cs="Arial" w:eastAsia="Arial" w:hAnsi="Arial"/>
                <w:sz w:val="11"/>
                <w:szCs w:val="11"/>
                <w:color w:val="auto"/>
                <w:w w:val="72"/>
              </w:rPr>
              <w:t> </w:t>
            </w:r>
          </w:p>
        </w:tc>
        <w:tc>
          <w:tcPr>
            <w:tcW w:w="5920" w:type="dxa"/>
            <w:vAlign w:val="bottom"/>
          </w:tcPr>
          <w:p>
            <w:pPr>
              <w:ind w:left="320"/>
              <w:spacing w:after="0"/>
              <w:rPr>
                <w:sz w:val="20"/>
                <w:szCs w:val="20"/>
                <w:color w:val="auto"/>
              </w:rPr>
            </w:pPr>
            <w:r>
              <w:rPr>
                <w:rFonts w:ascii="Arial" w:cs="Arial" w:eastAsia="Arial" w:hAnsi="Arial"/>
                <w:sz w:val="16"/>
                <w:szCs w:val="16"/>
                <w:color w:val="auto"/>
              </w:rPr>
              <w:t>defined by the NYSE rules and Rule 10A-3 of the Exchange Act.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60" w:type="dxa"/>
            <w:vAlign w:val="bottom"/>
            <w:gridSpan w:val="2"/>
          </w:tcPr>
          <w:p>
            <w:pPr>
              <w:ind w:left="40"/>
              <w:spacing w:after="0"/>
              <w:rPr>
                <w:sz w:val="20"/>
                <w:szCs w:val="20"/>
                <w:color w:val="auto"/>
              </w:rPr>
            </w:pPr>
            <w:r>
              <w:rPr>
                <w:rFonts w:ascii="Arial" w:cs="Arial" w:eastAsia="Arial" w:hAnsi="Arial"/>
                <w:sz w:val="16"/>
                <w:szCs w:val="16"/>
                <w:b w:val="1"/>
                <w:bCs w:val="1"/>
                <w:color w:val="2A3D6C"/>
              </w:rPr>
              <w:t>Primary Responsibilities: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40" w:type="dxa"/>
            <w:vAlign w:val="bottom"/>
          </w:tcPr>
          <w:p>
            <w:pPr>
              <w:spacing w:after="0"/>
              <w:rPr>
                <w:sz w:val="20"/>
                <w:szCs w:val="20"/>
                <w:color w:val="auto"/>
              </w:rPr>
            </w:pPr>
            <w:r>
              <w:rPr>
                <w:rFonts w:ascii="Arial" w:cs="Arial" w:eastAsia="Arial" w:hAnsi="Arial"/>
                <w:sz w:val="16"/>
                <w:szCs w:val="16"/>
                <w:b w:val="1"/>
                <w:bCs w:val="1"/>
                <w:color w:val="2A3D6C"/>
              </w:rPr>
              <w:t>Members:</w:t>
            </w:r>
          </w:p>
        </w:tc>
        <w:tc>
          <w:tcPr>
            <w:tcW w:w="26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5920" w:type="dxa"/>
            <w:vAlign w:val="bottom"/>
            <w:vMerge w:val="restart"/>
          </w:tcPr>
          <w:p>
            <w:pPr>
              <w:ind w:left="60"/>
              <w:spacing w:after="0"/>
              <w:rPr>
                <w:sz w:val="20"/>
                <w:szCs w:val="20"/>
                <w:color w:val="auto"/>
              </w:rPr>
            </w:pPr>
            <w:r>
              <w:rPr>
                <w:rFonts w:ascii="Arial" w:cs="Arial" w:eastAsia="Arial" w:hAnsi="Arial"/>
                <w:sz w:val="16"/>
                <w:szCs w:val="16"/>
                <w:color w:val="2A3D6C"/>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vMerge w:val="restart"/>
          </w:tcPr>
          <w:p>
            <w:pPr>
              <w:spacing w:after="0"/>
              <w:rPr>
                <w:sz w:val="20"/>
                <w:szCs w:val="20"/>
                <w:color w:val="auto"/>
              </w:rPr>
            </w:pPr>
            <w:r>
              <w:rPr>
                <w:rFonts w:ascii="Arial" w:cs="Arial" w:eastAsia="Arial" w:hAnsi="Arial"/>
                <w:sz w:val="16"/>
                <w:szCs w:val="16"/>
                <w:color w:val="auto"/>
              </w:rPr>
              <w:t>Sir Richard Dearlove,</w:t>
            </w:r>
          </w:p>
        </w:tc>
        <w:tc>
          <w:tcPr>
            <w:tcW w:w="260" w:type="dxa"/>
            <w:vAlign w:val="bottom"/>
          </w:tcPr>
          <w:p>
            <w:pPr>
              <w:spacing w:after="0"/>
              <w:rPr>
                <w:sz w:val="12"/>
                <w:szCs w:val="12"/>
                <w:color w:val="auto"/>
              </w:rPr>
            </w:pPr>
          </w:p>
        </w:tc>
        <w:tc>
          <w:tcPr>
            <w:tcW w:w="140" w:type="dxa"/>
            <w:vAlign w:val="bottom"/>
            <w:vMerge w:val="restart"/>
          </w:tcPr>
          <w:p>
            <w:pPr>
              <w:ind w:left="40"/>
              <w:spacing w:after="0"/>
              <w:rPr>
                <w:sz w:val="20"/>
                <w:szCs w:val="20"/>
                <w:color w:val="auto"/>
              </w:rPr>
            </w:pPr>
            <w:r>
              <w:rPr>
                <w:rFonts w:ascii="Arial" w:cs="Arial" w:eastAsia="Arial" w:hAnsi="Arial"/>
                <w:sz w:val="11"/>
                <w:szCs w:val="11"/>
                <w:color w:val="auto"/>
                <w:w w:val="72"/>
              </w:rPr>
              <w:t> </w:t>
            </w:r>
          </w:p>
        </w:tc>
        <w:tc>
          <w:tcPr>
            <w:tcW w:w="5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5920" w:type="dxa"/>
            <w:vAlign w:val="bottom"/>
          </w:tcPr>
          <w:p>
            <w:pPr>
              <w:ind w:left="160"/>
              <w:spacing w:after="0" w:line="40" w:lineRule="exact"/>
              <w:rPr>
                <w:sz w:val="20"/>
                <w:szCs w:val="20"/>
                <w:color w:val="auto"/>
              </w:rPr>
            </w:pPr>
            <w:r>
              <w:rPr>
                <w:rFonts w:ascii="Arial" w:cs="Arial" w:eastAsia="Arial" w:hAnsi="Arial"/>
                <w:sz w:val="4"/>
                <w:szCs w:val="4"/>
                <w:color w:val="auto"/>
              </w:rPr>
              <w:t>   Identify and nominate members for election to the Board;</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1740" w:type="dxa"/>
            <w:vAlign w:val="bottom"/>
          </w:tcPr>
          <w:p>
            <w:pPr>
              <w:spacing w:after="0"/>
              <w:rPr>
                <w:sz w:val="20"/>
                <w:szCs w:val="20"/>
                <w:color w:val="auto"/>
              </w:rPr>
            </w:pPr>
            <w:r>
              <w:rPr>
                <w:rFonts w:ascii="Arial" w:cs="Arial" w:eastAsia="Arial" w:hAnsi="Arial"/>
                <w:sz w:val="16"/>
                <w:szCs w:val="16"/>
                <w:color w:val="auto"/>
              </w:rPr>
              <w:t>Chair</w:t>
            </w:r>
          </w:p>
        </w:tc>
        <w:tc>
          <w:tcPr>
            <w:tcW w:w="26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5920" w:type="dxa"/>
            <w:vAlign w:val="bottom"/>
            <w:vMerge w:val="restart"/>
          </w:tcPr>
          <w:p>
            <w:pPr>
              <w:ind w:left="60"/>
              <w:spacing w:after="0"/>
              <w:rPr>
                <w:sz w:val="20"/>
                <w:szCs w:val="20"/>
                <w:color w:val="auto"/>
              </w:rPr>
            </w:pPr>
            <w:r>
              <w:rPr>
                <w:rFonts w:ascii="Arial" w:cs="Arial" w:eastAsia="Arial" w:hAnsi="Arial"/>
                <w:sz w:val="16"/>
                <w:szCs w:val="16"/>
                <w:color w:val="2A3D6C"/>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vMerge w:val="restart"/>
          </w:tcPr>
          <w:p>
            <w:pPr>
              <w:spacing w:after="0"/>
              <w:rPr>
                <w:sz w:val="20"/>
                <w:szCs w:val="20"/>
                <w:color w:val="auto"/>
              </w:rPr>
            </w:pPr>
            <w:r>
              <w:rPr>
                <w:rFonts w:ascii="Arial" w:cs="Arial" w:eastAsia="Arial" w:hAnsi="Arial"/>
                <w:sz w:val="16"/>
                <w:szCs w:val="16"/>
                <w:color w:val="auto"/>
              </w:rPr>
              <w:t>Adebayo O. Ogunlesi</w:t>
            </w:r>
          </w:p>
        </w:tc>
        <w:tc>
          <w:tcPr>
            <w:tcW w:w="260" w:type="dxa"/>
            <w:vAlign w:val="bottom"/>
          </w:tcPr>
          <w:p>
            <w:pPr>
              <w:spacing w:after="0"/>
              <w:rPr>
                <w:sz w:val="12"/>
                <w:szCs w:val="12"/>
                <w:color w:val="auto"/>
              </w:rPr>
            </w:pPr>
          </w:p>
        </w:tc>
        <w:tc>
          <w:tcPr>
            <w:tcW w:w="140" w:type="dxa"/>
            <w:vAlign w:val="bottom"/>
            <w:vMerge w:val="restart"/>
          </w:tcPr>
          <w:p>
            <w:pPr>
              <w:ind w:left="40"/>
              <w:spacing w:after="0"/>
              <w:rPr>
                <w:sz w:val="20"/>
                <w:szCs w:val="20"/>
                <w:color w:val="auto"/>
              </w:rPr>
            </w:pPr>
            <w:r>
              <w:rPr>
                <w:rFonts w:ascii="Arial" w:cs="Arial" w:eastAsia="Arial" w:hAnsi="Arial"/>
                <w:sz w:val="11"/>
                <w:szCs w:val="11"/>
                <w:color w:val="auto"/>
                <w:w w:val="72"/>
              </w:rPr>
              <w:t> </w:t>
            </w:r>
          </w:p>
        </w:tc>
        <w:tc>
          <w:tcPr>
            <w:tcW w:w="5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5920" w:type="dxa"/>
            <w:vAlign w:val="bottom"/>
          </w:tcPr>
          <w:p>
            <w:pPr>
              <w:ind w:left="160"/>
              <w:spacing w:after="0" w:line="40" w:lineRule="exact"/>
              <w:rPr>
                <w:sz w:val="20"/>
                <w:szCs w:val="20"/>
                <w:color w:val="auto"/>
              </w:rPr>
            </w:pPr>
            <w:r>
              <w:rPr>
                <w:rFonts w:ascii="Arial" w:cs="Arial" w:eastAsia="Arial" w:hAnsi="Arial"/>
                <w:sz w:val="4"/>
                <w:szCs w:val="4"/>
                <w:color w:val="auto"/>
              </w:rPr>
              <w:t>   Review and approve transactions between us and our directors, officers</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1740" w:type="dxa"/>
            <w:vAlign w:val="bottom"/>
          </w:tcPr>
          <w:p>
            <w:pPr>
              <w:spacing w:after="0" w:line="108" w:lineRule="exact"/>
              <w:rPr>
                <w:sz w:val="20"/>
                <w:szCs w:val="20"/>
                <w:color w:val="auto"/>
              </w:rPr>
            </w:pPr>
            <w:r>
              <w:rPr>
                <w:rFonts w:ascii="Arial" w:cs="Arial" w:eastAsia="Arial" w:hAnsi="Arial"/>
                <w:sz w:val="12"/>
                <w:szCs w:val="12"/>
                <w:color w:val="auto"/>
              </w:rPr>
              <w:t>Roy A. Franklin</w:t>
            </w:r>
          </w:p>
        </w:tc>
        <w:tc>
          <w:tcPr>
            <w:tcW w:w="2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0"/>
                <w:szCs w:val="10"/>
                <w:color w:val="auto"/>
              </w:rPr>
            </w:pPr>
          </w:p>
        </w:tc>
        <w:tc>
          <w:tcPr>
            <w:tcW w:w="5920" w:type="dxa"/>
            <w:vAlign w:val="bottom"/>
          </w:tcPr>
          <w:p>
            <w:pPr>
              <w:ind w:left="320"/>
              <w:spacing w:after="0" w:line="108" w:lineRule="exact"/>
              <w:rPr>
                <w:sz w:val="20"/>
                <w:szCs w:val="20"/>
                <w:color w:val="auto"/>
              </w:rPr>
            </w:pPr>
            <w:r>
              <w:rPr>
                <w:rFonts w:ascii="Arial" w:cs="Arial" w:eastAsia="Arial" w:hAnsi="Arial"/>
                <w:sz w:val="12"/>
                <w:szCs w:val="12"/>
                <w:color w:val="auto"/>
              </w:rPr>
              <w:t>and affiliates;</w:t>
            </w:r>
          </w:p>
        </w:tc>
        <w:tc>
          <w:tcPr>
            <w:tcW w:w="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5920" w:type="dxa"/>
            <w:vAlign w:val="bottom"/>
            <w:vMerge w:val="restart"/>
          </w:tcPr>
          <w:p>
            <w:pPr>
              <w:ind w:left="60"/>
              <w:spacing w:after="0"/>
              <w:rPr>
                <w:sz w:val="20"/>
                <w:szCs w:val="20"/>
                <w:color w:val="auto"/>
              </w:rPr>
            </w:pPr>
            <w:r>
              <w:rPr>
                <w:rFonts w:ascii="Arial" w:cs="Arial" w:eastAsia="Arial" w:hAnsi="Arial"/>
                <w:sz w:val="16"/>
                <w:szCs w:val="16"/>
                <w:color w:val="2A3D6C"/>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740" w:type="dxa"/>
            <w:vAlign w:val="bottom"/>
            <w:vMerge w:val="restart"/>
          </w:tcPr>
          <w:p>
            <w:pPr>
              <w:spacing w:after="0"/>
              <w:rPr>
                <w:sz w:val="20"/>
                <w:szCs w:val="20"/>
                <w:color w:val="auto"/>
              </w:rPr>
            </w:pPr>
            <w:r>
              <w:rPr>
                <w:rFonts w:ascii="Arial" w:cs="Arial" w:eastAsia="Arial" w:hAnsi="Arial"/>
                <w:sz w:val="16"/>
                <w:szCs w:val="16"/>
                <w:color w:val="auto"/>
              </w:rPr>
              <w:t>No Meetings in 2021:</w:t>
            </w:r>
          </w:p>
        </w:tc>
        <w:tc>
          <w:tcPr>
            <w:tcW w:w="260" w:type="dxa"/>
            <w:vAlign w:val="bottom"/>
          </w:tcPr>
          <w:p>
            <w:pPr>
              <w:spacing w:after="0"/>
              <w:rPr>
                <w:sz w:val="12"/>
                <w:szCs w:val="12"/>
                <w:color w:val="auto"/>
              </w:rPr>
            </w:pPr>
          </w:p>
        </w:tc>
        <w:tc>
          <w:tcPr>
            <w:tcW w:w="140" w:type="dxa"/>
            <w:vAlign w:val="bottom"/>
            <w:vMerge w:val="restart"/>
          </w:tcPr>
          <w:p>
            <w:pPr>
              <w:ind w:left="40"/>
              <w:spacing w:after="0"/>
              <w:rPr>
                <w:sz w:val="20"/>
                <w:szCs w:val="20"/>
                <w:color w:val="auto"/>
              </w:rPr>
            </w:pPr>
            <w:r>
              <w:rPr>
                <w:rFonts w:ascii="Arial" w:cs="Arial" w:eastAsia="Arial" w:hAnsi="Arial"/>
                <w:sz w:val="11"/>
                <w:szCs w:val="11"/>
                <w:color w:val="auto"/>
                <w:w w:val="72"/>
              </w:rPr>
              <w:t> </w:t>
            </w:r>
          </w:p>
        </w:tc>
        <w:tc>
          <w:tcPr>
            <w:tcW w:w="5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5920" w:type="dxa"/>
            <w:vAlign w:val="bottom"/>
          </w:tcPr>
          <w:p>
            <w:pPr>
              <w:ind w:left="160"/>
              <w:spacing w:after="0" w:line="40" w:lineRule="exact"/>
              <w:rPr>
                <w:sz w:val="20"/>
                <w:szCs w:val="20"/>
                <w:color w:val="auto"/>
              </w:rPr>
            </w:pPr>
            <w:r>
              <w:rPr>
                <w:rFonts w:ascii="Arial" w:cs="Arial" w:eastAsia="Arial" w:hAnsi="Arial"/>
                <w:sz w:val="4"/>
                <w:szCs w:val="4"/>
                <w:color w:val="auto"/>
              </w:rPr>
              <w:t>   Develop and recommend to the Board a set of corporate governance</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1740" w:type="dxa"/>
            <w:vAlign w:val="bottom"/>
          </w:tcPr>
          <w:p>
            <w:pPr>
              <w:spacing w:after="0"/>
              <w:rPr>
                <w:sz w:val="20"/>
                <w:szCs w:val="20"/>
                <w:color w:val="auto"/>
              </w:rPr>
            </w:pPr>
            <w:r>
              <w:rPr>
                <w:rFonts w:ascii="Arial" w:cs="Arial" w:eastAsia="Arial" w:hAnsi="Arial"/>
                <w:sz w:val="16"/>
                <w:szCs w:val="16"/>
                <w:color w:val="auto"/>
              </w:rPr>
              <w:t>Duties delegated to</w:t>
            </w:r>
          </w:p>
        </w:tc>
        <w:tc>
          <w:tcPr>
            <w:tcW w:w="260" w:type="dxa"/>
            <w:vAlign w:val="bottom"/>
          </w:tcPr>
          <w:p>
            <w:pPr>
              <w:spacing w:after="0"/>
              <w:rPr>
                <w:sz w:val="17"/>
                <w:szCs w:val="17"/>
                <w:color w:val="auto"/>
              </w:rPr>
            </w:pPr>
          </w:p>
        </w:tc>
        <w:tc>
          <w:tcPr>
            <w:tcW w:w="140" w:type="dxa"/>
            <w:vAlign w:val="bottom"/>
            <w:vMerge w:val="restart"/>
          </w:tcPr>
          <w:p>
            <w:pPr>
              <w:ind w:left="40"/>
              <w:spacing w:after="0"/>
              <w:rPr>
                <w:sz w:val="20"/>
                <w:szCs w:val="20"/>
                <w:color w:val="auto"/>
              </w:rPr>
            </w:pPr>
            <w:r>
              <w:rPr>
                <w:rFonts w:ascii="Arial" w:cs="Arial" w:eastAsia="Arial" w:hAnsi="Arial"/>
                <w:sz w:val="11"/>
                <w:szCs w:val="11"/>
                <w:color w:val="auto"/>
                <w:w w:val="72"/>
              </w:rPr>
              <w:t> </w:t>
            </w:r>
          </w:p>
        </w:tc>
        <w:tc>
          <w:tcPr>
            <w:tcW w:w="5920" w:type="dxa"/>
            <w:vAlign w:val="bottom"/>
          </w:tcPr>
          <w:p>
            <w:pPr>
              <w:ind w:left="320"/>
              <w:spacing w:after="0"/>
              <w:rPr>
                <w:sz w:val="20"/>
                <w:szCs w:val="20"/>
                <w:color w:val="auto"/>
              </w:rPr>
            </w:pPr>
            <w:r>
              <w:rPr>
                <w:rFonts w:ascii="Arial" w:cs="Arial" w:eastAsia="Arial" w:hAnsi="Arial"/>
                <w:sz w:val="16"/>
                <w:szCs w:val="16"/>
                <w:color w:val="auto"/>
              </w:rPr>
              <w:t>principles applicable to the Company; 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line="177" w:lineRule="exact"/>
              <w:rPr>
                <w:sz w:val="20"/>
                <w:szCs w:val="20"/>
                <w:color w:val="auto"/>
              </w:rPr>
            </w:pPr>
            <w:r>
              <w:rPr>
                <w:rFonts w:ascii="Arial" w:cs="Arial" w:eastAsia="Arial" w:hAnsi="Arial"/>
                <w:sz w:val="16"/>
                <w:szCs w:val="16"/>
                <w:color w:val="auto"/>
              </w:rPr>
              <w:t>the Nominating and</w:t>
            </w:r>
          </w:p>
        </w:tc>
        <w:tc>
          <w:tcPr>
            <w:tcW w:w="2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vMerge w:val="continue"/>
          </w:tcPr>
          <w:p>
            <w:pPr>
              <w:spacing w:after="0"/>
              <w:rPr>
                <w:sz w:val="15"/>
                <w:szCs w:val="15"/>
                <w:color w:val="auto"/>
              </w:rPr>
            </w:pPr>
          </w:p>
        </w:tc>
        <w:tc>
          <w:tcPr>
            <w:tcW w:w="5920" w:type="dxa"/>
            <w:vAlign w:val="bottom"/>
            <w:vMerge w:val="restart"/>
          </w:tcPr>
          <w:p>
            <w:pPr>
              <w:ind w:left="60"/>
              <w:spacing w:after="0"/>
              <w:rPr>
                <w:sz w:val="20"/>
                <w:szCs w:val="20"/>
                <w:color w:val="auto"/>
              </w:rPr>
            </w:pPr>
            <w:r>
              <w:rPr>
                <w:rFonts w:ascii="Arial" w:cs="Arial" w:eastAsia="Arial" w:hAnsi="Arial"/>
                <w:sz w:val="16"/>
                <w:szCs w:val="16"/>
                <w:color w:val="2A3D6C"/>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740" w:type="dxa"/>
            <w:vAlign w:val="bottom"/>
            <w:vMerge w:val="restart"/>
          </w:tcPr>
          <w:p>
            <w:pPr>
              <w:spacing w:after="0"/>
              <w:rPr>
                <w:sz w:val="20"/>
                <w:szCs w:val="20"/>
                <w:color w:val="auto"/>
              </w:rPr>
            </w:pPr>
            <w:r>
              <w:rPr>
                <w:rFonts w:ascii="Arial" w:cs="Arial" w:eastAsia="Arial" w:hAnsi="Arial"/>
                <w:sz w:val="16"/>
                <w:szCs w:val="16"/>
                <w:color w:val="auto"/>
              </w:rPr>
              <w:t>Corporate Governance</w:t>
            </w:r>
          </w:p>
        </w:tc>
        <w:tc>
          <w:tcPr>
            <w:tcW w:w="260" w:type="dxa"/>
            <w:vAlign w:val="bottom"/>
          </w:tcPr>
          <w:p>
            <w:pPr>
              <w:spacing w:after="0"/>
              <w:rPr>
                <w:sz w:val="12"/>
                <w:szCs w:val="12"/>
                <w:color w:val="auto"/>
              </w:rPr>
            </w:pPr>
          </w:p>
        </w:tc>
        <w:tc>
          <w:tcPr>
            <w:tcW w:w="140" w:type="dxa"/>
            <w:vAlign w:val="bottom"/>
            <w:vMerge w:val="restart"/>
          </w:tcPr>
          <w:p>
            <w:pPr>
              <w:ind w:left="40"/>
              <w:spacing w:after="0"/>
              <w:rPr>
                <w:sz w:val="20"/>
                <w:szCs w:val="20"/>
                <w:color w:val="auto"/>
              </w:rPr>
            </w:pPr>
            <w:r>
              <w:rPr>
                <w:rFonts w:ascii="Arial" w:cs="Arial" w:eastAsia="Arial" w:hAnsi="Arial"/>
                <w:sz w:val="11"/>
                <w:szCs w:val="11"/>
                <w:color w:val="auto"/>
                <w:w w:val="72"/>
              </w:rPr>
              <w:t> </w:t>
            </w:r>
          </w:p>
        </w:tc>
        <w:tc>
          <w:tcPr>
            <w:tcW w:w="5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5920" w:type="dxa"/>
            <w:vAlign w:val="bottom"/>
          </w:tcPr>
          <w:p>
            <w:pPr>
              <w:ind w:left="160"/>
              <w:spacing w:after="0" w:line="40" w:lineRule="exact"/>
              <w:rPr>
                <w:sz w:val="20"/>
                <w:szCs w:val="20"/>
                <w:color w:val="auto"/>
              </w:rPr>
            </w:pPr>
            <w:r>
              <w:rPr>
                <w:rFonts w:ascii="Arial" w:cs="Arial" w:eastAsia="Arial" w:hAnsi="Arial"/>
                <w:sz w:val="4"/>
                <w:szCs w:val="4"/>
                <w:color w:val="auto"/>
              </w:rPr>
              <w:t>   Oversee the evaluation of the Board.</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1740" w:type="dxa"/>
            <w:vAlign w:val="bottom"/>
          </w:tcPr>
          <w:p>
            <w:pPr>
              <w:spacing w:after="0"/>
              <w:rPr>
                <w:sz w:val="20"/>
                <w:szCs w:val="20"/>
                <w:color w:val="auto"/>
              </w:rPr>
            </w:pPr>
            <w:r>
              <w:rPr>
                <w:rFonts w:ascii="Arial" w:cs="Arial" w:eastAsia="Arial" w:hAnsi="Arial"/>
                <w:sz w:val="16"/>
                <w:szCs w:val="16"/>
                <w:color w:val="auto"/>
              </w:rPr>
              <w:t>Committee were</w:t>
            </w:r>
          </w:p>
        </w:tc>
        <w:tc>
          <w:tcPr>
            <w:tcW w:w="26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5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40" w:type="dxa"/>
            <w:vAlign w:val="bottom"/>
          </w:tcPr>
          <w:p>
            <w:pPr>
              <w:spacing w:after="0"/>
              <w:rPr>
                <w:sz w:val="20"/>
                <w:szCs w:val="20"/>
                <w:color w:val="auto"/>
              </w:rPr>
            </w:pPr>
            <w:r>
              <w:rPr>
                <w:rFonts w:ascii="Arial" w:cs="Arial" w:eastAsia="Arial" w:hAnsi="Arial"/>
                <w:sz w:val="16"/>
                <w:szCs w:val="16"/>
                <w:color w:val="auto"/>
              </w:rPr>
              <w:t>attended to by the full</w:t>
            </w:r>
          </w:p>
        </w:tc>
        <w:tc>
          <w:tcPr>
            <w:tcW w:w="260" w:type="dxa"/>
            <w:vAlign w:val="bottom"/>
          </w:tcPr>
          <w:p>
            <w:pPr>
              <w:spacing w:after="0"/>
              <w:rPr>
                <w:sz w:val="16"/>
                <w:szCs w:val="16"/>
                <w:color w:val="auto"/>
              </w:rPr>
            </w:pPr>
          </w:p>
        </w:tc>
        <w:tc>
          <w:tcPr>
            <w:tcW w:w="6060" w:type="dxa"/>
            <w:vAlign w:val="bottom"/>
            <w:gridSpan w:val="2"/>
          </w:tcPr>
          <w:p>
            <w:pPr>
              <w:ind w:left="40"/>
              <w:spacing w:after="0"/>
              <w:rPr>
                <w:sz w:val="20"/>
                <w:szCs w:val="20"/>
                <w:color w:val="auto"/>
              </w:rPr>
            </w:pPr>
            <w:r>
              <w:rPr>
                <w:rFonts w:ascii="Arial" w:cs="Arial" w:eastAsia="Arial" w:hAnsi="Arial"/>
                <w:sz w:val="16"/>
                <w:szCs w:val="16"/>
                <w:b w:val="1"/>
                <w:bCs w:val="1"/>
                <w:color w:val="2A3D6C"/>
              </w:rPr>
              <w:t>The Nominating and Corporate Governance Committee Charter: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40" w:type="dxa"/>
            <w:vAlign w:val="bottom"/>
          </w:tcPr>
          <w:p>
            <w:pPr>
              <w:spacing w:after="0"/>
              <w:rPr>
                <w:sz w:val="20"/>
                <w:szCs w:val="20"/>
                <w:color w:val="auto"/>
              </w:rPr>
            </w:pPr>
            <w:r>
              <w:rPr>
                <w:rFonts w:ascii="Arial" w:cs="Arial" w:eastAsia="Arial" w:hAnsi="Arial"/>
                <w:sz w:val="16"/>
                <w:szCs w:val="16"/>
                <w:color w:val="auto"/>
              </w:rPr>
              <w:t>Board.</w:t>
            </w:r>
          </w:p>
        </w:tc>
        <w:tc>
          <w:tcPr>
            <w:tcW w:w="26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5920" w:type="dxa"/>
            <w:vAlign w:val="bottom"/>
            <w:vMerge w:val="restart"/>
          </w:tcPr>
          <w:p>
            <w:pPr>
              <w:ind w:left="6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Was approved by the Board on May 9, 2011 and is reviewed periodically;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5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tcPr>
          <w:p>
            <w:pPr>
              <w:ind w:left="320"/>
              <w:spacing w:after="0"/>
              <w:rPr>
                <w:sz w:val="20"/>
                <w:szCs w:val="20"/>
                <w:color w:val="auto"/>
              </w:rPr>
            </w:pPr>
            <w:r>
              <w:rPr>
                <w:rFonts w:ascii="Arial" w:cs="Arial" w:eastAsia="Arial" w:hAnsi="Arial"/>
                <w:sz w:val="16"/>
                <w:szCs w:val="16"/>
                <w:color w:val="auto"/>
              </w:rPr>
              <w:t>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540"/>
        <w:spacing w:after="0" w:line="227" w:lineRule="auto"/>
        <w:rPr>
          <w:sz w:val="20"/>
          <w:szCs w:val="20"/>
          <w:color w:val="auto"/>
        </w:rPr>
      </w:pPr>
      <w:r>
        <w:rPr>
          <w:rFonts w:ascii="Arial" w:cs="Arial" w:eastAsia="Arial" w:hAnsi="Arial"/>
          <w:sz w:val="16"/>
          <w:szCs w:val="16"/>
          <w:color w:val="auto"/>
        </w:rPr>
        <w:t> </w:t>
      </w:r>
    </w:p>
    <w:p>
      <w:pPr>
        <w:ind w:left="2960" w:right="499" w:hanging="424"/>
        <w:spacing w:after="0" w:line="253" w:lineRule="auto"/>
        <w:tabs>
          <w:tab w:leader="none" w:pos="2702" w:val="left"/>
        </w:tabs>
        <w:numPr>
          <w:ilvl w:val="0"/>
          <w:numId w:val="33"/>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Is available under the Corporate Governance link on the Investors’ page of our</w:t>
      </w:r>
      <w:r>
        <w:rPr>
          <w:rFonts w:ascii="Arial" w:cs="Arial" w:eastAsia="Arial" w:hAnsi="Arial"/>
          <w:sz w:val="16"/>
          <w:szCs w:val="16"/>
          <w:color w:val="2A3D6C"/>
        </w:rPr>
        <w:t xml:space="preserve"> </w:t>
      </w:r>
      <w:r>
        <w:rPr>
          <w:rFonts w:ascii="Arial" w:cs="Arial" w:eastAsia="Arial" w:hAnsi="Arial"/>
          <w:sz w:val="16"/>
          <w:szCs w:val="16"/>
          <w:color w:val="000000"/>
        </w:rPr>
        <w:t>website at www.kosmosenergy.com. The information on our</w:t>
      </w:r>
    </w:p>
    <w:p>
      <w:pPr>
        <w:ind w:left="2960"/>
        <w:spacing w:after="0"/>
        <w:rPr>
          <w:rFonts w:ascii="Arial" w:cs="Arial" w:eastAsia="Arial" w:hAnsi="Arial"/>
          <w:sz w:val="16"/>
          <w:szCs w:val="16"/>
          <w:color w:val="auto"/>
        </w:rPr>
      </w:pPr>
      <w:r>
        <w:rPr>
          <w:rFonts w:ascii="Arial" w:cs="Arial" w:eastAsia="Arial" w:hAnsi="Arial"/>
          <w:sz w:val="16"/>
          <w:szCs w:val="16"/>
          <w:color w:val="auto"/>
        </w:rPr>
        <w:t>website is not incorporated by reference into this Proxy Statement.</w:t>
      </w:r>
    </w:p>
    <w:p>
      <w:pPr>
        <w:sectPr>
          <w:pgSz w:w="11900" w:h="16838" w:orient="portrait"/>
          <w:cols w:equalWidth="0" w:num="1">
            <w:col w:w="9019"/>
          </w:cols>
          <w:pgMar w:left="1440" w:top="262" w:right="1440" w:bottom="1440" w:gutter="0" w:footer="0" w:header="0"/>
          <w:type w:val="continuous"/>
        </w:sectPr>
      </w:pP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16</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80"/>
        </w:trPr>
        <w:tc>
          <w:tcPr>
            <w:tcW w:w="920" w:type="dxa"/>
            <w:vAlign w:val="bottom"/>
            <w:vMerge w:val="continue"/>
          </w:tcPr>
          <w:p>
            <w:pPr>
              <w:spacing w:after="0"/>
              <w:rPr>
                <w:sz w:val="24"/>
                <w:szCs w:val="24"/>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21" w:name="page22"/>
    <w:bookmarkEnd w:id="21"/>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5320"/>
        <w:spacing w:after="0"/>
        <w:rPr>
          <w:sz w:val="20"/>
          <w:szCs w:val="20"/>
          <w:color w:val="auto"/>
        </w:rPr>
      </w:pPr>
      <w:r>
        <w:rPr>
          <w:rFonts w:ascii="Arial" w:cs="Arial" w:eastAsia="Arial" w:hAnsi="Arial"/>
          <w:sz w:val="17"/>
          <w:szCs w:val="17"/>
          <w:b w:val="1"/>
          <w:bCs w:val="1"/>
          <w:color w:val="2A3D6C"/>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57785</wp:posOffset>
            </wp:positionV>
            <wp:extent cx="53054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Health, Safety, Environment and Sustainability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5305425" cy="72015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05425" cy="720153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08"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1940" w:type="dxa"/>
            <w:vAlign w:val="bottom"/>
          </w:tcPr>
          <w:p>
            <w:pPr>
              <w:spacing w:after="0"/>
              <w:rPr>
                <w:sz w:val="20"/>
                <w:szCs w:val="20"/>
                <w:color w:val="auto"/>
              </w:rPr>
            </w:pPr>
            <w:r>
              <w:rPr>
                <w:rFonts w:ascii="Arial" w:cs="Arial" w:eastAsia="Arial" w:hAnsi="Arial"/>
                <w:sz w:val="21"/>
                <w:szCs w:val="21"/>
                <w:b w:val="1"/>
                <w:bCs w:val="1"/>
                <w:color w:val="FFFFFF"/>
              </w:rPr>
              <w:t>Health, Safety,</w:t>
            </w:r>
          </w:p>
        </w:tc>
        <w:tc>
          <w:tcPr>
            <w:tcW w:w="57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2A3D6C"/>
              </w:rPr>
              <w:t>Membership:</w:t>
            </w:r>
          </w:p>
        </w:tc>
        <w:tc>
          <w:tcPr>
            <w:tcW w:w="0" w:type="dxa"/>
            <w:vAlign w:val="bottom"/>
          </w:tcPr>
          <w:p>
            <w:pPr>
              <w:spacing w:after="0"/>
              <w:rPr>
                <w:sz w:val="1"/>
                <w:szCs w:val="1"/>
                <w:color w:val="auto"/>
              </w:rPr>
            </w:pPr>
          </w:p>
        </w:tc>
      </w:tr>
      <w:tr>
        <w:trPr>
          <w:trHeight w:val="216"/>
        </w:trPr>
        <w:tc>
          <w:tcPr>
            <w:tcW w:w="1940" w:type="dxa"/>
            <w:vAlign w:val="bottom"/>
          </w:tcPr>
          <w:p>
            <w:pPr>
              <w:spacing w:after="0" w:line="216" w:lineRule="exact"/>
              <w:rPr>
                <w:sz w:val="20"/>
                <w:szCs w:val="20"/>
                <w:color w:val="auto"/>
              </w:rPr>
            </w:pPr>
            <w:r>
              <w:rPr>
                <w:rFonts w:ascii="Arial" w:cs="Arial" w:eastAsia="Arial" w:hAnsi="Arial"/>
                <w:sz w:val="21"/>
                <w:szCs w:val="21"/>
                <w:b w:val="1"/>
                <w:bCs w:val="1"/>
                <w:color w:val="FFFFFF"/>
              </w:rPr>
              <w:t xml:space="preserve">Environment and </w:t>
            </w:r>
            <w:r>
              <w:rPr>
                <w:rFonts w:ascii="Times New Roman" w:cs="Times New Roman" w:eastAsia="Times New Roman" w:hAnsi="Times New Roman"/>
                <w:sz w:val="7"/>
                <w:szCs w:val="7"/>
                <w:color w:val="000000"/>
                <w:vertAlign w:val="subscript"/>
              </w:rPr>
              <w:t>​</w:t>
            </w:r>
          </w:p>
        </w:tc>
        <w:tc>
          <w:tcPr>
            <w:tcW w:w="57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1940" w:type="dxa"/>
            <w:vAlign w:val="bottom"/>
            <w:vMerge w:val="restart"/>
          </w:tcPr>
          <w:p>
            <w:pPr>
              <w:spacing w:after="0"/>
              <w:rPr>
                <w:sz w:val="20"/>
                <w:szCs w:val="20"/>
                <w:color w:val="auto"/>
              </w:rPr>
            </w:pPr>
            <w:r>
              <w:rPr>
                <w:rFonts w:ascii="Arial" w:cs="Arial" w:eastAsia="Arial" w:hAnsi="Arial"/>
                <w:sz w:val="21"/>
                <w:szCs w:val="21"/>
                <w:b w:val="1"/>
                <w:bCs w:val="1"/>
                <w:color w:val="FFFFFF"/>
              </w:rPr>
              <w:t>Sustainability</w:t>
            </w:r>
          </w:p>
        </w:tc>
        <w:tc>
          <w:tcPr>
            <w:tcW w:w="240" w:type="dxa"/>
            <w:vAlign w:val="bottom"/>
          </w:tcPr>
          <w:p>
            <w:pPr>
              <w:ind w:left="100"/>
              <w:spacing w:after="0" w:line="147" w:lineRule="exact"/>
              <w:rPr>
                <w:sz w:val="20"/>
                <w:szCs w:val="20"/>
                <w:color w:val="auto"/>
              </w:rPr>
            </w:pPr>
            <w:r>
              <w:rPr>
                <w:rFonts w:ascii="Arial" w:cs="Arial" w:eastAsia="Arial" w:hAnsi="Arial"/>
                <w:sz w:val="16"/>
                <w:szCs w:val="16"/>
                <w:color w:val="auto"/>
                <w:w w:val="74"/>
              </w:rPr>
              <w:t> </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2A3D6C"/>
                <w:w w:val="98"/>
              </w:rPr>
              <w:t>■</w:t>
            </w:r>
            <w:r>
              <w:rPr>
                <w:rFonts w:ascii="Arial" w:cs="Arial" w:eastAsia="Arial" w:hAnsi="Arial"/>
                <w:sz w:val="16"/>
                <w:szCs w:val="16"/>
                <w:color w:val="000000"/>
                <w:w w:val="98"/>
              </w:rPr>
              <w:t xml:space="preserve"> </w:t>
            </w:r>
          </w:p>
        </w:tc>
        <w:tc>
          <w:tcPr>
            <w:tcW w:w="5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40" w:type="dxa"/>
            <w:vAlign w:val="bottom"/>
            <w:vMerge w:val="continue"/>
          </w:tcPr>
          <w:p>
            <w:pPr>
              <w:spacing w:after="0"/>
              <w:rPr>
                <w:sz w:val="14"/>
                <w:szCs w:val="14"/>
                <w:color w:val="auto"/>
              </w:rPr>
            </w:pPr>
          </w:p>
        </w:tc>
        <w:tc>
          <w:tcPr>
            <w:tcW w:w="240" w:type="dxa"/>
            <w:vAlign w:val="bottom"/>
          </w:tcPr>
          <w:p>
            <w:pPr>
              <w:ind w:left="100"/>
              <w:spacing w:after="0" w:line="161" w:lineRule="exact"/>
              <w:rPr>
                <w:sz w:val="20"/>
                <w:szCs w:val="20"/>
                <w:color w:val="auto"/>
              </w:rPr>
            </w:pPr>
            <w:r>
              <w:rPr>
                <w:rFonts w:ascii="Arial" w:cs="Arial" w:eastAsia="Arial" w:hAnsi="Arial"/>
                <w:sz w:val="16"/>
                <w:szCs w:val="16"/>
                <w:color w:val="auto"/>
                <w:w w:val="74"/>
              </w:rPr>
              <w:t> </w:t>
            </w:r>
          </w:p>
        </w:tc>
        <w:tc>
          <w:tcPr>
            <w:tcW w:w="200" w:type="dxa"/>
            <w:vAlign w:val="bottom"/>
            <w:vMerge w:val="continue"/>
          </w:tcPr>
          <w:p>
            <w:pPr>
              <w:spacing w:after="0"/>
              <w:rPr>
                <w:sz w:val="14"/>
                <w:szCs w:val="14"/>
                <w:color w:val="auto"/>
              </w:rPr>
            </w:pPr>
          </w:p>
        </w:tc>
        <w:tc>
          <w:tcPr>
            <w:tcW w:w="5280" w:type="dxa"/>
            <w:vAlign w:val="bottom"/>
          </w:tcPr>
          <w:p>
            <w:pPr>
              <w:ind w:left="80"/>
              <w:spacing w:after="0" w:line="161" w:lineRule="exact"/>
              <w:rPr>
                <w:sz w:val="20"/>
                <w:szCs w:val="20"/>
                <w:color w:val="auto"/>
              </w:rPr>
            </w:pPr>
            <w:r>
              <w:rPr>
                <w:rFonts w:ascii="Arial" w:cs="Arial" w:eastAsia="Arial" w:hAnsi="Arial"/>
                <w:sz w:val="16"/>
                <w:szCs w:val="16"/>
                <w:color w:val="auto"/>
                <w:w w:val="99"/>
              </w:rPr>
              <w:t>Our Board has determined that all members are independent directors as</w:t>
            </w:r>
          </w:p>
        </w:tc>
        <w:tc>
          <w:tcPr>
            <w:tcW w:w="0" w:type="dxa"/>
            <w:vAlign w:val="bottom"/>
          </w:tcPr>
          <w:p>
            <w:pPr>
              <w:spacing w:after="0"/>
              <w:rPr>
                <w:sz w:val="1"/>
                <w:szCs w:val="1"/>
                <w:color w:val="auto"/>
              </w:rPr>
            </w:pPr>
          </w:p>
        </w:tc>
      </w:tr>
      <w:tr>
        <w:trPr>
          <w:trHeight w:val="296"/>
        </w:trPr>
        <w:tc>
          <w:tcPr>
            <w:tcW w:w="1940" w:type="dxa"/>
            <w:vAlign w:val="bottom"/>
          </w:tcPr>
          <w:p>
            <w:pPr>
              <w:spacing w:after="0"/>
              <w:rPr>
                <w:sz w:val="20"/>
                <w:szCs w:val="20"/>
                <w:color w:val="auto"/>
              </w:rPr>
            </w:pPr>
            <w:r>
              <w:rPr>
                <w:rFonts w:ascii="Arial" w:cs="Arial" w:eastAsia="Arial" w:hAnsi="Arial"/>
                <w:sz w:val="21"/>
                <w:szCs w:val="21"/>
                <w:b w:val="1"/>
                <w:bCs w:val="1"/>
                <w:color w:val="FFFFFF"/>
              </w:rPr>
              <w:t>Committee</w:t>
            </w: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w w:val="74"/>
              </w:rPr>
              <w:t> </w:t>
            </w:r>
          </w:p>
        </w:tc>
        <w:tc>
          <w:tcPr>
            <w:tcW w:w="200" w:type="dxa"/>
            <w:vAlign w:val="bottom"/>
          </w:tcPr>
          <w:p>
            <w:pPr>
              <w:spacing w:after="0"/>
              <w:rPr>
                <w:sz w:val="24"/>
                <w:szCs w:val="24"/>
                <w:color w:val="auto"/>
              </w:rPr>
            </w:pPr>
          </w:p>
        </w:tc>
        <w:tc>
          <w:tcPr>
            <w:tcW w:w="5280" w:type="dxa"/>
            <w:vAlign w:val="bottom"/>
          </w:tcPr>
          <w:p>
            <w:pPr>
              <w:ind w:left="80"/>
              <w:spacing w:after="0"/>
              <w:rPr>
                <w:sz w:val="20"/>
                <w:szCs w:val="20"/>
                <w:color w:val="auto"/>
              </w:rPr>
            </w:pPr>
            <w:r>
              <w:rPr>
                <w:rFonts w:ascii="Arial" w:cs="Arial" w:eastAsia="Arial" w:hAnsi="Arial"/>
                <w:sz w:val="16"/>
                <w:szCs w:val="16"/>
                <w:color w:val="auto"/>
              </w:rPr>
              <w:t>defined by the NYSE rules and Rule 10A-3 of the Exchange Act.</w:t>
            </w:r>
          </w:p>
        </w:tc>
        <w:tc>
          <w:tcPr>
            <w:tcW w:w="0" w:type="dxa"/>
            <w:vAlign w:val="bottom"/>
          </w:tcPr>
          <w:p>
            <w:pPr>
              <w:spacing w:after="0"/>
              <w:rPr>
                <w:sz w:val="1"/>
                <w:szCs w:val="1"/>
                <w:color w:val="auto"/>
              </w:rPr>
            </w:pPr>
          </w:p>
        </w:tc>
      </w:tr>
      <w:tr>
        <w:trPr>
          <w:trHeight w:val="105"/>
        </w:trPr>
        <w:tc>
          <w:tcPr>
            <w:tcW w:w="19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5720" w:type="dxa"/>
            <w:vAlign w:val="bottom"/>
            <w:gridSpan w:val="3"/>
          </w:tcPr>
          <w:p>
            <w:pPr>
              <w:ind w:left="100"/>
              <w:spacing w:after="0"/>
              <w:rPr>
                <w:sz w:val="20"/>
                <w:szCs w:val="20"/>
                <w:color w:val="auto"/>
              </w:rPr>
            </w:pPr>
            <w:r>
              <w:rPr>
                <w:rFonts w:ascii="Arial" w:cs="Arial" w:eastAsia="Arial" w:hAnsi="Arial"/>
                <w:sz w:val="16"/>
                <w:szCs w:val="16"/>
                <w:b w:val="1"/>
                <w:bCs w:val="1"/>
                <w:color w:val="2A3D6C"/>
              </w:rPr>
              <w:t>Primary Responsibilities:</w:t>
            </w:r>
          </w:p>
        </w:tc>
        <w:tc>
          <w:tcPr>
            <w:tcW w:w="0" w:type="dxa"/>
            <w:vAlign w:val="bottom"/>
          </w:tcPr>
          <w:p>
            <w:pPr>
              <w:spacing w:after="0"/>
              <w:rPr>
                <w:sz w:val="1"/>
                <w:szCs w:val="1"/>
                <w:color w:val="auto"/>
              </w:rPr>
            </w:pPr>
          </w:p>
        </w:tc>
      </w:tr>
      <w:tr>
        <w:trPr>
          <w:trHeight w:val="187"/>
        </w:trPr>
        <w:tc>
          <w:tcPr>
            <w:tcW w:w="1940" w:type="dxa"/>
            <w:vAlign w:val="bottom"/>
            <w:vMerge w:val="restart"/>
          </w:tcPr>
          <w:p>
            <w:pPr>
              <w:spacing w:after="0"/>
              <w:rPr>
                <w:sz w:val="20"/>
                <w:szCs w:val="20"/>
                <w:color w:val="auto"/>
              </w:rPr>
            </w:pPr>
            <w:r>
              <w:rPr>
                <w:rFonts w:ascii="Arial" w:cs="Arial" w:eastAsia="Arial" w:hAnsi="Arial"/>
                <w:sz w:val="16"/>
                <w:szCs w:val="16"/>
                <w:b w:val="1"/>
                <w:bCs w:val="1"/>
                <w:color w:val="2A3D6C"/>
              </w:rPr>
              <w:t>Members:</w:t>
            </w:r>
          </w:p>
        </w:tc>
        <w:tc>
          <w:tcPr>
            <w:tcW w:w="240" w:type="dxa"/>
            <w:vAlign w:val="bottom"/>
          </w:tcPr>
          <w:p>
            <w:pPr>
              <w:ind w:left="100"/>
              <w:spacing w:after="0"/>
              <w:rPr>
                <w:sz w:val="20"/>
                <w:szCs w:val="20"/>
                <w:color w:val="auto"/>
              </w:rPr>
            </w:pPr>
            <w:r>
              <w:rPr>
                <w:rFonts w:ascii="Arial" w:cs="Arial" w:eastAsia="Arial" w:hAnsi="Arial"/>
                <w:sz w:val="16"/>
                <w:szCs w:val="16"/>
                <w:color w:val="auto"/>
                <w:w w:val="74"/>
              </w:rPr>
              <w:t> </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2A3D6C"/>
                <w:w w:val="98"/>
              </w:rPr>
              <w:t>■</w:t>
            </w:r>
            <w:r>
              <w:rPr>
                <w:rFonts w:ascii="Arial" w:cs="Arial" w:eastAsia="Arial" w:hAnsi="Arial"/>
                <w:sz w:val="16"/>
                <w:szCs w:val="16"/>
                <w:color w:val="000000"/>
                <w:w w:val="98"/>
              </w:rPr>
              <w:t xml:space="preserve"> </w:t>
            </w:r>
          </w:p>
        </w:tc>
        <w:tc>
          <w:tcPr>
            <w:tcW w:w="5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1940" w:type="dxa"/>
            <w:vAlign w:val="bottom"/>
            <w:vMerge w:val="continue"/>
          </w:tcPr>
          <w:p>
            <w:pPr>
              <w:spacing w:after="0"/>
              <w:rPr>
                <w:sz w:val="5"/>
                <w:szCs w:val="5"/>
                <w:color w:val="auto"/>
              </w:rPr>
            </w:pP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w w:val="74"/>
              </w:rPr>
              <w:t> </w:t>
            </w:r>
          </w:p>
        </w:tc>
        <w:tc>
          <w:tcPr>
            <w:tcW w:w="200" w:type="dxa"/>
            <w:vAlign w:val="bottom"/>
            <w:vMerge w:val="continue"/>
          </w:tcPr>
          <w:p>
            <w:pPr>
              <w:spacing w:after="0"/>
              <w:rPr>
                <w:sz w:val="5"/>
                <w:szCs w:val="5"/>
                <w:color w:val="auto"/>
              </w:rPr>
            </w:pPr>
          </w:p>
        </w:tc>
        <w:tc>
          <w:tcPr>
            <w:tcW w:w="5280" w:type="dxa"/>
            <w:vAlign w:val="bottom"/>
            <w:vMerge w:val="restart"/>
          </w:tcPr>
          <w:p>
            <w:pPr>
              <w:ind w:left="80"/>
              <w:spacing w:after="0"/>
              <w:rPr>
                <w:sz w:val="20"/>
                <w:szCs w:val="20"/>
                <w:color w:val="auto"/>
              </w:rPr>
            </w:pPr>
            <w:r>
              <w:rPr>
                <w:rFonts w:ascii="Arial" w:cs="Arial" w:eastAsia="Arial" w:hAnsi="Arial"/>
                <w:sz w:val="16"/>
                <w:szCs w:val="16"/>
                <w:color w:val="auto"/>
              </w:rPr>
              <w:t>Health, Safety and Environment:</w:t>
            </w:r>
          </w:p>
        </w:tc>
        <w:tc>
          <w:tcPr>
            <w:tcW w:w="0" w:type="dxa"/>
            <w:vAlign w:val="bottom"/>
          </w:tcPr>
          <w:p>
            <w:pPr>
              <w:spacing w:after="0"/>
              <w:rPr>
                <w:sz w:val="1"/>
                <w:szCs w:val="1"/>
                <w:color w:val="auto"/>
              </w:rPr>
            </w:pPr>
          </w:p>
        </w:tc>
      </w:tr>
      <w:tr>
        <w:trPr>
          <w:trHeight w:val="121"/>
        </w:trPr>
        <w:tc>
          <w:tcPr>
            <w:tcW w:w="1940" w:type="dxa"/>
            <w:vAlign w:val="bottom"/>
            <w:vMerge w:val="restart"/>
          </w:tcPr>
          <w:p>
            <w:pPr>
              <w:spacing w:after="0"/>
              <w:rPr>
                <w:sz w:val="20"/>
                <w:szCs w:val="20"/>
                <w:color w:val="auto"/>
              </w:rPr>
            </w:pPr>
            <w:r>
              <w:rPr>
                <w:rFonts w:ascii="Arial" w:cs="Arial" w:eastAsia="Arial" w:hAnsi="Arial"/>
                <w:sz w:val="16"/>
                <w:szCs w:val="16"/>
                <w:color w:val="auto"/>
              </w:rPr>
              <w:t>Deanna L. Goodwin,</w:t>
            </w:r>
          </w:p>
        </w:tc>
        <w:tc>
          <w:tcPr>
            <w:tcW w:w="24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5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940" w:type="dxa"/>
            <w:vAlign w:val="bottom"/>
            <w:vMerge w:val="continue"/>
          </w:tcPr>
          <w:p>
            <w:pPr>
              <w:spacing w:after="0"/>
              <w:rPr>
                <w:sz w:val="5"/>
                <w:szCs w:val="5"/>
                <w:color w:val="auto"/>
              </w:rPr>
            </w:pP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w w:val="74"/>
              </w:rPr>
              <w:t> </w:t>
            </w:r>
          </w:p>
        </w:tc>
        <w:tc>
          <w:tcPr>
            <w:tcW w:w="200" w:type="dxa"/>
            <w:vAlign w:val="bottom"/>
          </w:tcPr>
          <w:p>
            <w:pPr>
              <w:spacing w:after="0"/>
              <w:rPr>
                <w:sz w:val="5"/>
                <w:szCs w:val="5"/>
                <w:color w:val="auto"/>
              </w:rPr>
            </w:pPr>
          </w:p>
        </w:tc>
        <w:tc>
          <w:tcPr>
            <w:tcW w:w="5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940" w:type="dxa"/>
            <w:vAlign w:val="bottom"/>
            <w:vMerge w:val="restart"/>
          </w:tcPr>
          <w:p>
            <w:pPr>
              <w:spacing w:after="0"/>
              <w:rPr>
                <w:sz w:val="20"/>
                <w:szCs w:val="20"/>
                <w:color w:val="auto"/>
              </w:rPr>
            </w:pPr>
            <w:r>
              <w:rPr>
                <w:rFonts w:ascii="Arial" w:cs="Arial" w:eastAsia="Arial" w:hAnsi="Arial"/>
                <w:sz w:val="16"/>
                <w:szCs w:val="16"/>
                <w:color w:val="auto"/>
              </w:rPr>
              <w:t>Chair</w:t>
            </w:r>
          </w:p>
        </w:tc>
        <w:tc>
          <w:tcPr>
            <w:tcW w:w="2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80" w:type="dxa"/>
            <w:vAlign w:val="bottom"/>
            <w:vMerge w:val="restart"/>
          </w:tcPr>
          <w:p>
            <w:pPr>
              <w:ind w:left="6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Oversee the establishment of targets and objectives for health, safety,</w:t>
            </w:r>
          </w:p>
        </w:tc>
        <w:tc>
          <w:tcPr>
            <w:tcW w:w="0" w:type="dxa"/>
            <w:vAlign w:val="bottom"/>
          </w:tcPr>
          <w:p>
            <w:pPr>
              <w:spacing w:after="0"/>
              <w:rPr>
                <w:sz w:val="1"/>
                <w:szCs w:val="1"/>
                <w:color w:val="auto"/>
              </w:rPr>
            </w:pPr>
          </w:p>
        </w:tc>
      </w:tr>
      <w:tr>
        <w:trPr>
          <w:trHeight w:val="67"/>
        </w:trPr>
        <w:tc>
          <w:tcPr>
            <w:tcW w:w="1940" w:type="dxa"/>
            <w:vAlign w:val="bottom"/>
            <w:vMerge w:val="continue"/>
          </w:tcPr>
          <w:p>
            <w:pPr>
              <w:spacing w:after="0"/>
              <w:rPr>
                <w:sz w:val="5"/>
                <w:szCs w:val="5"/>
                <w:color w:val="auto"/>
              </w:rPr>
            </w:pP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74"/>
              </w:rPr>
              <w:t> </w:t>
            </w:r>
          </w:p>
        </w:tc>
        <w:tc>
          <w:tcPr>
            <w:tcW w:w="5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940" w:type="dxa"/>
            <w:vAlign w:val="bottom"/>
            <w:vMerge w:val="restart"/>
          </w:tcPr>
          <w:p>
            <w:pPr>
              <w:spacing w:after="0"/>
              <w:rPr>
                <w:sz w:val="20"/>
                <w:szCs w:val="20"/>
                <w:color w:val="auto"/>
              </w:rPr>
            </w:pPr>
            <w:r>
              <w:rPr>
                <w:rFonts w:ascii="Arial" w:cs="Arial" w:eastAsia="Arial" w:hAnsi="Arial"/>
                <w:sz w:val="16"/>
                <w:szCs w:val="16"/>
                <w:color w:val="auto"/>
              </w:rPr>
              <w:t>Lisa A. Davis</w:t>
            </w:r>
          </w:p>
        </w:tc>
        <w:tc>
          <w:tcPr>
            <w:tcW w:w="24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5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80" w:type="dxa"/>
            <w:vAlign w:val="bottom"/>
            <w:vMerge w:val="restart"/>
          </w:tcPr>
          <w:p>
            <w:pPr>
              <w:ind w:left="320"/>
              <w:spacing w:after="0"/>
              <w:rPr>
                <w:sz w:val="20"/>
                <w:szCs w:val="20"/>
                <w:color w:val="auto"/>
              </w:rPr>
            </w:pPr>
            <w:r>
              <w:rPr>
                <w:rFonts w:ascii="Arial" w:cs="Arial" w:eastAsia="Arial" w:hAnsi="Arial"/>
                <w:sz w:val="16"/>
                <w:szCs w:val="16"/>
                <w:color w:val="auto"/>
              </w:rPr>
              <w:t>and environmental performance;</w:t>
            </w:r>
          </w:p>
        </w:tc>
        <w:tc>
          <w:tcPr>
            <w:tcW w:w="0" w:type="dxa"/>
            <w:vAlign w:val="bottom"/>
          </w:tcPr>
          <w:p>
            <w:pPr>
              <w:spacing w:after="0"/>
              <w:rPr>
                <w:sz w:val="1"/>
                <w:szCs w:val="1"/>
                <w:color w:val="auto"/>
              </w:rPr>
            </w:pPr>
          </w:p>
        </w:tc>
      </w:tr>
      <w:tr>
        <w:trPr>
          <w:trHeight w:val="146"/>
        </w:trPr>
        <w:tc>
          <w:tcPr>
            <w:tcW w:w="1940" w:type="dxa"/>
            <w:vAlign w:val="bottom"/>
            <w:vMerge w:val="restart"/>
          </w:tcPr>
          <w:p>
            <w:pPr>
              <w:spacing w:after="0"/>
              <w:rPr>
                <w:sz w:val="20"/>
                <w:szCs w:val="20"/>
                <w:color w:val="auto"/>
              </w:rPr>
            </w:pPr>
            <w:r>
              <w:rPr>
                <w:rFonts w:ascii="Arial" w:cs="Arial" w:eastAsia="Arial" w:hAnsi="Arial"/>
                <w:sz w:val="16"/>
                <w:szCs w:val="16"/>
                <w:color w:val="auto"/>
              </w:rPr>
              <w:t>Steven M. Sterin</w:t>
            </w: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w w:val="74"/>
              </w:rPr>
              <w:t> </w:t>
            </w:r>
          </w:p>
        </w:tc>
        <w:tc>
          <w:tcPr>
            <w:tcW w:w="200" w:type="dxa"/>
            <w:vAlign w:val="bottom"/>
          </w:tcPr>
          <w:p>
            <w:pPr>
              <w:spacing w:after="0"/>
              <w:rPr>
                <w:sz w:val="12"/>
                <w:szCs w:val="12"/>
                <w:color w:val="auto"/>
              </w:rPr>
            </w:pPr>
          </w:p>
        </w:tc>
        <w:tc>
          <w:tcPr>
            <w:tcW w:w="5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194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5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1940" w:type="dxa"/>
            <w:vAlign w:val="bottom"/>
            <w:vMerge w:val="restart"/>
          </w:tcPr>
          <w:p>
            <w:pPr>
              <w:spacing w:after="0"/>
              <w:rPr>
                <w:sz w:val="20"/>
                <w:szCs w:val="20"/>
                <w:color w:val="auto"/>
              </w:rPr>
            </w:pPr>
            <w:r>
              <w:rPr>
                <w:rFonts w:ascii="Arial" w:cs="Arial" w:eastAsia="Arial" w:hAnsi="Arial"/>
                <w:sz w:val="16"/>
                <w:szCs w:val="16"/>
                <w:color w:val="auto"/>
              </w:rPr>
              <w:t> </w:t>
            </w:r>
          </w:p>
        </w:tc>
        <w:tc>
          <w:tcPr>
            <w:tcW w:w="2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80" w:type="dxa"/>
            <w:vAlign w:val="bottom"/>
            <w:vMerge w:val="restart"/>
          </w:tcPr>
          <w:p>
            <w:pPr>
              <w:ind w:left="6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Monitor medium- and long-term performance versus targets and</w:t>
            </w:r>
          </w:p>
        </w:tc>
        <w:tc>
          <w:tcPr>
            <w:tcW w:w="0" w:type="dxa"/>
            <w:vAlign w:val="bottom"/>
          </w:tcPr>
          <w:p>
            <w:pPr>
              <w:spacing w:after="0"/>
              <w:rPr>
                <w:sz w:val="1"/>
                <w:szCs w:val="1"/>
                <w:color w:val="auto"/>
              </w:rPr>
            </w:pPr>
          </w:p>
        </w:tc>
      </w:tr>
      <w:tr>
        <w:trPr>
          <w:trHeight w:val="67"/>
        </w:trPr>
        <w:tc>
          <w:tcPr>
            <w:tcW w:w="1940" w:type="dxa"/>
            <w:vAlign w:val="bottom"/>
            <w:vMerge w:val="continue"/>
          </w:tcPr>
          <w:p>
            <w:pPr>
              <w:spacing w:after="0"/>
              <w:rPr>
                <w:sz w:val="5"/>
                <w:szCs w:val="5"/>
                <w:color w:val="auto"/>
              </w:rPr>
            </w:pP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74"/>
              </w:rPr>
              <w:t> </w:t>
            </w:r>
          </w:p>
        </w:tc>
        <w:tc>
          <w:tcPr>
            <w:tcW w:w="5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940" w:type="dxa"/>
            <w:vAlign w:val="bottom"/>
            <w:vMerge w:val="restart"/>
          </w:tcPr>
          <w:p>
            <w:pPr>
              <w:spacing w:after="0"/>
              <w:rPr>
                <w:sz w:val="20"/>
                <w:szCs w:val="20"/>
                <w:color w:val="auto"/>
              </w:rPr>
            </w:pPr>
            <w:r>
              <w:rPr>
                <w:rFonts w:ascii="Arial" w:cs="Arial" w:eastAsia="Arial" w:hAnsi="Arial"/>
                <w:sz w:val="16"/>
                <w:szCs w:val="16"/>
                <w:color w:val="auto"/>
              </w:rPr>
              <w:t>Meetings in 2021: 4</w:t>
            </w:r>
          </w:p>
        </w:tc>
        <w:tc>
          <w:tcPr>
            <w:tcW w:w="24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5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9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80" w:type="dxa"/>
            <w:vAlign w:val="bottom"/>
            <w:vMerge w:val="restart"/>
          </w:tcPr>
          <w:p>
            <w:pPr>
              <w:ind w:left="320"/>
              <w:spacing w:after="0"/>
              <w:rPr>
                <w:sz w:val="20"/>
                <w:szCs w:val="20"/>
                <w:color w:val="auto"/>
              </w:rPr>
            </w:pPr>
            <w:r>
              <w:rPr>
                <w:rFonts w:ascii="Arial" w:cs="Arial" w:eastAsia="Arial" w:hAnsi="Arial"/>
                <w:sz w:val="16"/>
                <w:szCs w:val="16"/>
                <w:color w:val="auto"/>
              </w:rPr>
              <w:t>objectives;</w:t>
            </w:r>
          </w:p>
        </w:tc>
        <w:tc>
          <w:tcPr>
            <w:tcW w:w="0" w:type="dxa"/>
            <w:vAlign w:val="bottom"/>
          </w:tcPr>
          <w:p>
            <w:pPr>
              <w:spacing w:after="0"/>
              <w:rPr>
                <w:sz w:val="1"/>
                <w:szCs w:val="1"/>
                <w:color w:val="auto"/>
              </w:rPr>
            </w:pPr>
          </w:p>
        </w:tc>
      </w:tr>
      <w:tr>
        <w:trPr>
          <w:trHeight w:val="111"/>
        </w:trPr>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2540"/>
        <w:spacing w:after="0" w:line="227" w:lineRule="auto"/>
        <w:rPr>
          <w:sz w:val="20"/>
          <w:szCs w:val="20"/>
          <w:color w:val="auto"/>
        </w:rPr>
      </w:pPr>
      <w:r>
        <w:rPr>
          <w:rFonts w:ascii="Arial" w:cs="Arial" w:eastAsia="Arial" w:hAnsi="Arial"/>
          <w:sz w:val="16"/>
          <w:szCs w:val="16"/>
          <w:color w:val="auto"/>
        </w:rPr>
        <w:t> </w:t>
      </w:r>
    </w:p>
    <w:p>
      <w:pPr>
        <w:ind w:left="3200" w:right="1119" w:hanging="664"/>
        <w:spacing w:after="0" w:line="253" w:lineRule="auto"/>
        <w:tabs>
          <w:tab w:leader="none" w:pos="2621"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color w:val="2A3D6C"/>
        </w:rPr>
        <w:t>■</w:t>
      </w:r>
      <w:r>
        <w:rPr>
          <w:rFonts w:ascii="Arial" w:cs="Arial" w:eastAsia="Arial" w:hAnsi="Arial"/>
          <w:sz w:val="16"/>
          <w:szCs w:val="16"/>
          <w:color w:val="auto"/>
        </w:rPr>
        <w:t xml:space="preserve">  Review health, safety, security, and environmental policies at least every three years or additionally as needed;</w:t>
      </w:r>
    </w:p>
    <w:p>
      <w:pPr>
        <w:ind w:left="2540"/>
        <w:spacing w:after="0" w:line="227" w:lineRule="auto"/>
        <w:rPr>
          <w:sz w:val="20"/>
          <w:szCs w:val="20"/>
          <w:color w:val="auto"/>
        </w:rPr>
      </w:pPr>
      <w:r>
        <w:rPr>
          <w:rFonts w:ascii="Arial" w:cs="Arial" w:eastAsia="Arial" w:hAnsi="Arial"/>
          <w:sz w:val="16"/>
          <w:szCs w:val="16"/>
          <w:color w:val="auto"/>
        </w:rPr>
        <w:t> </w:t>
      </w:r>
    </w:p>
    <w:p>
      <w:pPr>
        <w:jc w:val="right"/>
        <w:ind w:left="2540" w:right="879"/>
        <w:spacing w:after="0" w:line="253"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2A3D6C"/>
        </w:rPr>
        <w:t>■</w:t>
      </w:r>
      <w:r>
        <w:rPr>
          <w:rFonts w:ascii="Arial" w:cs="Arial" w:eastAsia="Arial" w:hAnsi="Arial"/>
          <w:sz w:val="16"/>
          <w:szCs w:val="16"/>
          <w:color w:val="auto"/>
        </w:rPr>
        <w:t xml:space="preserve">   Monitor the regular public reporting of progress against stated Health, Safety, Environment and Sustainability (HSES) targets and initiatives;</w:t>
      </w:r>
    </w:p>
    <w:p>
      <w:pPr>
        <w:ind w:left="2540"/>
        <w:spacing w:after="0" w:line="227" w:lineRule="auto"/>
        <w:rPr>
          <w:sz w:val="20"/>
          <w:szCs w:val="20"/>
          <w:color w:val="auto"/>
        </w:rPr>
      </w:pPr>
      <w:r>
        <w:rPr>
          <w:rFonts w:ascii="Arial" w:cs="Arial" w:eastAsia="Arial" w:hAnsi="Arial"/>
          <w:sz w:val="16"/>
          <w:szCs w:val="16"/>
          <w:color w:val="auto"/>
        </w:rPr>
        <w:t> </w:t>
      </w:r>
    </w:p>
    <w:p>
      <w:pPr>
        <w:ind w:left="25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2A3D6C"/>
        </w:rPr>
        <w:t>■</w:t>
      </w:r>
      <w:r>
        <w:rPr>
          <w:rFonts w:ascii="Arial" w:cs="Arial" w:eastAsia="Arial" w:hAnsi="Arial"/>
          <w:sz w:val="16"/>
          <w:szCs w:val="16"/>
          <w:color w:val="auto"/>
        </w:rPr>
        <w:t xml:space="preserve">   Review the effectiveness of emergency and incident response plans;</w:t>
      </w:r>
    </w:p>
    <w:p>
      <w:pPr>
        <w:spacing w:after="0" w:line="7"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 </w:t>
      </w:r>
    </w:p>
    <w:p>
      <w:pPr>
        <w:ind w:left="3200" w:right="959" w:hanging="658"/>
        <w:spacing w:after="0" w:line="253"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2A3D6C"/>
        </w:rPr>
        <w:t>■</w:t>
      </w:r>
      <w:r>
        <w:rPr>
          <w:rFonts w:ascii="Arial" w:cs="Arial" w:eastAsia="Arial" w:hAnsi="Arial"/>
          <w:sz w:val="16"/>
          <w:szCs w:val="16"/>
          <w:color w:val="auto"/>
        </w:rPr>
        <w:t xml:space="preserve">  Review major incidents that may impact the company’s performance and license to operate;</w:t>
      </w:r>
    </w:p>
    <w:p>
      <w:pPr>
        <w:ind w:left="2540"/>
        <w:spacing w:after="0" w:line="227" w:lineRule="auto"/>
        <w:rPr>
          <w:sz w:val="20"/>
          <w:szCs w:val="20"/>
          <w:color w:val="auto"/>
        </w:rPr>
      </w:pPr>
      <w:r>
        <w:rPr>
          <w:rFonts w:ascii="Arial" w:cs="Arial" w:eastAsia="Arial" w:hAnsi="Arial"/>
          <w:sz w:val="16"/>
          <w:szCs w:val="16"/>
          <w:color w:val="auto"/>
        </w:rPr>
        <w:t> </w:t>
      </w:r>
    </w:p>
    <w:p>
      <w:pPr>
        <w:ind w:left="3200" w:right="1079" w:hanging="664"/>
        <w:spacing w:after="0" w:line="253" w:lineRule="auto"/>
        <w:tabs>
          <w:tab w:leader="none" w:pos="2621"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color w:val="2A3D6C"/>
        </w:rPr>
        <w:t>■</w:t>
      </w:r>
      <w:r>
        <w:rPr>
          <w:rFonts w:ascii="Arial" w:cs="Arial" w:eastAsia="Arial" w:hAnsi="Arial"/>
          <w:sz w:val="16"/>
          <w:szCs w:val="16"/>
          <w:color w:val="auto"/>
        </w:rPr>
        <w:t xml:space="preserve">  Monitor the identification, management and mitigation of significant HSE risks; and</w:t>
      </w:r>
    </w:p>
    <w:p>
      <w:pPr>
        <w:ind w:left="2460"/>
        <w:spacing w:after="0"/>
        <w:tabs>
          <w:tab w:leader="none" w:pos="2520" w:val="left"/>
          <w:tab w:leader="none" w:pos="85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Times New Roman" w:cs="Times New Roman" w:eastAsia="Times New Roman" w:hAnsi="Times New Roman"/>
          <w:sz w:val="2"/>
          <w:szCs w:val="2"/>
          <w:color w:val="auto"/>
        </w:rPr>
        <w:t>​</w:t>
      </w:r>
    </w:p>
    <w:p>
      <w:pPr>
        <w:ind w:left="3200" w:right="1019" w:hanging="664"/>
        <w:spacing w:after="0" w:line="253" w:lineRule="auto"/>
        <w:tabs>
          <w:tab w:leader="none" w:pos="2621"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color w:val="2A3D6C"/>
        </w:rPr>
        <w:t>■</w:t>
      </w:r>
      <w:r>
        <w:rPr>
          <w:rFonts w:ascii="Arial" w:cs="Arial" w:eastAsia="Arial" w:hAnsi="Arial"/>
          <w:sz w:val="16"/>
          <w:szCs w:val="16"/>
          <w:color w:val="auto"/>
        </w:rPr>
        <w:t xml:space="preserve">  Participate in an occasional operational on-site visit to observe HSE practices, culture and HSE leadership skills.</w:t>
      </w:r>
    </w:p>
    <w:p>
      <w:pPr>
        <w:ind w:left="2540" w:hanging="192"/>
        <w:spacing w:after="0" w:line="227" w:lineRule="auto"/>
        <w:tabs>
          <w:tab w:leader="none" w:pos="2540" w:val="left"/>
        </w:tabs>
        <w:numPr>
          <w:ilvl w:val="0"/>
          <w:numId w:val="36"/>
        </w:numPr>
        <w:rPr>
          <w:rFonts w:ascii="Times New Roman" w:cs="Times New Roman" w:eastAsia="Times New Roman" w:hAnsi="Times New Roman"/>
          <w:sz w:val="4"/>
          <w:szCs w:val="4"/>
          <w:color w:val="auto"/>
        </w:rPr>
      </w:pPr>
      <w:r>
        <w:rPr>
          <w:rFonts w:ascii="Arial" w:cs="Arial" w:eastAsia="Arial" w:hAnsi="Arial"/>
          <w:sz w:val="16"/>
          <w:szCs w:val="16"/>
          <w:color w:val="auto"/>
        </w:rPr>
        <w:t> </w:t>
      </w:r>
    </w:p>
    <w:p>
      <w:pPr>
        <w:ind w:left="2700" w:hanging="164"/>
        <w:spacing w:after="0"/>
        <w:tabs>
          <w:tab w:leader="none" w:pos="2700" w:val="left"/>
        </w:tabs>
        <w:numPr>
          <w:ilvl w:val="0"/>
          <w:numId w:val="37"/>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Sustainability:</w:t>
      </w:r>
    </w:p>
    <w:p>
      <w:pPr>
        <w:spacing w:after="0" w:line="16" w:lineRule="exact"/>
        <w:rPr>
          <w:rFonts w:ascii="Arial" w:cs="Arial" w:eastAsia="Arial" w:hAnsi="Arial"/>
          <w:sz w:val="16"/>
          <w:szCs w:val="16"/>
          <w:color w:val="auto"/>
        </w:rPr>
      </w:pPr>
    </w:p>
    <w:p>
      <w:pPr>
        <w:spacing w:after="0"/>
        <w:tabs>
          <w:tab w:leader="none" w:pos="0" w:val="left"/>
        </w:tabs>
        <w:numPr>
          <w:ilvl w:val="0"/>
          <w:numId w:val="37"/>
        </w:numPr>
        <w:rPr>
          <w:rFonts w:ascii="Arial" w:cs="Arial" w:eastAsia="Arial" w:hAnsi="Arial"/>
          <w:sz w:val="16"/>
          <w:szCs w:val="16"/>
          <w:color w:val="auto"/>
        </w:rPr>
      </w:pPr>
    </w:p>
    <w:p>
      <w:pPr>
        <w:spacing w:after="0" w:line="3" w:lineRule="exact"/>
        <w:rPr>
          <w:rFonts w:ascii="Arial" w:cs="Arial" w:eastAsia="Arial" w:hAnsi="Arial"/>
          <w:sz w:val="16"/>
          <w:szCs w:val="16"/>
          <w:color w:val="auto"/>
        </w:rPr>
      </w:pPr>
    </w:p>
    <w:p>
      <w:pPr>
        <w:ind w:left="3200" w:right="859" w:hanging="659"/>
        <w:spacing w:after="0" w:line="244"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color w:val="2A3D6C"/>
        </w:rPr>
        <w:t>■</w:t>
      </w:r>
      <w:r>
        <w:rPr>
          <w:rFonts w:ascii="Arial" w:cs="Arial" w:eastAsia="Arial" w:hAnsi="Arial"/>
          <w:sz w:val="16"/>
          <w:szCs w:val="16"/>
          <w:color w:val="auto"/>
        </w:rPr>
        <w:t xml:space="preserve">  Oversee the establishment of targets and objectives related to climate change as well as monitor performance against those targets and objectives;</w:t>
      </w:r>
    </w:p>
    <w:p>
      <w:pPr>
        <w:spacing w:after="0" w:line="1" w:lineRule="exact"/>
        <w:rPr>
          <w:rFonts w:ascii="Arial" w:cs="Arial" w:eastAsia="Arial" w:hAnsi="Arial"/>
          <w:sz w:val="16"/>
          <w:szCs w:val="16"/>
          <w:color w:val="auto"/>
        </w:rPr>
      </w:pPr>
    </w:p>
    <w:p>
      <w:pPr>
        <w:spacing w:after="0"/>
        <w:tabs>
          <w:tab w:leader="none" w:pos="0" w:val="left"/>
        </w:tabs>
        <w:numPr>
          <w:ilvl w:val="0"/>
          <w:numId w:val="37"/>
        </w:numPr>
        <w:rPr>
          <w:rFonts w:ascii="Arial" w:cs="Arial" w:eastAsia="Arial" w:hAnsi="Arial"/>
          <w:sz w:val="16"/>
          <w:szCs w:val="16"/>
          <w:color w:val="auto"/>
        </w:rPr>
      </w:pPr>
    </w:p>
    <w:p>
      <w:pPr>
        <w:spacing w:after="0" w:line="3" w:lineRule="exact"/>
        <w:rPr>
          <w:rFonts w:ascii="Arial" w:cs="Arial" w:eastAsia="Arial" w:hAnsi="Arial"/>
          <w:sz w:val="16"/>
          <w:szCs w:val="16"/>
          <w:color w:val="auto"/>
        </w:rPr>
      </w:pPr>
    </w:p>
    <w:p>
      <w:pPr>
        <w:ind w:left="3200" w:right="719" w:hanging="659"/>
        <w:spacing w:after="0" w:line="244"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color w:val="2A3D6C"/>
        </w:rPr>
        <w:t>■</w:t>
      </w:r>
      <w:r>
        <w:rPr>
          <w:rFonts w:ascii="Arial" w:cs="Arial" w:eastAsia="Arial" w:hAnsi="Arial"/>
          <w:sz w:val="16"/>
          <w:szCs w:val="16"/>
          <w:color w:val="auto"/>
        </w:rPr>
        <w:t xml:space="preserve">  Ensure and monitor regular public and transparent reporting of progress against sustainability and climate change targets and</w:t>
      </w:r>
    </w:p>
    <w:p>
      <w:pPr>
        <w:ind w:left="3200"/>
        <w:spacing w:after="0"/>
        <w:rPr>
          <w:rFonts w:ascii="Arial" w:cs="Arial" w:eastAsia="Arial" w:hAnsi="Arial"/>
          <w:sz w:val="16"/>
          <w:szCs w:val="16"/>
          <w:color w:val="auto"/>
        </w:rPr>
      </w:pPr>
      <w:r>
        <w:rPr>
          <w:rFonts w:ascii="Arial" w:cs="Arial" w:eastAsia="Arial" w:hAnsi="Arial"/>
          <w:sz w:val="16"/>
          <w:szCs w:val="16"/>
          <w:color w:val="auto"/>
        </w:rPr>
        <w:t>initiatives;</w:t>
      </w:r>
    </w:p>
    <w:p>
      <w:pPr>
        <w:spacing w:after="0" w:line="3" w:lineRule="exact"/>
        <w:rPr>
          <w:rFonts w:ascii="Arial" w:cs="Arial" w:eastAsia="Arial" w:hAnsi="Arial"/>
          <w:sz w:val="16"/>
          <w:szCs w:val="16"/>
          <w:color w:val="auto"/>
        </w:rPr>
      </w:pPr>
    </w:p>
    <w:p>
      <w:pPr>
        <w:spacing w:after="0"/>
        <w:tabs>
          <w:tab w:leader="none" w:pos="0" w:val="left"/>
        </w:tabs>
        <w:numPr>
          <w:ilvl w:val="0"/>
          <w:numId w:val="37"/>
        </w:numPr>
        <w:rPr>
          <w:rFonts w:ascii="Arial" w:cs="Arial" w:eastAsia="Arial" w:hAnsi="Arial"/>
          <w:sz w:val="16"/>
          <w:szCs w:val="16"/>
          <w:color w:val="auto"/>
        </w:rPr>
      </w:pPr>
    </w:p>
    <w:tbl>
      <w:tblPr>
        <w:tblLayout w:type="fixed"/>
        <w:tblInd w:w="2540" w:type="dxa"/>
        <w:tblCellMar>
          <w:top w:w="0" w:type="dxa"/>
          <w:left w:w="0" w:type="dxa"/>
          <w:bottom w:w="0" w:type="dxa"/>
          <w:right w:w="0" w:type="dxa"/>
        </w:tblCellMar>
      </w:tblPr>
      <w:tr>
        <w:trPr>
          <w:trHeight w:val="185"/>
        </w:trPr>
        <w:tc>
          <w:tcPr>
            <w:tcW w:w="180" w:type="dxa"/>
            <w:vAlign w:val="bottom"/>
          </w:tcPr>
          <w:p>
            <w:pPr>
              <w:spacing w:after="0"/>
              <w:rPr>
                <w:sz w:val="20"/>
                <w:szCs w:val="20"/>
                <w:color w:val="auto"/>
              </w:rPr>
            </w:pP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260" w:type="dxa"/>
            <w:vAlign w:val="bottom"/>
          </w:tcPr>
          <w:p>
            <w:pPr>
              <w:ind w:left="6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w:t>
            </w:r>
          </w:p>
        </w:tc>
        <w:tc>
          <w:tcPr>
            <w:tcW w:w="4900" w:type="dxa"/>
            <w:vAlign w:val="bottom"/>
          </w:tcPr>
          <w:p>
            <w:pPr>
              <w:ind w:left="60"/>
              <w:spacing w:after="0"/>
              <w:rPr>
                <w:sz w:val="20"/>
                <w:szCs w:val="20"/>
                <w:color w:val="auto"/>
              </w:rPr>
            </w:pPr>
            <w:r>
              <w:rPr>
                <w:rFonts w:ascii="Arial" w:cs="Arial" w:eastAsia="Arial" w:hAnsi="Arial"/>
                <w:sz w:val="16"/>
                <w:szCs w:val="16"/>
                <w:color w:val="auto"/>
              </w:rPr>
              <w:t>Review the Company’s Climate Change Policy;</w:t>
            </w:r>
          </w:p>
        </w:tc>
        <w:tc>
          <w:tcPr>
            <w:tcW w:w="0" w:type="dxa"/>
            <w:vAlign w:val="bottom"/>
          </w:tcPr>
          <w:p>
            <w:pPr>
              <w:spacing w:after="0"/>
              <w:rPr>
                <w:sz w:val="1"/>
                <w:szCs w:val="1"/>
                <w:color w:val="auto"/>
              </w:rPr>
            </w:pPr>
          </w:p>
        </w:tc>
      </w:tr>
      <w:tr>
        <w:trPr>
          <w:trHeight w:val="187"/>
        </w:trPr>
        <w:tc>
          <w:tcPr>
            <w:tcW w:w="180" w:type="dxa"/>
            <w:vAlign w:val="bottom"/>
          </w:tcPr>
          <w:p>
            <w:pPr>
              <w:spacing w:after="0"/>
              <w:rPr>
                <w:sz w:val="20"/>
                <w:szCs w:val="20"/>
                <w:color w:val="auto"/>
              </w:rPr>
            </w:pPr>
            <w:r>
              <w:rPr>
                <w:rFonts w:ascii="Arial" w:cs="Arial" w:eastAsia="Arial" w:hAnsi="Arial"/>
                <w:sz w:val="16"/>
                <w:szCs w:val="16"/>
                <w:color w:val="auto"/>
                <w:w w:val="99"/>
              </w:rPr>
              <w:t> </w:t>
            </w:r>
          </w:p>
        </w:tc>
        <w:tc>
          <w:tcPr>
            <w:tcW w:w="160" w:type="dxa"/>
            <w:vAlign w:val="bottom"/>
          </w:tcPr>
          <w:p>
            <w:pPr>
              <w:spacing w:after="0"/>
              <w:rPr>
                <w:sz w:val="16"/>
                <w:szCs w:val="16"/>
                <w:color w:val="auto"/>
              </w:rPr>
            </w:pPr>
          </w:p>
        </w:tc>
        <w:tc>
          <w:tcPr>
            <w:tcW w:w="260" w:type="dxa"/>
            <w:vAlign w:val="bottom"/>
            <w:vMerge w:val="restart"/>
          </w:tcPr>
          <w:p>
            <w:pPr>
              <w:ind w:left="60"/>
              <w:spacing w:after="0"/>
              <w:rPr>
                <w:sz w:val="20"/>
                <w:szCs w:val="20"/>
                <w:color w:val="auto"/>
              </w:rPr>
            </w:pPr>
            <w:r>
              <w:rPr>
                <w:rFonts w:ascii="Arial" w:cs="Arial" w:eastAsia="Arial" w:hAnsi="Arial"/>
                <w:sz w:val="16"/>
                <w:szCs w:val="16"/>
                <w:color w:val="2A3D6C"/>
              </w:rPr>
              <w:t>■</w:t>
            </w:r>
            <w:r>
              <w:rPr>
                <w:rFonts w:ascii="Arial" w:cs="Arial" w:eastAsia="Arial" w:hAnsi="Arial"/>
                <w:sz w:val="16"/>
                <w:szCs w:val="16"/>
                <w:color w:val="000000"/>
              </w:rPr>
              <w:t xml:space="preserve"> </w:t>
            </w:r>
          </w:p>
        </w:tc>
        <w:tc>
          <w:tcPr>
            <w:tcW w:w="4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20"/>
                <w:szCs w:val="20"/>
                <w:color w:val="auto"/>
              </w:rPr>
            </w:pP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260" w:type="dxa"/>
            <w:vAlign w:val="bottom"/>
            <w:vMerge w:val="continue"/>
          </w:tcPr>
          <w:p>
            <w:pPr>
              <w:spacing w:after="0"/>
              <w:rPr>
                <w:sz w:val="16"/>
                <w:szCs w:val="16"/>
                <w:color w:val="auto"/>
              </w:rPr>
            </w:pPr>
          </w:p>
        </w:tc>
        <w:tc>
          <w:tcPr>
            <w:tcW w:w="4900" w:type="dxa"/>
            <w:vAlign w:val="bottom"/>
          </w:tcPr>
          <w:p>
            <w:pPr>
              <w:ind w:left="60"/>
              <w:spacing w:after="0"/>
              <w:rPr>
                <w:sz w:val="20"/>
                <w:szCs w:val="20"/>
                <w:color w:val="auto"/>
              </w:rPr>
            </w:pPr>
            <w:r>
              <w:rPr>
                <w:rFonts w:ascii="Arial" w:cs="Arial" w:eastAsia="Arial" w:hAnsi="Arial"/>
                <w:sz w:val="16"/>
                <w:szCs w:val="16"/>
                <w:color w:val="auto"/>
                <w:w w:val="99"/>
              </w:rPr>
              <w:t>Monitor the Company’s identification, management and mitigation of</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00" w:type="dxa"/>
            <w:vAlign w:val="bottom"/>
          </w:tcPr>
          <w:p>
            <w:pPr>
              <w:ind w:left="60"/>
              <w:spacing w:after="0"/>
              <w:rPr>
                <w:sz w:val="20"/>
                <w:szCs w:val="20"/>
                <w:color w:val="auto"/>
              </w:rPr>
            </w:pPr>
            <w:r>
              <w:rPr>
                <w:rFonts w:ascii="Arial" w:cs="Arial" w:eastAsia="Arial" w:hAnsi="Arial"/>
                <w:sz w:val="16"/>
                <w:szCs w:val="16"/>
                <w:color w:val="auto"/>
              </w:rPr>
              <w:t>climate-related risks and opportunities; and</w:t>
            </w:r>
          </w:p>
        </w:tc>
        <w:tc>
          <w:tcPr>
            <w:tcW w:w="0" w:type="dxa"/>
            <w:vAlign w:val="bottom"/>
          </w:tcPr>
          <w:p>
            <w:pPr>
              <w:spacing w:after="0"/>
              <w:rPr>
                <w:sz w:val="1"/>
                <w:szCs w:val="1"/>
                <w:color w:val="auto"/>
              </w:rPr>
            </w:pPr>
          </w:p>
        </w:tc>
      </w:tr>
    </w:tbl>
    <w:p>
      <w:pPr>
        <w:ind w:left="2540"/>
        <w:spacing w:after="0" w:line="227" w:lineRule="auto"/>
        <w:rPr>
          <w:sz w:val="20"/>
          <w:szCs w:val="20"/>
          <w:color w:val="auto"/>
        </w:rPr>
      </w:pPr>
      <w:r>
        <w:rPr>
          <w:rFonts w:ascii="Arial" w:cs="Arial" w:eastAsia="Arial" w:hAnsi="Arial"/>
          <w:sz w:val="16"/>
          <w:szCs w:val="16"/>
          <w:color w:val="auto"/>
        </w:rPr>
        <w:t> </w:t>
      </w:r>
    </w:p>
    <w:p>
      <w:pPr>
        <w:ind w:left="25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2A3D6C"/>
        </w:rPr>
        <w:t>■</w:t>
      </w:r>
      <w:r>
        <w:rPr>
          <w:rFonts w:ascii="Arial" w:cs="Arial" w:eastAsia="Arial" w:hAnsi="Arial"/>
          <w:sz w:val="16"/>
          <w:szCs w:val="16"/>
          <w:color w:val="auto"/>
        </w:rPr>
        <w:t xml:space="preserve">   Review and approve the Company’s annual Sustainability Report.</w:t>
      </w:r>
    </w:p>
    <w:p>
      <w:pPr>
        <w:spacing w:after="0" w:line="17"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 </w:t>
      </w:r>
    </w:p>
    <w:p>
      <w:pPr>
        <w:spacing w:after="0" w:line="3"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2A3D6C"/>
        </w:rPr>
        <w:t>The Health, Safety, Environment and Sustainability Committee Charter:</w:t>
      </w:r>
    </w:p>
    <w:p>
      <w:pPr>
        <w:ind w:left="2540"/>
        <w:spacing w:after="0" w:line="231" w:lineRule="auto"/>
        <w:rPr>
          <w:sz w:val="20"/>
          <w:szCs w:val="20"/>
          <w:color w:val="auto"/>
        </w:rPr>
      </w:pPr>
      <w:r>
        <w:rPr>
          <w:rFonts w:ascii="Arial" w:cs="Arial" w:eastAsia="Arial" w:hAnsi="Arial"/>
          <w:sz w:val="16"/>
          <w:szCs w:val="16"/>
          <w:color w:val="auto"/>
        </w:rPr>
        <w:t> </w:t>
      </w:r>
    </w:p>
    <w:p>
      <w:pPr>
        <w:ind w:left="2960" w:right="979" w:hanging="424"/>
        <w:spacing w:after="0" w:line="253" w:lineRule="auto"/>
        <w:tabs>
          <w:tab w:leader="none" w:pos="2702" w:val="left"/>
        </w:tabs>
        <w:numPr>
          <w:ilvl w:val="0"/>
          <w:numId w:val="38"/>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Was approved by the Board on May 6, 2011 (as amended on March 10,</w:t>
      </w:r>
      <w:r>
        <w:rPr>
          <w:rFonts w:ascii="Arial" w:cs="Arial" w:eastAsia="Arial" w:hAnsi="Arial"/>
          <w:sz w:val="16"/>
          <w:szCs w:val="16"/>
          <w:color w:val="2A3D6C"/>
        </w:rPr>
        <w:t xml:space="preserve"> </w:t>
      </w:r>
      <w:r>
        <w:rPr>
          <w:rFonts w:ascii="Arial" w:cs="Arial" w:eastAsia="Arial" w:hAnsi="Arial"/>
          <w:sz w:val="16"/>
          <w:szCs w:val="16"/>
          <w:color w:val="000000"/>
        </w:rPr>
        <w:t>2022) and is reviewed periodically; and</w:t>
      </w:r>
    </w:p>
    <w:p>
      <w:pPr>
        <w:ind w:left="2540"/>
        <w:spacing w:after="0" w:line="227" w:lineRule="auto"/>
        <w:rPr>
          <w:sz w:val="20"/>
          <w:szCs w:val="20"/>
          <w:color w:val="auto"/>
        </w:rPr>
      </w:pPr>
      <w:r>
        <w:rPr>
          <w:rFonts w:ascii="Arial" w:cs="Arial" w:eastAsia="Arial" w:hAnsi="Arial"/>
          <w:sz w:val="16"/>
          <w:szCs w:val="16"/>
          <w:color w:val="auto"/>
        </w:rPr>
        <w:t> </w:t>
      </w:r>
    </w:p>
    <w:p>
      <w:pPr>
        <w:ind w:left="2960" w:right="499" w:hanging="424"/>
        <w:spacing w:after="0" w:line="262" w:lineRule="auto"/>
        <w:tabs>
          <w:tab w:leader="none" w:pos="2702" w:val="left"/>
        </w:tabs>
        <w:numPr>
          <w:ilvl w:val="0"/>
          <w:numId w:val="39"/>
        </w:numPr>
        <w:rPr>
          <w:rFonts w:ascii="Arial" w:cs="Arial" w:eastAsia="Arial" w:hAnsi="Arial"/>
          <w:sz w:val="16"/>
          <w:szCs w:val="16"/>
          <w:color w:val="auto"/>
        </w:rPr>
      </w:pPr>
      <w:r>
        <w:rPr>
          <w:rFonts w:ascii="Arial" w:cs="Arial" w:eastAsia="Arial" w:hAnsi="Arial"/>
          <w:sz w:val="16"/>
          <w:szCs w:val="16"/>
          <w:color w:val="2A3D6C"/>
        </w:rPr>
        <w:t>■</w:t>
      </w:r>
      <w:r>
        <w:rPr>
          <w:rFonts w:ascii="Arial" w:cs="Arial" w:eastAsia="Arial" w:hAnsi="Arial"/>
          <w:sz w:val="16"/>
          <w:szCs w:val="16"/>
          <w:color w:val="000000"/>
        </w:rPr>
        <w:t xml:space="preserve">  Is available under the Corporate Governance link on the Investors’ page of our</w:t>
      </w:r>
      <w:r>
        <w:rPr>
          <w:rFonts w:ascii="Arial" w:cs="Arial" w:eastAsia="Arial" w:hAnsi="Arial"/>
          <w:sz w:val="16"/>
          <w:szCs w:val="16"/>
          <w:color w:val="2A3D6C"/>
        </w:rPr>
        <w:t xml:space="preserve"> </w:t>
      </w:r>
      <w:r>
        <w:rPr>
          <w:rFonts w:ascii="Arial" w:cs="Arial" w:eastAsia="Arial" w:hAnsi="Arial"/>
          <w:sz w:val="16"/>
          <w:szCs w:val="16"/>
          <w:color w:val="000000"/>
        </w:rPr>
        <w:t>website at www.kosmosenergy.com. The information on our website is not incorporated by reference into this Proxy Statement.</w:t>
      </w:r>
    </w:p>
    <w:p>
      <w:pPr>
        <w:sectPr>
          <w:pgSz w:w="11900" w:h="16838" w:orient="portrait"/>
          <w:cols w:equalWidth="0" w:num="1">
            <w:col w:w="9019"/>
          </w:cols>
          <w:pgMar w:left="1440" w:top="262" w:right="1440" w:bottom="1440" w:gutter="0" w:footer="0" w:header="0"/>
          <w:type w:val="continuous"/>
        </w:sectPr>
      </w:pPr>
    </w:p>
    <w:p>
      <w:pPr>
        <w:spacing w:after="0" w:line="378" w:lineRule="exact"/>
        <w:rPr>
          <w:sz w:val="20"/>
          <w:szCs w:val="20"/>
          <w:color w:val="auto"/>
        </w:rPr>
      </w:pPr>
    </w:p>
    <w:p>
      <w:pPr>
        <w:ind w:left="640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121285</wp:posOffset>
            </wp:positionV>
            <wp:extent cx="693801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-158750</wp:posOffset>
            </wp:positionV>
            <wp:extent cx="594995" cy="170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22" w:name="page23"/>
    <w:bookmarkEnd w:id="22"/>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Meetings of the Board of Directors and Committees</w:t>
      </w:r>
    </w:p>
    <w:p>
      <w:pPr>
        <w:sectPr>
          <w:pgSz w:w="11900" w:h="16838" w:orient="portrait"/>
          <w:cols w:equalWidth="0" w:num="1">
            <w:col w:w="9019"/>
          </w:cols>
          <w:pgMar w:left="1440" w:top="262" w:right="1440" w:bottom="1440" w:gutter="0" w:footer="0" w:header="0"/>
        </w:sectPr>
      </w:pPr>
    </w:p>
    <w:p>
      <w:pPr>
        <w:spacing w:after="0" w:line="129" w:lineRule="exact"/>
        <w:rPr>
          <w:sz w:val="20"/>
          <w:szCs w:val="20"/>
          <w:color w:val="auto"/>
        </w:rPr>
      </w:pPr>
    </w:p>
    <w:p>
      <w:pPr>
        <w:ind w:left="320"/>
        <w:spacing w:after="0" w:line="252" w:lineRule="auto"/>
        <w:rPr>
          <w:sz w:val="20"/>
          <w:szCs w:val="20"/>
          <w:color w:val="auto"/>
        </w:rPr>
      </w:pPr>
      <w:r>
        <w:rPr>
          <w:rFonts w:ascii="Arial" w:cs="Arial" w:eastAsia="Arial" w:hAnsi="Arial"/>
          <w:sz w:val="16"/>
          <w:szCs w:val="16"/>
          <w:color w:val="auto"/>
        </w:rPr>
        <w:t>The Board held five meetings during 2021 and took three actions by unanimous written consent. During 2021, no incumbent director attended fewer than 100% of the aggregate total number of meetings of the Board held during the period in which he or she was a director and of the total number of meetings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399"/>
        <w:spacing w:after="0" w:line="252" w:lineRule="auto"/>
        <w:rPr>
          <w:sz w:val="20"/>
          <w:szCs w:val="20"/>
          <w:color w:val="auto"/>
        </w:rPr>
      </w:pPr>
      <w:r>
        <w:rPr>
          <w:rFonts w:ascii="Arial" w:cs="Arial" w:eastAsia="Arial" w:hAnsi="Arial"/>
          <w:sz w:val="16"/>
          <w:szCs w:val="16"/>
          <w:color w:val="auto"/>
        </w:rPr>
        <w:t>held by all of the Committees of the Board on which he or she served. We expect, but do not require, our directors to attend our annual stockholders meetings. All of the then serving directors attended the annual stockholders meeting held by the Company in June 2021.</w:t>
      </w:r>
    </w:p>
    <w:p>
      <w:pPr>
        <w:spacing w:after="0" w:line="121" w:lineRule="exact"/>
        <w:rPr>
          <w:sz w:val="20"/>
          <w:szCs w:val="20"/>
          <w:color w:val="auto"/>
        </w:rPr>
      </w:pPr>
    </w:p>
    <w:p>
      <w:pPr>
        <w:sectPr>
          <w:pgSz w:w="11900" w:h="16838" w:orient="portrait"/>
          <w:cols w:equalWidth="0" w:num="2">
            <w:col w:w="4380" w:space="24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Director Independence</w:t>
      </w:r>
    </w:p>
    <w:p>
      <w:pPr>
        <w:spacing w:after="0" w:line="129" w:lineRule="exact"/>
        <w:rPr>
          <w:sz w:val="20"/>
          <w:szCs w:val="20"/>
          <w:color w:val="auto"/>
        </w:rPr>
      </w:pPr>
    </w:p>
    <w:p>
      <w:pPr>
        <w:jc w:val="both"/>
        <w:ind w:left="320" w:right="760"/>
        <w:spacing w:after="0" w:line="263" w:lineRule="auto"/>
        <w:rPr>
          <w:sz w:val="20"/>
          <w:szCs w:val="20"/>
          <w:color w:val="auto"/>
        </w:rPr>
      </w:pPr>
      <w:r>
        <w:rPr>
          <w:rFonts w:ascii="Arial" w:cs="Arial" w:eastAsia="Arial" w:hAnsi="Arial"/>
          <w:sz w:val="16"/>
          <w:szCs w:val="16"/>
          <w:color w:val="auto"/>
        </w:rPr>
        <w:t>Pursuant to the NYSE’s corporate governance standards, we are required to have a majority independent Board.</w:t>
      </w:r>
    </w:p>
    <w:p>
      <w:pPr>
        <w:spacing w:after="0" w:line="65" w:lineRule="exact"/>
        <w:rPr>
          <w:sz w:val="20"/>
          <w:szCs w:val="20"/>
          <w:color w:val="auto"/>
        </w:rPr>
      </w:pPr>
    </w:p>
    <w:p>
      <w:pPr>
        <w:ind w:left="320"/>
        <w:spacing w:after="0" w:line="254" w:lineRule="auto"/>
        <w:rPr>
          <w:sz w:val="20"/>
          <w:szCs w:val="20"/>
          <w:color w:val="auto"/>
        </w:rPr>
      </w:pPr>
      <w:r>
        <w:rPr>
          <w:rFonts w:ascii="Arial" w:cs="Arial" w:eastAsia="Arial" w:hAnsi="Arial"/>
          <w:sz w:val="16"/>
          <w:szCs w:val="16"/>
          <w:color w:val="auto"/>
        </w:rPr>
        <w:t>The Board has reviewed the materiality of any relationship that each of our directors has with us, either directly or indirectly. Based on this review, the Board has determined that each of Ms. Davis, Sir Richard Dearlove, Ms. Goodwin, Mr. Ogunlesi,</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379"/>
        <w:spacing w:after="0" w:line="254" w:lineRule="auto"/>
        <w:rPr>
          <w:sz w:val="20"/>
          <w:szCs w:val="20"/>
          <w:color w:val="auto"/>
        </w:rPr>
      </w:pPr>
      <w:r>
        <w:rPr>
          <w:rFonts w:ascii="Arial" w:cs="Arial" w:eastAsia="Arial" w:hAnsi="Arial"/>
          <w:sz w:val="16"/>
          <w:szCs w:val="16"/>
          <w:color w:val="auto"/>
        </w:rPr>
        <w:t>Mr. Sterin and Mr. Franklin are “independent directors” as defined by the NYSE rules and Rule 10A-3 of the Exchange Act. Accordingly, as of the date hereof, we are in compliance with the NYSE’s majority independent Board requirement.</w:t>
      </w:r>
    </w:p>
    <w:p>
      <w:pPr>
        <w:spacing w:after="0" w:line="71" w:lineRule="exact"/>
        <w:rPr>
          <w:sz w:val="20"/>
          <w:szCs w:val="20"/>
          <w:color w:val="auto"/>
        </w:rPr>
      </w:pPr>
    </w:p>
    <w:p>
      <w:pPr>
        <w:ind w:right="679"/>
        <w:spacing w:after="0" w:line="282" w:lineRule="auto"/>
        <w:rPr>
          <w:sz w:val="20"/>
          <w:szCs w:val="20"/>
          <w:color w:val="auto"/>
        </w:rPr>
      </w:pPr>
      <w:r>
        <w:rPr>
          <w:rFonts w:ascii="Arial" w:cs="Arial" w:eastAsia="Arial" w:hAnsi="Arial"/>
          <w:sz w:val="16"/>
          <w:szCs w:val="16"/>
          <w:color w:val="auto"/>
        </w:rPr>
        <w:t>There are no family relationships among any of our executive officers, directors or nominees for director.</w:t>
      </w:r>
    </w:p>
    <w:p>
      <w:pPr>
        <w:spacing w:after="0" w:line="271" w:lineRule="exact"/>
        <w:rPr>
          <w:sz w:val="20"/>
          <w:szCs w:val="20"/>
          <w:color w:val="auto"/>
        </w:rPr>
      </w:pPr>
    </w:p>
    <w:p>
      <w:pPr>
        <w:sectPr>
          <w:pgSz w:w="11900" w:h="16838" w:orient="portrait"/>
          <w:cols w:equalWidth="0" w:num="2">
            <w:col w:w="4380" w:space="24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Board’s Role in Risk Oversight</w:t>
      </w:r>
    </w:p>
    <w:p>
      <w:pPr>
        <w:spacing w:after="0" w:line="129" w:lineRule="exact"/>
        <w:rPr>
          <w:sz w:val="20"/>
          <w:szCs w:val="20"/>
          <w:color w:val="auto"/>
        </w:rPr>
      </w:pPr>
    </w:p>
    <w:p>
      <w:pPr>
        <w:ind w:left="320"/>
        <w:spacing w:after="0" w:line="250" w:lineRule="auto"/>
        <w:rPr>
          <w:sz w:val="20"/>
          <w:szCs w:val="20"/>
          <w:color w:val="auto"/>
        </w:rPr>
      </w:pPr>
      <w:r>
        <w:rPr>
          <w:rFonts w:ascii="Arial" w:cs="Arial" w:eastAsia="Arial" w:hAnsi="Arial"/>
          <w:sz w:val="16"/>
          <w:szCs w:val="16"/>
          <w:color w:val="auto"/>
        </w:rPr>
        <w:t>Assessing and managing risk is the responsibility of the management of the Company. However, the Board has an active role, as a whole, and also at the committee level, in overseeing management of the Company’s risks. The Board regularly reviews information regarding the Company’s credit, liquidity and operations, as well as the risks associated with each.</w:t>
      </w:r>
    </w:p>
    <w:p>
      <w:pPr>
        <w:spacing w:after="0" w:line="78" w:lineRule="exact"/>
        <w:rPr>
          <w:sz w:val="20"/>
          <w:szCs w:val="20"/>
          <w:color w:val="auto"/>
        </w:rPr>
      </w:pPr>
    </w:p>
    <w:p>
      <w:pPr>
        <w:ind w:left="320" w:right="20"/>
        <w:spacing w:after="0" w:line="248" w:lineRule="auto"/>
        <w:rPr>
          <w:sz w:val="20"/>
          <w:szCs w:val="20"/>
          <w:color w:val="auto"/>
        </w:rPr>
      </w:pPr>
      <w:r>
        <w:rPr>
          <w:rFonts w:ascii="Arial" w:cs="Arial" w:eastAsia="Arial" w:hAnsi="Arial"/>
          <w:sz w:val="16"/>
          <w:szCs w:val="16"/>
          <w:color w:val="auto"/>
        </w:rPr>
        <w:t>Under its charter, the Audit Committee of the Board reviews and discusses with management the Company’s major financial risk exposures and the steps management has taken to monitor and control such exposures, including the Company’s risk assessment and risk management policies. In addition, the Audit Committee oversees risks related to the Company’s financial statements, the financial reporting process, accounting, tax and legal matters as well as liquidity risks and guidelines and policies and procedures for monitoring and mitigating risks.</w:t>
      </w:r>
    </w:p>
    <w:p>
      <w:pPr>
        <w:spacing w:after="0" w:line="78" w:lineRule="exact"/>
        <w:rPr>
          <w:sz w:val="20"/>
          <w:szCs w:val="20"/>
          <w:color w:val="auto"/>
        </w:rPr>
      </w:pPr>
    </w:p>
    <w:p>
      <w:pPr>
        <w:ind w:left="320" w:right="400"/>
        <w:spacing w:after="0" w:line="282" w:lineRule="auto"/>
        <w:rPr>
          <w:sz w:val="20"/>
          <w:szCs w:val="20"/>
          <w:color w:val="auto"/>
        </w:rPr>
      </w:pPr>
      <w:r>
        <w:rPr>
          <w:rFonts w:ascii="Arial" w:cs="Arial" w:eastAsia="Arial" w:hAnsi="Arial"/>
          <w:sz w:val="16"/>
          <w:szCs w:val="16"/>
          <w:color w:val="auto"/>
        </w:rPr>
        <w:t>Because overseeing risk is an ongoing process and inherent in our strategic decisions, the Board also</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359"/>
        <w:spacing w:after="0" w:line="248" w:lineRule="auto"/>
        <w:rPr>
          <w:sz w:val="20"/>
          <w:szCs w:val="20"/>
          <w:color w:val="auto"/>
        </w:rPr>
      </w:pPr>
      <w:r>
        <w:rPr>
          <w:rFonts w:ascii="Arial" w:cs="Arial" w:eastAsia="Arial" w:hAnsi="Arial"/>
          <w:sz w:val="16"/>
          <w:szCs w:val="16"/>
          <w:color w:val="auto"/>
        </w:rPr>
        <w:t>discusses risk throughout the year in relation to specific proposed actions. The Board’s other standing Committees oversee risks associated with their respective areas of responsibility. For example, the Compensation Committee considers the risks associated with our compensation policies and practices with respect to both executive compensation and compensation generally. See “Executive Compensation —Compensation Risk Assessment” below. The Board is kept abreast of its Committees’ risk oversight and other activities through reports of the Committee chairs to the full Board.</w:t>
      </w:r>
    </w:p>
    <w:p>
      <w:pPr>
        <w:spacing w:after="0" w:line="75" w:lineRule="exact"/>
        <w:rPr>
          <w:sz w:val="20"/>
          <w:szCs w:val="20"/>
          <w:color w:val="auto"/>
        </w:rPr>
      </w:pPr>
    </w:p>
    <w:p>
      <w:pPr>
        <w:ind w:right="439"/>
        <w:spacing w:after="0" w:line="257" w:lineRule="auto"/>
        <w:rPr>
          <w:sz w:val="20"/>
          <w:szCs w:val="20"/>
          <w:color w:val="auto"/>
        </w:rPr>
      </w:pPr>
      <w:r>
        <w:rPr>
          <w:rFonts w:ascii="Arial" w:cs="Arial" w:eastAsia="Arial" w:hAnsi="Arial"/>
          <w:sz w:val="16"/>
          <w:szCs w:val="16"/>
          <w:color w:val="auto"/>
        </w:rPr>
        <w:t>Specifically relating to enterprise risk management during 2021, the Company performed an enterprise risk assessment to identify key risks and assess procedures for managing, monitoring and mitigating risks.</w:t>
      </w:r>
    </w:p>
    <w:p>
      <w:pPr>
        <w:spacing w:after="0" w:line="974" w:lineRule="exact"/>
        <w:rPr>
          <w:sz w:val="20"/>
          <w:szCs w:val="20"/>
          <w:color w:val="auto"/>
        </w:rPr>
      </w:pPr>
    </w:p>
    <w:p>
      <w:pPr>
        <w:sectPr>
          <w:pgSz w:w="11900" w:h="16838" w:orient="portrait"/>
          <w:cols w:equalWidth="0" w:num="2">
            <w:col w:w="4400" w:space="22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Code of Business Conduct and Ethics</w:t>
      </w:r>
    </w:p>
    <w:p>
      <w:pPr>
        <w:sectPr>
          <w:pgSz w:w="11900" w:h="16838" w:orient="portrait"/>
          <w:cols w:equalWidth="0" w:num="1">
            <w:col w:w="9019"/>
          </w:cols>
          <w:pgMar w:left="1440" w:top="262" w:right="1440" w:bottom="1440" w:gutter="0" w:footer="0" w:header="0"/>
          <w:type w:val="continuous"/>
        </w:sectPr>
      </w:pPr>
    </w:p>
    <w:p>
      <w:pPr>
        <w:spacing w:after="0" w:line="129" w:lineRule="exact"/>
        <w:rPr>
          <w:sz w:val="20"/>
          <w:szCs w:val="20"/>
          <w:color w:val="auto"/>
        </w:rPr>
      </w:pPr>
    </w:p>
    <w:p>
      <w:pPr>
        <w:ind w:left="320"/>
        <w:spacing w:after="0" w:line="250" w:lineRule="auto"/>
        <w:rPr>
          <w:sz w:val="20"/>
          <w:szCs w:val="20"/>
          <w:color w:val="auto"/>
        </w:rPr>
      </w:pPr>
      <w:r>
        <w:rPr>
          <w:rFonts w:ascii="Arial" w:cs="Arial" w:eastAsia="Arial" w:hAnsi="Arial"/>
          <w:sz w:val="16"/>
          <w:szCs w:val="16"/>
          <w:color w:val="auto"/>
        </w:rPr>
        <w:t>The Board has adopted a Code of Business Conduct and Ethics applicable to our employees, directors and officers, in accordance with applicable U.S. federal securities laws and the corporate governance rules of the NYSE. Any waiver of this Code may be made only by the Board. In accordance with applicable U.S. federal securities laws and the corporate governance rules of the NYSE, we will</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359"/>
        <w:spacing w:after="0" w:line="250" w:lineRule="auto"/>
        <w:rPr>
          <w:sz w:val="20"/>
          <w:szCs w:val="20"/>
          <w:color w:val="auto"/>
        </w:rPr>
      </w:pPr>
      <w:r>
        <w:rPr>
          <w:rFonts w:ascii="Arial" w:cs="Arial" w:eastAsia="Arial" w:hAnsi="Arial"/>
          <w:sz w:val="16"/>
          <w:szCs w:val="16"/>
          <w:color w:val="auto"/>
        </w:rPr>
        <w:t>provide any person, without charge and upon request, with a copy of our Code of Business Conduct and Ethics. Requests should be directed to us at Kosmos Energy Ltd., 8176 Park Lane, Suite 500, Dallas, Texas 75231, Attention: Corporate Secretary. The Code of Business Conduct and Ethics is also available under the Corporate Governance link on the Investors’ page of our website at</w:t>
      </w:r>
    </w:p>
    <w:p>
      <w:pPr>
        <w:spacing w:after="0" w:line="285" w:lineRule="exact"/>
        <w:rPr>
          <w:sz w:val="20"/>
          <w:szCs w:val="20"/>
          <w:color w:val="auto"/>
        </w:rPr>
      </w:pPr>
    </w:p>
    <w:p>
      <w:pPr>
        <w:sectPr>
          <w:pgSz w:w="11900" w:h="16838" w:orient="portrait"/>
          <w:cols w:equalWidth="0" w:num="2">
            <w:col w:w="4380" w:space="240"/>
            <w:col w:w="4399"/>
          </w:cols>
          <w:pgMar w:left="1440" w:top="262" w:right="1440" w:bottom="1440" w:gutter="0" w:footer="0" w:header="0"/>
          <w:type w:val="continuous"/>
        </w:sect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18</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920" w:type="dxa"/>
            <w:vAlign w:val="bottom"/>
            <w:vMerge w:val="continue"/>
          </w:tcPr>
          <w:p>
            <w:pPr>
              <w:spacing w:after="0"/>
              <w:rPr>
                <w:sz w:val="23"/>
                <w:szCs w:val="23"/>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102870</wp:posOffset>
            </wp:positionV>
            <wp:extent cx="693801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-176530</wp:posOffset>
            </wp:positionV>
            <wp:extent cx="594995" cy="170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23" w:name="page24"/>
    <w:bookmarkEnd w:id="23"/>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right"/>
        <w:ind w:right="339"/>
        <w:spacing w:after="0"/>
        <w:rPr>
          <w:sz w:val="20"/>
          <w:szCs w:val="20"/>
          <w:color w:val="auto"/>
        </w:rPr>
      </w:pPr>
      <w:r>
        <w:rPr>
          <w:rFonts w:ascii="Arial" w:cs="Arial" w:eastAsia="Arial" w:hAnsi="Arial"/>
          <w:sz w:val="18"/>
          <w:szCs w:val="18"/>
          <w:b w:val="1"/>
          <w:bCs w:val="1"/>
          <w:color w:val="2A3D6C"/>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26" w:lineRule="exact"/>
        <w:rPr>
          <w:sz w:val="20"/>
          <w:szCs w:val="20"/>
          <w:color w:val="auto"/>
        </w:rPr>
      </w:pPr>
    </w:p>
    <w:p>
      <w:pPr>
        <w:ind w:left="320"/>
        <w:spacing w:after="0" w:line="248" w:lineRule="auto"/>
        <w:rPr>
          <w:sz w:val="20"/>
          <w:szCs w:val="20"/>
          <w:color w:val="auto"/>
        </w:rPr>
      </w:pPr>
      <w:r>
        <w:rPr>
          <w:rFonts w:ascii="Arial" w:cs="Arial" w:eastAsia="Arial" w:hAnsi="Arial"/>
          <w:sz w:val="16"/>
          <w:szCs w:val="16"/>
          <w:color w:val="auto"/>
        </w:rPr>
        <w:t>www.kosmosenergy.com. The information on our website is not incorporated by reference into this Proxy Statement. We will disclose any amendments to or waivers of the Code of Business Conduct and Ethics on our website at www.kosmosenergy.com. Our Audit Committee has established procedures to receive, retain and treat complaints regarding accounting, internal accounting controls or auditing matters, and to allow for the confidential, anonymous submission by our employees of concerns regarding questionable accounting or auditing matters.</w:t>
      </w:r>
    </w:p>
    <w:p>
      <w:pPr>
        <w:spacing w:after="0" w:line="78" w:lineRule="exact"/>
        <w:rPr>
          <w:sz w:val="20"/>
          <w:szCs w:val="20"/>
          <w:color w:val="auto"/>
        </w:rPr>
      </w:pPr>
    </w:p>
    <w:p>
      <w:pPr>
        <w:ind w:left="320" w:right="40"/>
        <w:spacing w:after="0" w:line="257" w:lineRule="auto"/>
        <w:rPr>
          <w:sz w:val="20"/>
          <w:szCs w:val="20"/>
          <w:color w:val="auto"/>
        </w:rPr>
      </w:pPr>
      <w:r>
        <w:rPr>
          <w:rFonts w:ascii="Arial" w:cs="Arial" w:eastAsia="Arial" w:hAnsi="Arial"/>
          <w:sz w:val="16"/>
          <w:szCs w:val="16"/>
          <w:color w:val="auto"/>
        </w:rPr>
        <w:t>We aim to maintain a diverse workforce and an inclusive culture, which improves our business performance and creates a fair, safe and respectful work environment for everyone. Our approach to</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379"/>
        <w:spacing w:after="0" w:line="247" w:lineRule="auto"/>
        <w:rPr>
          <w:sz w:val="20"/>
          <w:szCs w:val="20"/>
          <w:color w:val="auto"/>
        </w:rPr>
      </w:pPr>
      <w:r>
        <w:rPr>
          <w:rFonts w:ascii="Arial" w:cs="Arial" w:eastAsia="Arial" w:hAnsi="Arial"/>
          <w:sz w:val="16"/>
          <w:szCs w:val="16"/>
          <w:color w:val="auto"/>
        </w:rPr>
        <w:t>diversity and equal opportunity focuses on the full employee life-cycle, including hiring and onboarding, learning and development, performance management, reward and recognition, progression and retention. While we do not have a formal diversity policy, we comply with all laws and regulations relating to equal opportunities and non-discrimination. Furthermore, our Code of Business Conduct and Ethics includes a prohibition on discrimination of any criteria prohibited by law and the Nominating and Corporate Governance Committee has adopted a resolution to consider gender diversity as one of the factors in identifying qualifying candidates for membership on the board. Our diversity and equal opportunity approach is periodically reviewed.</w:t>
      </w:r>
    </w:p>
    <w:p>
      <w:pPr>
        <w:spacing w:after="0" w:line="409" w:lineRule="exact"/>
        <w:rPr>
          <w:sz w:val="20"/>
          <w:szCs w:val="20"/>
          <w:color w:val="auto"/>
        </w:rPr>
      </w:pPr>
    </w:p>
    <w:p>
      <w:pPr>
        <w:sectPr>
          <w:pgSz w:w="11900" w:h="16838" w:orient="portrait"/>
          <w:cols w:equalWidth="0" w:num="2">
            <w:col w:w="4380" w:space="24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Corporate Governance Guidelines</w:t>
      </w:r>
    </w:p>
    <w:p>
      <w:pPr>
        <w:spacing w:after="0" w:line="129" w:lineRule="exact"/>
        <w:rPr>
          <w:sz w:val="20"/>
          <w:szCs w:val="20"/>
          <w:color w:val="auto"/>
        </w:rPr>
      </w:pPr>
    </w:p>
    <w:p>
      <w:pPr>
        <w:ind w:left="320"/>
        <w:spacing w:after="0" w:line="249" w:lineRule="auto"/>
        <w:rPr>
          <w:sz w:val="20"/>
          <w:szCs w:val="20"/>
          <w:color w:val="auto"/>
        </w:rPr>
      </w:pPr>
      <w:r>
        <w:rPr>
          <w:rFonts w:ascii="Arial" w:cs="Arial" w:eastAsia="Arial" w:hAnsi="Arial"/>
          <w:sz w:val="16"/>
          <w:szCs w:val="16"/>
          <w:color w:val="auto"/>
        </w:rPr>
        <w:t>The Board has adopted Corporate Governance Guidelines in accordance with the corporate governance rules of the NYSE. In accordance with the corporate governance rules of the NYSE, we will provide any person, without charge and upon request, with a copy of our Corporate Governance Guidelines. Requests should be directed to us at Kosmos Energy Ltd., 8176 Park Lane, Dallas, Texas 75231, Attention: Corporate Secretary. The Corporate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399"/>
        <w:spacing w:after="0" w:line="250" w:lineRule="auto"/>
        <w:rPr>
          <w:sz w:val="20"/>
          <w:szCs w:val="20"/>
          <w:color w:val="auto"/>
        </w:rPr>
      </w:pPr>
      <w:r>
        <w:rPr>
          <w:rFonts w:ascii="Arial" w:cs="Arial" w:eastAsia="Arial" w:hAnsi="Arial"/>
          <w:sz w:val="16"/>
          <w:szCs w:val="16"/>
          <w:color w:val="auto"/>
        </w:rPr>
        <w:t>Governance Guidelines are also available under the Corporate Governance link on the Investors’ page of our website at www.kosmosenergy.com. The information on our website is not incorporated by reference into this Proxy Statement. We will disclose any amendments to the Corporate Governance Guidelines on our website at www.kosmosenergy.com.</w:t>
      </w:r>
    </w:p>
    <w:p>
      <w:pPr>
        <w:spacing w:after="0" w:line="500" w:lineRule="exact"/>
        <w:rPr>
          <w:sz w:val="20"/>
          <w:szCs w:val="20"/>
          <w:color w:val="auto"/>
        </w:rPr>
      </w:pPr>
    </w:p>
    <w:p>
      <w:pPr>
        <w:sectPr>
          <w:pgSz w:w="11900" w:h="16838" w:orient="portrait"/>
          <w:cols w:equalWidth="0" w:num="2">
            <w:col w:w="4340" w:space="28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Communications with the Board</w:t>
      </w:r>
    </w:p>
    <w:p>
      <w:pPr>
        <w:spacing w:after="0" w:line="129" w:lineRule="exact"/>
        <w:rPr>
          <w:sz w:val="20"/>
          <w:szCs w:val="20"/>
          <w:color w:val="auto"/>
        </w:rPr>
      </w:pPr>
    </w:p>
    <w:p>
      <w:pPr>
        <w:ind w:left="320"/>
        <w:spacing w:after="0" w:line="250" w:lineRule="auto"/>
        <w:rPr>
          <w:sz w:val="20"/>
          <w:szCs w:val="20"/>
          <w:color w:val="auto"/>
        </w:rPr>
      </w:pPr>
      <w:r>
        <w:rPr>
          <w:rFonts w:ascii="Arial" w:cs="Arial" w:eastAsia="Arial" w:hAnsi="Arial"/>
          <w:sz w:val="16"/>
          <w:szCs w:val="16"/>
          <w:color w:val="auto"/>
        </w:rPr>
        <w:t>Stockholders and other interested parties may communicate directly with our Board by sending a written communication in an envelope addressed to: Board of Directors, c/o Corporate Secretary, Kosmos Energy Ltd., 8176 Park Lane, Suite 500, Dallas, Texas 75231. These communications will be promptly forwarded by the Corporate Secretary to the Board.</w:t>
      </w:r>
    </w:p>
    <w:p>
      <w:pPr>
        <w:spacing w:after="0" w:line="78" w:lineRule="exact"/>
        <w:rPr>
          <w:sz w:val="20"/>
          <w:szCs w:val="20"/>
          <w:color w:val="auto"/>
        </w:rPr>
      </w:pPr>
    </w:p>
    <w:p>
      <w:pPr>
        <w:ind w:left="320" w:right="20"/>
        <w:spacing w:after="0" w:line="250" w:lineRule="auto"/>
        <w:rPr>
          <w:sz w:val="20"/>
          <w:szCs w:val="20"/>
          <w:color w:val="auto"/>
        </w:rPr>
      </w:pPr>
      <w:r>
        <w:rPr>
          <w:rFonts w:ascii="Arial" w:cs="Arial" w:eastAsia="Arial" w:hAnsi="Arial"/>
          <w:sz w:val="16"/>
          <w:szCs w:val="16"/>
          <w:color w:val="auto"/>
        </w:rPr>
        <w:t>Stockholders and other interested parties may communicate directly with our independent directors by sending a written communication in an envelope addressed to: Board of Directors, c/o Corporate Secretary, Kosmos Energy Ltd., 8176 Park Lane, Suite 500, Dallas, Texas 75231. These communications will be promptly forwarded to the independent directors.</w:t>
      </w:r>
    </w:p>
    <w:p>
      <w:pPr>
        <w:spacing w:after="0" w:line="78" w:lineRule="exact"/>
        <w:rPr>
          <w:sz w:val="20"/>
          <w:szCs w:val="20"/>
          <w:color w:val="auto"/>
        </w:rPr>
      </w:pPr>
    </w:p>
    <w:p>
      <w:pPr>
        <w:jc w:val="both"/>
        <w:ind w:left="320" w:right="420"/>
        <w:spacing w:after="0" w:line="263" w:lineRule="auto"/>
        <w:rPr>
          <w:sz w:val="20"/>
          <w:szCs w:val="20"/>
          <w:color w:val="auto"/>
        </w:rPr>
      </w:pPr>
      <w:r>
        <w:rPr>
          <w:rFonts w:ascii="Arial" w:cs="Arial" w:eastAsia="Arial" w:hAnsi="Arial"/>
          <w:sz w:val="16"/>
          <w:szCs w:val="16"/>
          <w:color w:val="auto"/>
        </w:rPr>
        <w:t>Our Audit Committee has established a process for communicating complaints regarding accounting or auditing matters. To submit a complaint, you may</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399"/>
        <w:spacing w:after="0" w:line="257" w:lineRule="auto"/>
        <w:rPr>
          <w:sz w:val="20"/>
          <w:szCs w:val="20"/>
          <w:color w:val="auto"/>
        </w:rPr>
      </w:pPr>
      <w:r>
        <w:rPr>
          <w:rFonts w:ascii="Arial" w:cs="Arial" w:eastAsia="Arial" w:hAnsi="Arial"/>
          <w:sz w:val="16"/>
          <w:szCs w:val="16"/>
          <w:color w:val="auto"/>
        </w:rPr>
        <w:t>send a written communication in an envelope addressed to: Audit Committee, c/o Corporate Secretary, Kosmos Energy Ltd., 8176 Park Lane, Suite 500, Dallas, Texas 75231.</w:t>
      </w:r>
    </w:p>
    <w:p>
      <w:pPr>
        <w:spacing w:after="0" w:line="69" w:lineRule="exact"/>
        <w:rPr>
          <w:sz w:val="20"/>
          <w:szCs w:val="20"/>
          <w:color w:val="auto"/>
        </w:rPr>
      </w:pPr>
    </w:p>
    <w:p>
      <w:pPr>
        <w:ind w:right="359"/>
        <w:spacing w:after="0" w:line="257" w:lineRule="auto"/>
        <w:rPr>
          <w:sz w:val="20"/>
          <w:szCs w:val="20"/>
          <w:color w:val="auto"/>
        </w:rPr>
      </w:pPr>
      <w:r>
        <w:rPr>
          <w:rFonts w:ascii="Arial" w:cs="Arial" w:eastAsia="Arial" w:hAnsi="Arial"/>
          <w:sz w:val="16"/>
          <w:szCs w:val="16"/>
          <w:color w:val="auto"/>
        </w:rPr>
        <w:t>Any such complaints received or submitted will be promptly forwarded by the Corporate Secretary to the Chair of the Audit Committee, to take such action as may be appropriate.</w:t>
      </w:r>
    </w:p>
    <w:p>
      <w:pPr>
        <w:spacing w:after="0" w:line="69" w:lineRule="exact"/>
        <w:rPr>
          <w:sz w:val="20"/>
          <w:szCs w:val="20"/>
          <w:color w:val="auto"/>
        </w:rPr>
      </w:pPr>
    </w:p>
    <w:p>
      <w:pPr>
        <w:ind w:right="419"/>
        <w:spacing w:after="0" w:line="250" w:lineRule="auto"/>
        <w:rPr>
          <w:sz w:val="20"/>
          <w:szCs w:val="20"/>
          <w:color w:val="auto"/>
        </w:rPr>
      </w:pPr>
      <w:r>
        <w:rPr>
          <w:rFonts w:ascii="Arial" w:cs="Arial" w:eastAsia="Arial" w:hAnsi="Arial"/>
          <w:sz w:val="16"/>
          <w:szCs w:val="16"/>
          <w:color w:val="auto"/>
        </w:rPr>
        <w:t>Stockholders and other interested parties may communicate directly with our Chairman of the Board by sending a written communication in an envelope addressed to: Chairman of the Board of Directors, c/o Corporate Secretary, Kosmos Energy Ltd., 8176 Park Lane, Suite 500, Dallas, Texas 75231. These communications will be promptly forwarded by the Corporate Secretary to the Chairman of the Board.</w:t>
      </w:r>
    </w:p>
    <w:p>
      <w:pPr>
        <w:spacing w:after="0" w:line="253" w:lineRule="exact"/>
        <w:rPr>
          <w:sz w:val="20"/>
          <w:szCs w:val="20"/>
          <w:color w:val="auto"/>
        </w:rPr>
      </w:pPr>
    </w:p>
    <w:p>
      <w:pPr>
        <w:ind w:left="178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130175</wp:posOffset>
            </wp:positionV>
            <wp:extent cx="693801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-149860</wp:posOffset>
            </wp:positionV>
            <wp:extent cx="594995" cy="170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2">
            <w:col w:w="4380" w:space="240"/>
            <w:col w:w="4399"/>
          </w:cols>
          <w:pgMar w:left="1440" w:top="262" w:right="1440" w:bottom="1440" w:gutter="0" w:footer="0" w:header="0"/>
          <w:type w:val="continuous"/>
        </w:sectPr>
      </w:pPr>
    </w:p>
    <w:bookmarkStart w:id="24" w:name="page25"/>
    <w:bookmarkEnd w:id="24"/>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245110</wp:posOffset>
            </wp:positionV>
            <wp:extent cx="53054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Arial" w:cs="Arial" w:eastAsia="Arial" w:hAnsi="Arial"/>
          <w:sz w:val="43"/>
          <w:szCs w:val="43"/>
          <w:color w:val="2A3D6C"/>
        </w:rPr>
        <w:t>DIRECTOR COMPENSATION</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2021 Director Compensation</w:t>
      </w:r>
    </w:p>
    <w:p>
      <w:pPr>
        <w:spacing w:after="0" w:line="129" w:lineRule="exact"/>
        <w:rPr>
          <w:sz w:val="20"/>
          <w:szCs w:val="20"/>
          <w:color w:val="auto"/>
        </w:rPr>
      </w:pPr>
    </w:p>
    <w:p>
      <w:pPr>
        <w:ind w:left="320" w:right="739"/>
        <w:spacing w:after="0" w:line="282" w:lineRule="auto"/>
        <w:rPr>
          <w:sz w:val="20"/>
          <w:szCs w:val="20"/>
          <w:color w:val="auto"/>
        </w:rPr>
      </w:pPr>
      <w:r>
        <w:rPr>
          <w:rFonts w:ascii="Arial" w:cs="Arial" w:eastAsia="Arial" w:hAnsi="Arial"/>
          <w:sz w:val="16"/>
          <w:szCs w:val="16"/>
          <w:color w:val="auto"/>
        </w:rPr>
        <w:t>The following table lists the individuals who served as our non-employee directors in 2021 and summarizes their 2021 compensation. Mr. Inglis did not receive any compensation for his service as a director in 2021.</w:t>
      </w:r>
    </w:p>
    <w:p>
      <w:pPr>
        <w:spacing w:after="0" w:line="24" w:lineRule="exact"/>
        <w:rPr>
          <w:sz w:val="20"/>
          <w:szCs w:val="20"/>
          <w:color w:val="auto"/>
        </w:rPr>
      </w:pPr>
    </w:p>
    <w:tbl>
      <w:tblPr>
        <w:tblLayout w:type="fixed"/>
        <w:tblInd w:w="320" w:type="dxa"/>
        <w:tblCellMar>
          <w:top w:w="0" w:type="dxa"/>
          <w:left w:w="0" w:type="dxa"/>
          <w:bottom w:w="0" w:type="dxa"/>
          <w:right w:w="0" w:type="dxa"/>
        </w:tblCellMar>
      </w:tblPr>
      <w:tr>
        <w:trPr>
          <w:trHeight w:val="254"/>
        </w:trPr>
        <w:tc>
          <w:tcPr>
            <w:tcW w:w="80" w:type="dxa"/>
            <w:vAlign w:val="bottom"/>
            <w:tcBorders>
              <w:right w:val="single" w:sz="8" w:color="717295"/>
            </w:tcBorders>
          </w:tcPr>
          <w:p>
            <w:pPr>
              <w:spacing w:after="0"/>
              <w:rPr>
                <w:sz w:val="20"/>
                <w:szCs w:val="20"/>
                <w:color w:val="auto"/>
              </w:rPr>
            </w:pPr>
            <w:r>
              <w:rPr>
                <w:rFonts w:ascii="Times New Roman" w:cs="Times New Roman" w:eastAsia="Times New Roman" w:hAnsi="Times New Roman"/>
                <w:sz w:val="4"/>
                <w:szCs w:val="4"/>
                <w:color w:val="auto"/>
              </w:rPr>
              <w:t>​</w:t>
            </w:r>
          </w:p>
        </w:tc>
        <w:tc>
          <w:tcPr>
            <w:tcW w:w="2220" w:type="dxa"/>
            <w:vAlign w:val="bottom"/>
            <w:vMerge w:val="restart"/>
            <w:shd w:val="clear" w:color="auto" w:fill="717295"/>
          </w:tcPr>
          <w:p>
            <w:pPr>
              <w:ind w:left="60"/>
              <w:spacing w:after="0"/>
              <w:rPr>
                <w:sz w:val="20"/>
                <w:szCs w:val="20"/>
                <w:color w:val="auto"/>
              </w:rPr>
            </w:pPr>
            <w:r>
              <w:rPr>
                <w:rFonts w:ascii="Arial" w:cs="Arial" w:eastAsia="Arial" w:hAnsi="Arial"/>
                <w:sz w:val="14"/>
                <w:szCs w:val="14"/>
                <w:b w:val="1"/>
                <w:bCs w:val="1"/>
                <w:color w:val="FFFFFF"/>
              </w:rPr>
              <w:t>Name</w:t>
            </w:r>
          </w:p>
        </w:tc>
        <w:tc>
          <w:tcPr>
            <w:tcW w:w="760" w:type="dxa"/>
            <w:vAlign w:val="bottom"/>
            <w:shd w:val="clear" w:color="auto" w:fill="717295"/>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717295"/>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Fees Earned or Paid</w:t>
            </w:r>
          </w:p>
        </w:tc>
        <w:tc>
          <w:tcPr>
            <w:tcW w:w="100" w:type="dxa"/>
            <w:vAlign w:val="bottom"/>
            <w:shd w:val="clear" w:color="auto" w:fill="717295"/>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717295"/>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Stock Awards</w:t>
            </w:r>
          </w:p>
        </w:tc>
        <w:tc>
          <w:tcPr>
            <w:tcW w:w="100" w:type="dxa"/>
            <w:vAlign w:val="bottom"/>
            <w:shd w:val="clear" w:color="auto" w:fill="717295"/>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717295"/>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All Other</w:t>
            </w:r>
          </w:p>
        </w:tc>
        <w:tc>
          <w:tcPr>
            <w:tcW w:w="60" w:type="dxa"/>
            <w:vAlign w:val="bottom"/>
            <w:shd w:val="clear" w:color="auto" w:fill="717295"/>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717295"/>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shd w:val="clear" w:color="auto" w:fill="717295"/>
          </w:tcPr>
          <w:p>
            <w:pPr>
              <w:jc w:val="right"/>
              <w:ind w:right="9"/>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8"/>
        </w:trPr>
        <w:tc>
          <w:tcPr>
            <w:tcW w:w="80" w:type="dxa"/>
            <w:vAlign w:val="bottom"/>
            <w:tcBorders>
              <w:right w:val="single" w:sz="8" w:color="717295"/>
            </w:tcBorders>
          </w:tcPr>
          <w:p>
            <w:pPr>
              <w:spacing w:after="0"/>
              <w:rPr>
                <w:sz w:val="19"/>
                <w:szCs w:val="19"/>
                <w:color w:val="auto"/>
              </w:rPr>
            </w:pPr>
          </w:p>
        </w:tc>
        <w:tc>
          <w:tcPr>
            <w:tcW w:w="2220" w:type="dxa"/>
            <w:vAlign w:val="bottom"/>
            <w:vMerge w:val="continue"/>
            <w:shd w:val="clear" w:color="auto" w:fill="717295"/>
          </w:tcPr>
          <w:p>
            <w:pPr>
              <w:spacing w:after="0"/>
              <w:rPr>
                <w:sz w:val="19"/>
                <w:szCs w:val="19"/>
                <w:color w:val="auto"/>
              </w:rPr>
            </w:pPr>
          </w:p>
        </w:tc>
        <w:tc>
          <w:tcPr>
            <w:tcW w:w="760" w:type="dxa"/>
            <w:vAlign w:val="bottom"/>
            <w:shd w:val="clear" w:color="auto" w:fill="717295"/>
          </w:tcPr>
          <w:p>
            <w:pPr>
              <w:spacing w:after="0"/>
              <w:rPr>
                <w:sz w:val="19"/>
                <w:szCs w:val="19"/>
                <w:color w:val="auto"/>
              </w:rPr>
            </w:pPr>
          </w:p>
        </w:tc>
        <w:tc>
          <w:tcPr>
            <w:tcW w:w="120" w:type="dxa"/>
            <w:vAlign w:val="bottom"/>
            <w:shd w:val="clear" w:color="auto" w:fill="717295"/>
          </w:tcPr>
          <w:p>
            <w:pPr>
              <w:spacing w:after="0"/>
              <w:rPr>
                <w:sz w:val="19"/>
                <w:szCs w:val="19"/>
                <w:color w:val="auto"/>
              </w:rPr>
            </w:pPr>
          </w:p>
        </w:tc>
        <w:tc>
          <w:tcPr>
            <w:tcW w:w="1460" w:type="dxa"/>
            <w:vAlign w:val="bottom"/>
            <w:shd w:val="clear" w:color="auto" w:fill="717295"/>
          </w:tcPr>
          <w:p>
            <w:pPr>
              <w:jc w:val="center"/>
              <w:ind w:left="22"/>
              <w:spacing w:after="0" w:line="228" w:lineRule="exact"/>
              <w:rPr>
                <w:sz w:val="20"/>
                <w:szCs w:val="20"/>
                <w:color w:val="auto"/>
              </w:rPr>
            </w:pPr>
            <w:r>
              <w:rPr>
                <w:rFonts w:ascii="Arial" w:cs="Arial" w:eastAsia="Arial" w:hAnsi="Arial"/>
                <w:sz w:val="14"/>
                <w:szCs w:val="14"/>
                <w:b w:val="1"/>
                <w:bCs w:val="1"/>
                <w:color w:val="FFFFFF"/>
                <w:w w:val="97"/>
              </w:rPr>
              <w:t>in Cash ($)</w:t>
            </w:r>
            <w:r>
              <w:rPr>
                <w:rFonts w:ascii="Arial" w:cs="Arial" w:eastAsia="Arial" w:hAnsi="Arial"/>
                <w:sz w:val="23"/>
                <w:szCs w:val="23"/>
                <w:b w:val="1"/>
                <w:bCs w:val="1"/>
                <w:color w:val="FFFFFF"/>
                <w:w w:val="97"/>
                <w:vertAlign w:val="superscript"/>
              </w:rPr>
              <w:t>(1)</w:t>
            </w:r>
          </w:p>
        </w:tc>
        <w:tc>
          <w:tcPr>
            <w:tcW w:w="100" w:type="dxa"/>
            <w:vAlign w:val="bottom"/>
            <w:shd w:val="clear" w:color="auto" w:fill="717295"/>
          </w:tcPr>
          <w:p>
            <w:pPr>
              <w:spacing w:after="0"/>
              <w:rPr>
                <w:sz w:val="19"/>
                <w:szCs w:val="19"/>
                <w:color w:val="auto"/>
              </w:rPr>
            </w:pPr>
          </w:p>
        </w:tc>
        <w:tc>
          <w:tcPr>
            <w:tcW w:w="140" w:type="dxa"/>
            <w:vAlign w:val="bottom"/>
            <w:shd w:val="clear" w:color="auto" w:fill="717295"/>
          </w:tcPr>
          <w:p>
            <w:pPr>
              <w:spacing w:after="0"/>
              <w:rPr>
                <w:sz w:val="19"/>
                <w:szCs w:val="19"/>
                <w:color w:val="auto"/>
              </w:rPr>
            </w:pPr>
          </w:p>
        </w:tc>
        <w:tc>
          <w:tcPr>
            <w:tcW w:w="1020" w:type="dxa"/>
            <w:vAlign w:val="bottom"/>
            <w:shd w:val="clear" w:color="auto" w:fill="717295"/>
          </w:tcPr>
          <w:p>
            <w:pPr>
              <w:jc w:val="center"/>
              <w:spacing w:after="0" w:line="228"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(2)</w:t>
            </w:r>
          </w:p>
        </w:tc>
        <w:tc>
          <w:tcPr>
            <w:tcW w:w="100" w:type="dxa"/>
            <w:vAlign w:val="bottom"/>
            <w:shd w:val="clear" w:color="auto" w:fill="717295"/>
          </w:tcPr>
          <w:p>
            <w:pPr>
              <w:spacing w:after="0"/>
              <w:rPr>
                <w:sz w:val="19"/>
                <w:szCs w:val="19"/>
                <w:color w:val="auto"/>
              </w:rPr>
            </w:pPr>
          </w:p>
        </w:tc>
        <w:tc>
          <w:tcPr>
            <w:tcW w:w="120" w:type="dxa"/>
            <w:vAlign w:val="bottom"/>
            <w:shd w:val="clear" w:color="auto" w:fill="717295"/>
          </w:tcPr>
          <w:p>
            <w:pPr>
              <w:spacing w:after="0"/>
              <w:rPr>
                <w:sz w:val="19"/>
                <w:szCs w:val="19"/>
                <w:color w:val="auto"/>
              </w:rPr>
            </w:pPr>
          </w:p>
        </w:tc>
        <w:tc>
          <w:tcPr>
            <w:tcW w:w="1280" w:type="dxa"/>
            <w:vAlign w:val="bottom"/>
            <w:shd w:val="clear" w:color="auto" w:fill="717295"/>
          </w:tcPr>
          <w:p>
            <w:pPr>
              <w:jc w:val="center"/>
              <w:ind w:left="2"/>
              <w:spacing w:after="0"/>
              <w:rPr>
                <w:sz w:val="20"/>
                <w:szCs w:val="20"/>
                <w:color w:val="auto"/>
              </w:rPr>
            </w:pPr>
            <w:r>
              <w:rPr>
                <w:rFonts w:ascii="Arial" w:cs="Arial" w:eastAsia="Arial" w:hAnsi="Arial"/>
                <w:sz w:val="14"/>
                <w:szCs w:val="14"/>
                <w:b w:val="1"/>
                <w:bCs w:val="1"/>
                <w:color w:val="FFFFFF"/>
              </w:rPr>
              <w:t>Compensation ($)</w:t>
            </w:r>
          </w:p>
        </w:tc>
        <w:tc>
          <w:tcPr>
            <w:tcW w:w="60" w:type="dxa"/>
            <w:vAlign w:val="bottom"/>
            <w:shd w:val="clear" w:color="auto" w:fill="717295"/>
          </w:tcPr>
          <w:p>
            <w:pPr>
              <w:spacing w:after="0"/>
              <w:rPr>
                <w:sz w:val="19"/>
                <w:szCs w:val="19"/>
                <w:color w:val="auto"/>
              </w:rPr>
            </w:pPr>
          </w:p>
        </w:tc>
        <w:tc>
          <w:tcPr>
            <w:tcW w:w="140" w:type="dxa"/>
            <w:vAlign w:val="bottom"/>
            <w:shd w:val="clear" w:color="auto" w:fill="717295"/>
          </w:tcPr>
          <w:p>
            <w:pPr>
              <w:spacing w:after="0"/>
              <w:rPr>
                <w:sz w:val="19"/>
                <w:szCs w:val="19"/>
                <w:color w:val="auto"/>
              </w:rPr>
            </w:pPr>
          </w:p>
        </w:tc>
        <w:tc>
          <w:tcPr>
            <w:tcW w:w="760" w:type="dxa"/>
            <w:vAlign w:val="bottom"/>
            <w:shd w:val="clear" w:color="auto" w:fill="717295"/>
          </w:tcPr>
          <w:p>
            <w:pPr>
              <w:jc w:val="right"/>
              <w:ind w:right="49"/>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75"/>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2220" w:type="dxa"/>
            <w:vAlign w:val="bottom"/>
            <w:tcBorders>
              <w:bottom w:val="single" w:sz="8" w:color="ACABC0"/>
            </w:tcBorders>
            <w:shd w:val="clear" w:color="auto" w:fill="ACABC0"/>
          </w:tcPr>
          <w:p>
            <w:pPr>
              <w:ind w:left="60"/>
              <w:spacing w:after="0"/>
              <w:rPr>
                <w:sz w:val="20"/>
                <w:szCs w:val="20"/>
                <w:color w:val="auto"/>
              </w:rPr>
            </w:pPr>
            <w:r>
              <w:rPr>
                <w:rFonts w:ascii="Arial" w:cs="Arial" w:eastAsia="Arial" w:hAnsi="Arial"/>
                <w:sz w:val="16"/>
                <w:szCs w:val="16"/>
                <w:color w:val="auto"/>
              </w:rPr>
              <w:t>Lisa Davis</w:t>
            </w:r>
          </w:p>
        </w:tc>
        <w:tc>
          <w:tcPr>
            <w:tcW w:w="760" w:type="dxa"/>
            <w:vAlign w:val="bottom"/>
            <w:tcBorders>
              <w:bottom w:val="single" w:sz="8" w:color="ACABC0"/>
            </w:tcBorders>
            <w:shd w:val="clear" w:color="auto" w:fill="ACABC0"/>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6"/>
                <w:szCs w:val="16"/>
                <w:color w:val="auto"/>
              </w:rPr>
              <w:t>60,000</w:t>
            </w:r>
          </w:p>
        </w:tc>
        <w:tc>
          <w:tcPr>
            <w:tcW w:w="10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6"/>
                <w:szCs w:val="16"/>
                <w:color w:val="auto"/>
              </w:rPr>
              <w:t>170,000</w:t>
            </w:r>
          </w:p>
        </w:tc>
        <w:tc>
          <w:tcPr>
            <w:tcW w:w="10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tcBorders>
              <w:bottom w:val="single" w:sz="8" w:color="ACABC0"/>
            </w:tcBorders>
            <w:shd w:val="clear" w:color="auto" w:fill="ACABC0"/>
          </w:tcPr>
          <w:p>
            <w:pPr>
              <w:jc w:val="center"/>
              <w:ind w:left="2"/>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CABC0"/>
            </w:tcBorders>
            <w:shd w:val="clear" w:color="auto" w:fill="ACABC0"/>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ACABC0"/>
            </w:tcBorders>
            <w:shd w:val="clear" w:color="auto" w:fill="ACABC0"/>
          </w:tcPr>
          <w:p>
            <w:pPr>
              <w:jc w:val="right"/>
              <w:ind w:right="9"/>
              <w:spacing w:after="0"/>
              <w:rPr>
                <w:sz w:val="20"/>
                <w:szCs w:val="20"/>
                <w:color w:val="auto"/>
              </w:rPr>
            </w:pPr>
            <w:r>
              <w:rPr>
                <w:rFonts w:ascii="Arial" w:cs="Arial" w:eastAsia="Arial" w:hAnsi="Arial"/>
                <w:sz w:val="16"/>
                <w:szCs w:val="16"/>
                <w:color w:val="auto"/>
              </w:rPr>
              <w:t xml:space="preserve">230,000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75"/>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2220" w:type="dxa"/>
            <w:vAlign w:val="bottom"/>
            <w:tcBorders>
              <w:bottom w:val="single" w:sz="8" w:color="F1F2F2"/>
            </w:tcBorders>
            <w:shd w:val="clear" w:color="auto" w:fill="F1F2F2"/>
          </w:tcPr>
          <w:p>
            <w:pPr>
              <w:ind w:left="60"/>
              <w:spacing w:after="0"/>
              <w:rPr>
                <w:sz w:val="20"/>
                <w:szCs w:val="20"/>
                <w:color w:val="auto"/>
              </w:rPr>
            </w:pPr>
            <w:r>
              <w:rPr>
                <w:rFonts w:ascii="Arial" w:cs="Arial" w:eastAsia="Arial" w:hAnsi="Arial"/>
                <w:sz w:val="16"/>
                <w:szCs w:val="16"/>
                <w:color w:val="auto"/>
              </w:rPr>
              <w:t>Sir Richard Dearlove</w:t>
            </w:r>
          </w:p>
        </w:tc>
        <w:tc>
          <w:tcPr>
            <w:tcW w:w="760" w:type="dxa"/>
            <w:vAlign w:val="bottom"/>
            <w:tcBorders>
              <w:bottom w:val="single" w:sz="8" w:color="F1F2F2"/>
            </w:tcBorders>
            <w:shd w:val="clear" w:color="auto" w:fill="F1F2F2"/>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F1F2F2"/>
            </w:tcBorders>
            <w:shd w:val="clear" w:color="auto" w:fill="F1F2F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Borders>
              <w:bottom w:val="single" w:sz="8" w:color="F1F2F2"/>
            </w:tcBorders>
            <w:shd w:val="clear" w:color="auto" w:fill="F1F2F2"/>
          </w:tcPr>
          <w:p>
            <w:pPr>
              <w:jc w:val="right"/>
              <w:ind w:right="362"/>
              <w:spacing w:after="0"/>
              <w:rPr>
                <w:sz w:val="20"/>
                <w:szCs w:val="20"/>
                <w:color w:val="auto"/>
              </w:rPr>
            </w:pPr>
            <w:r>
              <w:rPr>
                <w:rFonts w:ascii="Arial" w:cs="Arial" w:eastAsia="Arial" w:hAnsi="Arial"/>
                <w:sz w:val="16"/>
                <w:szCs w:val="16"/>
                <w:color w:val="auto"/>
              </w:rPr>
              <w:t>110,000</w:t>
            </w:r>
          </w:p>
        </w:tc>
        <w:tc>
          <w:tcPr>
            <w:tcW w:w="10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F1F2F2"/>
            </w:tcBorders>
            <w:shd w:val="clear" w:color="auto" w:fill="F1F2F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6"/>
                <w:szCs w:val="16"/>
                <w:color w:val="auto"/>
              </w:rPr>
              <w:t>170,000</w:t>
            </w:r>
          </w:p>
        </w:tc>
        <w:tc>
          <w:tcPr>
            <w:tcW w:w="10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F1F2F2"/>
            </w:tcBorders>
            <w:shd w:val="clear" w:color="auto" w:fill="F1F2F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tcBorders>
              <w:bottom w:val="single" w:sz="8" w:color="F1F2F2"/>
            </w:tcBorders>
            <w:shd w:val="clear" w:color="auto" w:fill="F1F2F2"/>
          </w:tcPr>
          <w:p>
            <w:pPr>
              <w:jc w:val="center"/>
              <w:ind w:left="2"/>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F1F2F2"/>
            </w:tcBorders>
            <w:shd w:val="clear" w:color="auto" w:fill="F1F2F2"/>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F1F2F2"/>
            </w:tcBorders>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F1F2F2"/>
            </w:tcBorders>
            <w:shd w:val="clear" w:color="auto" w:fill="F1F2F2"/>
          </w:tcPr>
          <w:p>
            <w:pPr>
              <w:jc w:val="right"/>
              <w:ind w:right="9"/>
              <w:spacing w:after="0"/>
              <w:rPr>
                <w:sz w:val="20"/>
                <w:szCs w:val="20"/>
                <w:color w:val="auto"/>
              </w:rPr>
            </w:pPr>
            <w:r>
              <w:rPr>
                <w:rFonts w:ascii="Arial" w:cs="Arial" w:eastAsia="Arial" w:hAnsi="Arial"/>
                <w:sz w:val="16"/>
                <w:szCs w:val="16"/>
                <w:color w:val="auto"/>
              </w:rPr>
              <w:t xml:space="preserve">280,000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75"/>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2220" w:type="dxa"/>
            <w:vAlign w:val="bottom"/>
            <w:tcBorders>
              <w:bottom w:val="single" w:sz="8" w:color="ACABC0"/>
            </w:tcBorders>
            <w:shd w:val="clear" w:color="auto" w:fill="ACABC0"/>
          </w:tcPr>
          <w:p>
            <w:pPr>
              <w:ind w:left="60"/>
              <w:spacing w:after="0"/>
              <w:rPr>
                <w:sz w:val="20"/>
                <w:szCs w:val="20"/>
                <w:color w:val="auto"/>
              </w:rPr>
            </w:pPr>
            <w:r>
              <w:rPr>
                <w:rFonts w:ascii="Arial" w:cs="Arial" w:eastAsia="Arial" w:hAnsi="Arial"/>
                <w:sz w:val="16"/>
                <w:szCs w:val="16"/>
                <w:color w:val="auto"/>
              </w:rPr>
              <w:t>Deanna Goodwin</w:t>
            </w:r>
          </w:p>
        </w:tc>
        <w:tc>
          <w:tcPr>
            <w:tcW w:w="760" w:type="dxa"/>
            <w:vAlign w:val="bottom"/>
            <w:tcBorders>
              <w:bottom w:val="single" w:sz="8" w:color="ACABC0"/>
            </w:tcBorders>
            <w:shd w:val="clear" w:color="auto" w:fill="ACABC0"/>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6"/>
                <w:szCs w:val="16"/>
                <w:color w:val="auto"/>
              </w:rPr>
              <w:t>85,000</w:t>
            </w:r>
          </w:p>
        </w:tc>
        <w:tc>
          <w:tcPr>
            <w:tcW w:w="10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6"/>
                <w:szCs w:val="16"/>
                <w:color w:val="auto"/>
              </w:rPr>
              <w:t>170,000</w:t>
            </w:r>
          </w:p>
        </w:tc>
        <w:tc>
          <w:tcPr>
            <w:tcW w:w="10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tcBorders>
              <w:bottom w:val="single" w:sz="8" w:color="ACABC0"/>
            </w:tcBorders>
            <w:shd w:val="clear" w:color="auto" w:fill="ACABC0"/>
          </w:tcPr>
          <w:p>
            <w:pPr>
              <w:jc w:val="center"/>
              <w:ind w:left="2"/>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CABC0"/>
            </w:tcBorders>
            <w:shd w:val="clear" w:color="auto" w:fill="ACABC0"/>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ACABC0"/>
            </w:tcBorders>
            <w:shd w:val="clear" w:color="auto" w:fill="ACABC0"/>
          </w:tcPr>
          <w:p>
            <w:pPr>
              <w:jc w:val="right"/>
              <w:ind w:right="9"/>
              <w:spacing w:after="0"/>
              <w:rPr>
                <w:sz w:val="20"/>
                <w:szCs w:val="20"/>
                <w:color w:val="auto"/>
              </w:rPr>
            </w:pPr>
            <w:r>
              <w:rPr>
                <w:rFonts w:ascii="Arial" w:cs="Arial" w:eastAsia="Arial" w:hAnsi="Arial"/>
                <w:sz w:val="16"/>
                <w:szCs w:val="16"/>
                <w:color w:val="auto"/>
              </w:rPr>
              <w:t xml:space="preserve">255,000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75"/>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2220" w:type="dxa"/>
            <w:vAlign w:val="bottom"/>
            <w:tcBorders>
              <w:bottom w:val="single" w:sz="8" w:color="F1F2F2"/>
            </w:tcBorders>
            <w:shd w:val="clear" w:color="auto" w:fill="F1F2F2"/>
          </w:tcPr>
          <w:p>
            <w:pPr>
              <w:ind w:left="60"/>
              <w:spacing w:after="0"/>
              <w:rPr>
                <w:sz w:val="20"/>
                <w:szCs w:val="20"/>
                <w:color w:val="auto"/>
              </w:rPr>
            </w:pPr>
            <w:r>
              <w:rPr>
                <w:rFonts w:ascii="Arial" w:cs="Arial" w:eastAsia="Arial" w:hAnsi="Arial"/>
                <w:sz w:val="16"/>
                <w:szCs w:val="16"/>
                <w:color w:val="auto"/>
              </w:rPr>
              <w:t>Adebayo Ogunlesi</w:t>
            </w:r>
          </w:p>
        </w:tc>
        <w:tc>
          <w:tcPr>
            <w:tcW w:w="760" w:type="dxa"/>
            <w:vAlign w:val="bottom"/>
            <w:tcBorders>
              <w:bottom w:val="single" w:sz="8" w:color="F1F2F2"/>
            </w:tcBorders>
            <w:shd w:val="clear" w:color="auto" w:fill="F1F2F2"/>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F1F2F2"/>
            </w:tcBorders>
            <w:shd w:val="clear" w:color="auto" w:fill="F1F2F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6"/>
                <w:szCs w:val="16"/>
                <w:color w:val="auto"/>
              </w:rPr>
              <w:t>85,000</w:t>
            </w:r>
          </w:p>
        </w:tc>
        <w:tc>
          <w:tcPr>
            <w:tcW w:w="10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F1F2F2"/>
            </w:tcBorders>
            <w:shd w:val="clear" w:color="auto" w:fill="F1F2F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6"/>
                <w:szCs w:val="16"/>
                <w:color w:val="auto"/>
              </w:rPr>
              <w:t>170,000</w:t>
            </w:r>
          </w:p>
        </w:tc>
        <w:tc>
          <w:tcPr>
            <w:tcW w:w="10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F1F2F2"/>
            </w:tcBorders>
            <w:shd w:val="clear" w:color="auto" w:fill="F1F2F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tcBorders>
              <w:bottom w:val="single" w:sz="8" w:color="F1F2F2"/>
            </w:tcBorders>
            <w:shd w:val="clear" w:color="auto" w:fill="F1F2F2"/>
          </w:tcPr>
          <w:p>
            <w:pPr>
              <w:jc w:val="center"/>
              <w:ind w:left="2"/>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F1F2F2"/>
            </w:tcBorders>
            <w:shd w:val="clear" w:color="auto" w:fill="F1F2F2"/>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F1F2F2"/>
            </w:tcBorders>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F1F2F2"/>
            </w:tcBorders>
            <w:shd w:val="clear" w:color="auto" w:fill="F1F2F2"/>
          </w:tcPr>
          <w:p>
            <w:pPr>
              <w:jc w:val="right"/>
              <w:ind w:right="9"/>
              <w:spacing w:after="0"/>
              <w:rPr>
                <w:sz w:val="20"/>
                <w:szCs w:val="20"/>
                <w:color w:val="auto"/>
              </w:rPr>
            </w:pPr>
            <w:r>
              <w:rPr>
                <w:rFonts w:ascii="Arial" w:cs="Arial" w:eastAsia="Arial" w:hAnsi="Arial"/>
                <w:sz w:val="16"/>
                <w:szCs w:val="16"/>
                <w:color w:val="auto"/>
              </w:rPr>
              <w:t xml:space="preserve">255,000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75"/>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2220" w:type="dxa"/>
            <w:vAlign w:val="bottom"/>
            <w:tcBorders>
              <w:bottom w:val="single" w:sz="8" w:color="ACABC0"/>
            </w:tcBorders>
            <w:shd w:val="clear" w:color="auto" w:fill="ACABC0"/>
          </w:tcPr>
          <w:p>
            <w:pPr>
              <w:ind w:left="60"/>
              <w:spacing w:after="0"/>
              <w:rPr>
                <w:sz w:val="20"/>
                <w:szCs w:val="20"/>
                <w:color w:val="auto"/>
              </w:rPr>
            </w:pPr>
            <w:r>
              <w:rPr>
                <w:rFonts w:ascii="Arial" w:cs="Arial" w:eastAsia="Arial" w:hAnsi="Arial"/>
                <w:sz w:val="16"/>
                <w:szCs w:val="16"/>
                <w:color w:val="auto"/>
              </w:rPr>
              <w:t>Steven Sterin</w:t>
            </w:r>
          </w:p>
        </w:tc>
        <w:tc>
          <w:tcPr>
            <w:tcW w:w="760" w:type="dxa"/>
            <w:vAlign w:val="bottom"/>
            <w:tcBorders>
              <w:bottom w:val="single" w:sz="8" w:color="ACABC0"/>
            </w:tcBorders>
            <w:shd w:val="clear" w:color="auto" w:fill="ACABC0"/>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Borders>
              <w:bottom w:val="single" w:sz="8" w:color="ACABC0"/>
            </w:tcBorders>
            <w:shd w:val="clear" w:color="auto" w:fill="ACABC0"/>
          </w:tcPr>
          <w:p>
            <w:pPr>
              <w:jc w:val="right"/>
              <w:ind w:right="362"/>
              <w:spacing w:after="0"/>
              <w:rPr>
                <w:sz w:val="20"/>
                <w:szCs w:val="20"/>
                <w:color w:val="auto"/>
              </w:rPr>
            </w:pPr>
            <w:r>
              <w:rPr>
                <w:rFonts w:ascii="Arial" w:cs="Arial" w:eastAsia="Arial" w:hAnsi="Arial"/>
                <w:sz w:val="16"/>
                <w:szCs w:val="16"/>
                <w:color w:val="auto"/>
              </w:rPr>
              <w:t>110,000</w:t>
            </w:r>
          </w:p>
        </w:tc>
        <w:tc>
          <w:tcPr>
            <w:tcW w:w="10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6"/>
                <w:szCs w:val="16"/>
                <w:color w:val="auto"/>
              </w:rPr>
              <w:t>170,000</w:t>
            </w:r>
          </w:p>
        </w:tc>
        <w:tc>
          <w:tcPr>
            <w:tcW w:w="10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tcBorders>
              <w:bottom w:val="single" w:sz="8" w:color="ACABC0"/>
            </w:tcBorders>
            <w:shd w:val="clear" w:color="auto" w:fill="ACABC0"/>
          </w:tcPr>
          <w:p>
            <w:pPr>
              <w:jc w:val="center"/>
              <w:ind w:left="2"/>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CABC0"/>
            </w:tcBorders>
            <w:shd w:val="clear" w:color="auto" w:fill="ACABC0"/>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ACABC0"/>
            </w:tcBorders>
            <w:shd w:val="clear" w:color="auto" w:fill="ACABC0"/>
          </w:tcPr>
          <w:p>
            <w:pPr>
              <w:jc w:val="right"/>
              <w:ind w:right="9"/>
              <w:spacing w:after="0"/>
              <w:rPr>
                <w:sz w:val="20"/>
                <w:szCs w:val="20"/>
                <w:color w:val="auto"/>
              </w:rPr>
            </w:pPr>
            <w:r>
              <w:rPr>
                <w:rFonts w:ascii="Arial" w:cs="Arial" w:eastAsia="Arial" w:hAnsi="Arial"/>
                <w:sz w:val="16"/>
                <w:szCs w:val="16"/>
                <w:color w:val="auto"/>
              </w:rPr>
              <w:t xml:space="preserve">280,000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68"/>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2220" w:type="dxa"/>
            <w:vAlign w:val="bottom"/>
            <w:shd w:val="clear" w:color="auto" w:fill="F1F2F2"/>
          </w:tcPr>
          <w:p>
            <w:pPr>
              <w:ind w:left="60"/>
              <w:spacing w:after="0"/>
              <w:rPr>
                <w:sz w:val="20"/>
                <w:szCs w:val="20"/>
                <w:color w:val="auto"/>
              </w:rPr>
            </w:pPr>
            <w:r>
              <w:rPr>
                <w:rFonts w:ascii="Arial" w:cs="Arial" w:eastAsia="Arial" w:hAnsi="Arial"/>
                <w:sz w:val="16"/>
                <w:szCs w:val="16"/>
                <w:color w:val="auto"/>
              </w:rPr>
              <w:t>Roy A. Franklin</w:t>
            </w:r>
          </w:p>
        </w:tc>
        <w:tc>
          <w:tcPr>
            <w:tcW w:w="760" w:type="dxa"/>
            <w:vAlign w:val="bottom"/>
            <w:shd w:val="clear" w:color="auto" w:fill="F1F2F2"/>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F1F2F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shd w:val="clear" w:color="auto" w:fill="F1F2F2"/>
          </w:tcPr>
          <w:p>
            <w:pPr>
              <w:jc w:val="center"/>
              <w:spacing w:after="0"/>
              <w:rPr>
                <w:sz w:val="20"/>
                <w:szCs w:val="20"/>
                <w:color w:val="auto"/>
              </w:rPr>
            </w:pPr>
            <w:r>
              <w:rPr>
                <w:rFonts w:ascii="Arial" w:cs="Arial" w:eastAsia="Arial" w:hAnsi="Arial"/>
                <w:sz w:val="16"/>
                <w:szCs w:val="16"/>
                <w:color w:val="auto"/>
                <w:w w:val="98"/>
              </w:rPr>
              <w:t>33,698</w:t>
            </w:r>
          </w:p>
        </w:tc>
        <w:tc>
          <w:tcPr>
            <w:tcW w:w="10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F1F2F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shd w:val="clear" w:color="auto" w:fill="F1F2F2"/>
          </w:tcPr>
          <w:p>
            <w:pPr>
              <w:jc w:val="center"/>
              <w:spacing w:after="0"/>
              <w:rPr>
                <w:sz w:val="20"/>
                <w:szCs w:val="20"/>
                <w:color w:val="auto"/>
              </w:rPr>
            </w:pPr>
            <w:r>
              <w:rPr>
                <w:rFonts w:ascii="Arial" w:cs="Arial" w:eastAsia="Arial" w:hAnsi="Arial"/>
                <w:sz w:val="16"/>
                <w:szCs w:val="16"/>
                <w:color w:val="auto"/>
              </w:rPr>
              <w:t>170,000</w:t>
            </w:r>
          </w:p>
        </w:tc>
        <w:tc>
          <w:tcPr>
            <w:tcW w:w="10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F1F2F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shd w:val="clear" w:color="auto" w:fill="F1F2F2"/>
          </w:tcPr>
          <w:p>
            <w:pPr>
              <w:jc w:val="center"/>
              <w:ind w:left="2"/>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F1F2F2"/>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shd w:val="clear" w:color="auto" w:fill="F1F2F2"/>
          </w:tcPr>
          <w:p>
            <w:pPr>
              <w:jc w:val="right"/>
              <w:ind w:right="9"/>
              <w:spacing w:after="0"/>
              <w:rPr>
                <w:sz w:val="20"/>
                <w:szCs w:val="20"/>
                <w:color w:val="auto"/>
              </w:rPr>
            </w:pPr>
            <w:r>
              <w:rPr>
                <w:rFonts w:ascii="Arial" w:cs="Arial" w:eastAsia="Arial" w:hAnsi="Arial"/>
                <w:sz w:val="16"/>
                <w:szCs w:val="16"/>
                <w:color w:val="auto"/>
              </w:rPr>
              <w:t xml:space="preserve">203,698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118745</wp:posOffset>
            </wp:positionV>
            <wp:extent cx="8159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217" w:lineRule="exact"/>
        <w:rPr>
          <w:sz w:val="20"/>
          <w:szCs w:val="20"/>
          <w:color w:val="auto"/>
        </w:rPr>
      </w:pPr>
    </w:p>
    <w:p>
      <w:pPr>
        <w:ind w:left="680" w:right="419" w:hanging="354"/>
        <w:spacing w:after="0" w:line="234" w:lineRule="auto"/>
        <w:tabs>
          <w:tab w:leader="none" w:pos="6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Each of our non-employee directors is entitled to (i) an annual cash retainer for service on the Board and (ii) an additional cash retainer if the director chairs a Board committee, in each case, paid quarterly and, if applicable, prorated for the portion of the year that the director serves on the Board or committee. Mr. Franklin was elected to the Board on June 9, 2021 and received pro-rated annual retainer fees for 2021. The table below sets forth the annualized cash retainers for the period from January 1, 2021 to December 31, 2021.</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268"/>
        </w:trPr>
        <w:tc>
          <w:tcPr>
            <w:tcW w:w="80" w:type="dxa"/>
            <w:vAlign w:val="bottom"/>
            <w:shd w:val="clear" w:color="auto" w:fill="717295"/>
          </w:tcPr>
          <w:p>
            <w:pPr>
              <w:spacing w:after="0"/>
              <w:rPr>
                <w:sz w:val="20"/>
                <w:szCs w:val="20"/>
                <w:color w:val="auto"/>
              </w:rPr>
            </w:pPr>
            <w:r>
              <w:rPr>
                <w:rFonts w:ascii="Times New Roman" w:cs="Times New Roman" w:eastAsia="Times New Roman" w:hAnsi="Times New Roman"/>
                <w:sz w:val="4"/>
                <w:szCs w:val="4"/>
                <w:color w:val="auto"/>
              </w:rPr>
              <w:t>​</w:t>
            </w:r>
          </w:p>
        </w:tc>
        <w:tc>
          <w:tcPr>
            <w:tcW w:w="5520" w:type="dxa"/>
            <w:vAlign w:val="bottom"/>
            <w:vMerge w:val="restart"/>
            <w:shd w:val="clear" w:color="auto" w:fill="717295"/>
          </w:tcPr>
          <w:p>
            <w:pPr>
              <w:ind w:left="80"/>
              <w:spacing w:after="0"/>
              <w:rPr>
                <w:sz w:val="20"/>
                <w:szCs w:val="20"/>
                <w:color w:val="auto"/>
              </w:rPr>
            </w:pPr>
            <w:r>
              <w:rPr>
                <w:rFonts w:ascii="Arial" w:cs="Arial" w:eastAsia="Arial" w:hAnsi="Arial"/>
                <w:sz w:val="14"/>
                <w:szCs w:val="14"/>
                <w:b w:val="1"/>
                <w:bCs w:val="1"/>
                <w:color w:val="FFFFFF"/>
              </w:rPr>
              <w:t>Type of Retainer</w:t>
            </w:r>
          </w:p>
        </w:tc>
        <w:tc>
          <w:tcPr>
            <w:tcW w:w="1240" w:type="dxa"/>
            <w:vAlign w:val="bottom"/>
            <w:shd w:val="clear" w:color="auto" w:fill="717295"/>
          </w:tcPr>
          <w:p>
            <w:pPr>
              <w:ind w:left="1160"/>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Retainer</w:t>
            </w:r>
          </w:p>
        </w:tc>
        <w:tc>
          <w:tcPr>
            <w:tcW w:w="100" w:type="dxa"/>
            <w:vAlign w:val="bottom"/>
            <w:shd w:val="clear" w:color="auto" w:fill="717295"/>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4"/>
        </w:trPr>
        <w:tc>
          <w:tcPr>
            <w:tcW w:w="80" w:type="dxa"/>
            <w:vAlign w:val="bottom"/>
            <w:shd w:val="clear" w:color="auto" w:fill="717295"/>
          </w:tcPr>
          <w:p>
            <w:pPr>
              <w:spacing w:after="0"/>
              <w:rPr>
                <w:sz w:val="18"/>
                <w:szCs w:val="18"/>
                <w:color w:val="auto"/>
              </w:rPr>
            </w:pPr>
          </w:p>
        </w:tc>
        <w:tc>
          <w:tcPr>
            <w:tcW w:w="5520" w:type="dxa"/>
            <w:vAlign w:val="bottom"/>
            <w:vMerge w:val="continue"/>
            <w:shd w:val="clear" w:color="auto" w:fill="717295"/>
          </w:tcPr>
          <w:p>
            <w:pPr>
              <w:spacing w:after="0"/>
              <w:rPr>
                <w:sz w:val="18"/>
                <w:szCs w:val="18"/>
                <w:color w:val="auto"/>
              </w:rPr>
            </w:pPr>
          </w:p>
        </w:tc>
        <w:tc>
          <w:tcPr>
            <w:tcW w:w="1240" w:type="dxa"/>
            <w:vAlign w:val="bottom"/>
            <w:shd w:val="clear" w:color="auto" w:fill="717295"/>
          </w:tcPr>
          <w:p>
            <w:pPr>
              <w:spacing w:after="0"/>
              <w:rPr>
                <w:sz w:val="18"/>
                <w:szCs w:val="18"/>
                <w:color w:val="auto"/>
              </w:rPr>
            </w:pPr>
          </w:p>
        </w:tc>
        <w:tc>
          <w:tcPr>
            <w:tcW w:w="108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(Annualized) ($)</w:t>
            </w:r>
          </w:p>
        </w:tc>
        <w:tc>
          <w:tcPr>
            <w:tcW w:w="100" w:type="dxa"/>
            <w:vAlign w:val="bottom"/>
            <w:shd w:val="clear" w:color="auto" w:fill="717295"/>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0" w:type="dxa"/>
            <w:vAlign w:val="bottom"/>
            <w:tcBorders>
              <w:bottom w:val="single" w:sz="8" w:color="ACABC0"/>
            </w:tcBorders>
            <w:shd w:val="clear" w:color="auto" w:fill="ACABC0"/>
          </w:tcPr>
          <w:p>
            <w:pPr>
              <w:spacing w:after="0"/>
              <w:rPr>
                <w:sz w:val="20"/>
                <w:szCs w:val="20"/>
                <w:color w:val="auto"/>
              </w:rPr>
            </w:pPr>
            <w:r>
              <w:rPr>
                <w:rFonts w:ascii="Times New Roman" w:cs="Times New Roman" w:eastAsia="Times New Roman" w:hAnsi="Times New Roman"/>
                <w:sz w:val="4"/>
                <w:szCs w:val="4"/>
                <w:color w:val="auto"/>
              </w:rPr>
              <w:t>​</w:t>
            </w:r>
          </w:p>
        </w:tc>
        <w:tc>
          <w:tcPr>
            <w:tcW w:w="5520" w:type="dxa"/>
            <w:vAlign w:val="bottom"/>
            <w:tcBorders>
              <w:bottom w:val="single" w:sz="8" w:color="ACABC0"/>
            </w:tcBorders>
            <w:shd w:val="clear" w:color="auto" w:fill="ACABC0"/>
          </w:tcPr>
          <w:p>
            <w:pPr>
              <w:ind w:left="80"/>
              <w:spacing w:after="0"/>
              <w:rPr>
                <w:sz w:val="20"/>
                <w:szCs w:val="20"/>
                <w:color w:val="auto"/>
              </w:rPr>
            </w:pPr>
            <w:r>
              <w:rPr>
                <w:rFonts w:ascii="Arial" w:cs="Arial" w:eastAsia="Arial" w:hAnsi="Arial"/>
                <w:sz w:val="15"/>
                <w:szCs w:val="15"/>
                <w:color w:val="auto"/>
              </w:rPr>
              <w:t>Board Member</w:t>
            </w:r>
          </w:p>
        </w:tc>
        <w:tc>
          <w:tcPr>
            <w:tcW w:w="1240" w:type="dxa"/>
            <w:vAlign w:val="bottom"/>
            <w:tcBorders>
              <w:bottom w:val="single" w:sz="8" w:color="ACABC0"/>
            </w:tcBorders>
            <w:shd w:val="clear" w:color="auto" w:fill="ACABC0"/>
          </w:tcPr>
          <w:p>
            <w:pPr>
              <w:ind w:left="1160"/>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5"/>
                <w:szCs w:val="15"/>
                <w:color w:val="auto"/>
              </w:rPr>
              <w:t>60,000</w:t>
            </w:r>
          </w:p>
        </w:tc>
        <w:tc>
          <w:tcPr>
            <w:tcW w:w="10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8"/>
        </w:trPr>
        <w:tc>
          <w:tcPr>
            <w:tcW w:w="80" w:type="dxa"/>
            <w:vAlign w:val="bottom"/>
            <w:tcBorders>
              <w:bottom w:val="single" w:sz="8" w:color="F1F2F2"/>
            </w:tcBorders>
            <w:shd w:val="clear" w:color="auto" w:fill="F1F2F2"/>
          </w:tcPr>
          <w:p>
            <w:pPr>
              <w:spacing w:after="0"/>
              <w:rPr>
                <w:sz w:val="20"/>
                <w:szCs w:val="20"/>
                <w:color w:val="auto"/>
              </w:rPr>
            </w:pPr>
            <w:r>
              <w:rPr>
                <w:rFonts w:ascii="Times New Roman" w:cs="Times New Roman" w:eastAsia="Times New Roman" w:hAnsi="Times New Roman"/>
                <w:sz w:val="4"/>
                <w:szCs w:val="4"/>
                <w:color w:val="auto"/>
              </w:rPr>
              <w:t>​</w:t>
            </w:r>
          </w:p>
        </w:tc>
        <w:tc>
          <w:tcPr>
            <w:tcW w:w="5520" w:type="dxa"/>
            <w:vAlign w:val="bottom"/>
            <w:tcBorders>
              <w:bottom w:val="single" w:sz="8" w:color="F1F2F2"/>
            </w:tcBorders>
            <w:shd w:val="clear" w:color="auto" w:fill="F1F2F2"/>
          </w:tcPr>
          <w:p>
            <w:pPr>
              <w:ind w:left="80"/>
              <w:spacing w:after="0"/>
              <w:rPr>
                <w:sz w:val="20"/>
                <w:szCs w:val="20"/>
                <w:color w:val="auto"/>
              </w:rPr>
            </w:pPr>
            <w:r>
              <w:rPr>
                <w:rFonts w:ascii="Arial" w:cs="Arial" w:eastAsia="Arial" w:hAnsi="Arial"/>
                <w:sz w:val="15"/>
                <w:szCs w:val="15"/>
                <w:color w:val="auto"/>
              </w:rPr>
              <w:t>Audit Committee Chair</w:t>
            </w:r>
          </w:p>
        </w:tc>
        <w:tc>
          <w:tcPr>
            <w:tcW w:w="1240" w:type="dxa"/>
            <w:vAlign w:val="bottom"/>
            <w:tcBorders>
              <w:bottom w:val="single" w:sz="8" w:color="F1F2F2"/>
            </w:tcBorders>
            <w:shd w:val="clear" w:color="auto" w:fill="F1F2F2"/>
          </w:tcPr>
          <w:p>
            <w:pPr>
              <w:ind w:left="1160"/>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5"/>
                <w:szCs w:val="15"/>
                <w:color w:val="auto"/>
              </w:rPr>
              <w:t>50,000</w:t>
            </w:r>
          </w:p>
        </w:tc>
        <w:tc>
          <w:tcPr>
            <w:tcW w:w="10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8"/>
        </w:trPr>
        <w:tc>
          <w:tcPr>
            <w:tcW w:w="80" w:type="dxa"/>
            <w:vAlign w:val="bottom"/>
            <w:tcBorders>
              <w:bottom w:val="single" w:sz="8" w:color="ACABC0"/>
            </w:tcBorders>
            <w:shd w:val="clear" w:color="auto" w:fill="ACABC0"/>
          </w:tcPr>
          <w:p>
            <w:pPr>
              <w:spacing w:after="0"/>
              <w:rPr>
                <w:sz w:val="20"/>
                <w:szCs w:val="20"/>
                <w:color w:val="auto"/>
              </w:rPr>
            </w:pPr>
            <w:r>
              <w:rPr>
                <w:rFonts w:ascii="Times New Roman" w:cs="Times New Roman" w:eastAsia="Times New Roman" w:hAnsi="Times New Roman"/>
                <w:sz w:val="4"/>
                <w:szCs w:val="4"/>
                <w:color w:val="auto"/>
              </w:rPr>
              <w:t>​</w:t>
            </w:r>
          </w:p>
        </w:tc>
        <w:tc>
          <w:tcPr>
            <w:tcW w:w="5520" w:type="dxa"/>
            <w:vAlign w:val="bottom"/>
            <w:tcBorders>
              <w:bottom w:val="single" w:sz="8" w:color="ACABC0"/>
            </w:tcBorders>
            <w:shd w:val="clear" w:color="auto" w:fill="ACABC0"/>
          </w:tcPr>
          <w:p>
            <w:pPr>
              <w:ind w:left="80"/>
              <w:spacing w:after="0"/>
              <w:rPr>
                <w:sz w:val="20"/>
                <w:szCs w:val="20"/>
                <w:color w:val="auto"/>
              </w:rPr>
            </w:pPr>
            <w:r>
              <w:rPr>
                <w:rFonts w:ascii="Arial" w:cs="Arial" w:eastAsia="Arial" w:hAnsi="Arial"/>
                <w:sz w:val="15"/>
                <w:szCs w:val="15"/>
                <w:color w:val="auto"/>
              </w:rPr>
              <w:t>Compensation Committee Chair</w:t>
            </w:r>
          </w:p>
        </w:tc>
        <w:tc>
          <w:tcPr>
            <w:tcW w:w="1240" w:type="dxa"/>
            <w:vAlign w:val="bottom"/>
            <w:tcBorders>
              <w:bottom w:val="single" w:sz="8" w:color="ACABC0"/>
            </w:tcBorders>
            <w:shd w:val="clear" w:color="auto" w:fill="ACABC0"/>
          </w:tcPr>
          <w:p>
            <w:pPr>
              <w:ind w:left="1160"/>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5"/>
                <w:szCs w:val="15"/>
                <w:color w:val="auto"/>
              </w:rPr>
              <w:t>25,000</w:t>
            </w:r>
          </w:p>
        </w:tc>
        <w:tc>
          <w:tcPr>
            <w:tcW w:w="10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8"/>
        </w:trPr>
        <w:tc>
          <w:tcPr>
            <w:tcW w:w="80" w:type="dxa"/>
            <w:vAlign w:val="bottom"/>
            <w:tcBorders>
              <w:bottom w:val="single" w:sz="8" w:color="F1F2F2"/>
            </w:tcBorders>
            <w:shd w:val="clear" w:color="auto" w:fill="F1F2F2"/>
          </w:tcPr>
          <w:p>
            <w:pPr>
              <w:spacing w:after="0"/>
              <w:rPr>
                <w:sz w:val="20"/>
                <w:szCs w:val="20"/>
                <w:color w:val="auto"/>
              </w:rPr>
            </w:pPr>
            <w:r>
              <w:rPr>
                <w:rFonts w:ascii="Times New Roman" w:cs="Times New Roman" w:eastAsia="Times New Roman" w:hAnsi="Times New Roman"/>
                <w:sz w:val="4"/>
                <w:szCs w:val="4"/>
                <w:color w:val="auto"/>
              </w:rPr>
              <w:t>​</w:t>
            </w:r>
          </w:p>
        </w:tc>
        <w:tc>
          <w:tcPr>
            <w:tcW w:w="5520" w:type="dxa"/>
            <w:vAlign w:val="bottom"/>
            <w:tcBorders>
              <w:bottom w:val="single" w:sz="8" w:color="F1F2F2"/>
            </w:tcBorders>
            <w:shd w:val="clear" w:color="auto" w:fill="F1F2F2"/>
          </w:tcPr>
          <w:p>
            <w:pPr>
              <w:ind w:left="80"/>
              <w:spacing w:after="0"/>
              <w:rPr>
                <w:sz w:val="20"/>
                <w:szCs w:val="20"/>
                <w:color w:val="auto"/>
              </w:rPr>
            </w:pPr>
            <w:r>
              <w:rPr>
                <w:rFonts w:ascii="Arial" w:cs="Arial" w:eastAsia="Arial" w:hAnsi="Arial"/>
                <w:sz w:val="15"/>
                <w:szCs w:val="15"/>
                <w:color w:val="auto"/>
              </w:rPr>
              <w:t>Nominating and Corporate Governance Committee Chair</w:t>
            </w:r>
          </w:p>
        </w:tc>
        <w:tc>
          <w:tcPr>
            <w:tcW w:w="1240" w:type="dxa"/>
            <w:vAlign w:val="bottom"/>
            <w:tcBorders>
              <w:bottom w:val="single" w:sz="8" w:color="F1F2F2"/>
            </w:tcBorders>
            <w:shd w:val="clear" w:color="auto" w:fill="F1F2F2"/>
          </w:tcPr>
          <w:p>
            <w:pPr>
              <w:ind w:left="1160"/>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5"/>
                <w:szCs w:val="15"/>
                <w:color w:val="auto"/>
              </w:rPr>
              <w:t>50,000</w:t>
            </w:r>
          </w:p>
        </w:tc>
        <w:tc>
          <w:tcPr>
            <w:tcW w:w="10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1"/>
        </w:trPr>
        <w:tc>
          <w:tcPr>
            <w:tcW w:w="80" w:type="dxa"/>
            <w:vAlign w:val="bottom"/>
            <w:shd w:val="clear" w:color="auto" w:fill="ACABC0"/>
          </w:tcPr>
          <w:p>
            <w:pPr>
              <w:spacing w:after="0"/>
              <w:rPr>
                <w:sz w:val="20"/>
                <w:szCs w:val="20"/>
                <w:color w:val="auto"/>
              </w:rPr>
            </w:pPr>
            <w:r>
              <w:rPr>
                <w:rFonts w:ascii="Times New Roman" w:cs="Times New Roman" w:eastAsia="Times New Roman" w:hAnsi="Times New Roman"/>
                <w:sz w:val="4"/>
                <w:szCs w:val="4"/>
                <w:color w:val="auto"/>
              </w:rPr>
              <w:t>​</w:t>
            </w:r>
          </w:p>
        </w:tc>
        <w:tc>
          <w:tcPr>
            <w:tcW w:w="5520" w:type="dxa"/>
            <w:vAlign w:val="bottom"/>
            <w:shd w:val="clear" w:color="auto" w:fill="ACABC0"/>
          </w:tcPr>
          <w:p>
            <w:pPr>
              <w:ind w:left="80"/>
              <w:spacing w:after="0"/>
              <w:rPr>
                <w:sz w:val="20"/>
                <w:szCs w:val="20"/>
                <w:color w:val="auto"/>
              </w:rPr>
            </w:pPr>
            <w:r>
              <w:rPr>
                <w:rFonts w:ascii="Arial" w:cs="Arial" w:eastAsia="Arial" w:hAnsi="Arial"/>
                <w:sz w:val="15"/>
                <w:szCs w:val="15"/>
                <w:color w:val="auto"/>
              </w:rPr>
              <w:t>Health, Safety, Environment and Sustainability Committee Chair</w:t>
            </w:r>
          </w:p>
        </w:tc>
        <w:tc>
          <w:tcPr>
            <w:tcW w:w="1240" w:type="dxa"/>
            <w:vAlign w:val="bottom"/>
            <w:shd w:val="clear" w:color="auto" w:fill="ACABC0"/>
          </w:tcPr>
          <w:p>
            <w:pPr>
              <w:ind w:left="1160"/>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shd w:val="clear" w:color="auto" w:fill="ACABC0"/>
          </w:tcPr>
          <w:p>
            <w:pPr>
              <w:jc w:val="center"/>
              <w:spacing w:after="0"/>
              <w:rPr>
                <w:sz w:val="20"/>
                <w:szCs w:val="20"/>
                <w:color w:val="auto"/>
              </w:rPr>
            </w:pPr>
            <w:r>
              <w:rPr>
                <w:rFonts w:ascii="Arial" w:cs="Arial" w:eastAsia="Arial" w:hAnsi="Arial"/>
                <w:sz w:val="15"/>
                <w:szCs w:val="15"/>
                <w:color w:val="auto"/>
              </w:rPr>
              <w:t>25,000</w:t>
            </w:r>
          </w:p>
        </w:tc>
        <w:tc>
          <w:tcPr>
            <w:tcW w:w="10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680" w:right="339"/>
        <w:spacing w:after="0" w:line="227" w:lineRule="auto"/>
        <w:rPr>
          <w:sz w:val="20"/>
          <w:szCs w:val="20"/>
          <w:color w:val="auto"/>
        </w:rPr>
      </w:pPr>
      <w:r>
        <w:rPr>
          <w:rFonts w:ascii="Arial" w:cs="Arial" w:eastAsia="Arial" w:hAnsi="Arial"/>
          <w:sz w:val="15"/>
          <w:szCs w:val="15"/>
          <w:color w:val="auto"/>
        </w:rPr>
        <w:t>After undertaking an analysis of peer and industry director compensation programs in consultation with its independent compensation consultant, the Compensation Committee of the Board has approved, effective as of January 1, 2022, an increase in the annual cash retainer for service on the Board to $75,000 per year from $60,000 per year. The Compensation Committee has also determined to provide non-employee directors with an option to elect to receive all or a portion of their annual cash retainer in the form of common stock in lieu of cash. Any non-employee directors choosing to make such an election must do so prior to December 31st of the preceding year (except for 2022) and will receive the full value of the current year’s annual cash retainer in the form of fully vested shares of common stock at the conclusion of the Company’s annual meeting of stockholders for the current year. In the event the director ceases to serve on the Board for any reason prior to the applicable annual meeting date, the portion of the annual cash retainer covered by his or her election for such year will be forfeited in its entirety. The number of shares to be issued to the director will be determined based on the closing price of a share of the Company on the applicable annual meeting date. These shares will be issued under the Company’s Long Term Incentive Plan and issued pursuant to an award agreement that has been filed as an exhibit to the Company’s Annual Report on Form 10-K.</w:t>
      </w:r>
    </w:p>
    <w:p>
      <w:pPr>
        <w:spacing w:after="0" w:line="21" w:lineRule="exact"/>
        <w:rPr>
          <w:sz w:val="20"/>
          <w:szCs w:val="20"/>
          <w:color w:val="auto"/>
        </w:rPr>
      </w:pPr>
    </w:p>
    <w:p>
      <w:pPr>
        <w:ind w:left="680" w:right="419" w:hanging="354"/>
        <w:spacing w:after="0" w:line="229" w:lineRule="auto"/>
        <w:tabs>
          <w:tab w:leader="none" w:pos="6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Each non-employee director is entitled to receive an annual equity award retainer in the form of service-vesting restricted share units (“RSUs”) granted under our Long Term Incentive Plan with an annual grant date value of $170,000. These grants are made annually on the date of our annual stockholders meeting (or, for new directors who begin serving on the Board on a different date, on such date).The amounts in this column reflect the aggregate grant date fair values of such RSUs, calculated in accordance with FASB ASC Topic 718, excluding the effect of estimated forfeitures. The actual value, if any, realized by our non-employee directors for these awards is a function of the value of the shares if and when they vest. For additional information on how we account for equity-based compensation, see Note 12 to our consolidated financial statements in our Annual Report on Form 10-K for the year ended December 31, 2021.</w:t>
      </w:r>
    </w:p>
    <w:p>
      <w:pPr>
        <w:spacing w:after="0" w:line="96"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20</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80"/>
        </w:trPr>
        <w:tc>
          <w:tcPr>
            <w:tcW w:w="920" w:type="dxa"/>
            <w:vAlign w:val="bottom"/>
            <w:vMerge w:val="continue"/>
          </w:tcPr>
          <w:p>
            <w:pPr>
              <w:spacing w:after="0"/>
              <w:rPr>
                <w:sz w:val="24"/>
                <w:szCs w:val="24"/>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5" w:name="page26"/>
    <w:bookmarkEnd w:id="25"/>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92075</wp:posOffset>
            </wp:positionV>
            <wp:extent cx="530542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41" w:lineRule="exact"/>
        <w:rPr>
          <w:sz w:val="20"/>
          <w:szCs w:val="20"/>
          <w:color w:val="auto"/>
        </w:rPr>
      </w:pPr>
    </w:p>
    <w:p>
      <w:pPr>
        <w:ind w:left="680" w:right="499"/>
        <w:spacing w:after="0" w:line="242" w:lineRule="auto"/>
        <w:rPr>
          <w:sz w:val="20"/>
          <w:szCs w:val="20"/>
          <w:color w:val="auto"/>
        </w:rPr>
      </w:pPr>
      <w:r>
        <w:rPr>
          <w:rFonts w:ascii="Arial" w:cs="Arial" w:eastAsia="Arial" w:hAnsi="Arial"/>
          <w:sz w:val="15"/>
          <w:szCs w:val="15"/>
          <w:color w:val="auto"/>
        </w:rPr>
        <w:t>The following table sets forth the total number of RSUs held by our non-employee directors who held such awards as of December 31, 2021, which are scheduled to vest in June 2022. The vesting of the RSUs granted in 2021 will accelerate on death or disability or upon the occurrence of a change in control.</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268"/>
        </w:trPr>
        <w:tc>
          <w:tcPr>
            <w:tcW w:w="80" w:type="dxa"/>
            <w:vAlign w:val="bottom"/>
            <w:shd w:val="clear" w:color="auto" w:fill="717295"/>
          </w:tcPr>
          <w:p>
            <w:pPr>
              <w:spacing w:after="0"/>
              <w:rPr>
                <w:sz w:val="20"/>
                <w:szCs w:val="20"/>
                <w:color w:val="auto"/>
              </w:rPr>
            </w:pPr>
            <w:r>
              <w:rPr>
                <w:rFonts w:ascii="Times New Roman" w:cs="Times New Roman" w:eastAsia="Times New Roman" w:hAnsi="Times New Roman"/>
                <w:sz w:val="4"/>
                <w:szCs w:val="4"/>
                <w:color w:val="auto"/>
              </w:rPr>
              <w:t>​</w:t>
            </w:r>
          </w:p>
        </w:tc>
        <w:tc>
          <w:tcPr>
            <w:tcW w:w="4200" w:type="dxa"/>
            <w:vAlign w:val="bottom"/>
            <w:vMerge w:val="restart"/>
            <w:shd w:val="clear" w:color="auto" w:fill="717295"/>
          </w:tcPr>
          <w:p>
            <w:pPr>
              <w:ind w:left="80"/>
              <w:spacing w:after="0"/>
              <w:rPr>
                <w:sz w:val="20"/>
                <w:szCs w:val="20"/>
                <w:color w:val="auto"/>
              </w:rPr>
            </w:pPr>
            <w:r>
              <w:rPr>
                <w:rFonts w:ascii="Arial" w:cs="Arial" w:eastAsia="Arial" w:hAnsi="Arial"/>
                <w:sz w:val="14"/>
                <w:szCs w:val="14"/>
                <w:b w:val="1"/>
                <w:bCs w:val="1"/>
                <w:color w:val="FFFFFF"/>
              </w:rPr>
              <w:t>Name</w:t>
            </w:r>
          </w:p>
        </w:tc>
        <w:tc>
          <w:tcPr>
            <w:tcW w:w="3720" w:type="dxa"/>
            <w:vAlign w:val="bottom"/>
            <w:gridSpan w:val="3"/>
            <w:shd w:val="clear" w:color="auto" w:fill="717295"/>
          </w:tcPr>
          <w:p>
            <w:pPr>
              <w:ind w:left="2740"/>
              <w:spacing w:after="0"/>
              <w:rPr>
                <w:sz w:val="20"/>
                <w:szCs w:val="20"/>
                <w:color w:val="auto"/>
              </w:rPr>
            </w:pPr>
            <w:r>
              <w:rPr>
                <w:rFonts w:ascii="Times New Roman" w:cs="Times New Roman" w:eastAsia="Times New Roman" w:hAnsi="Times New Roman"/>
                <w:sz w:val="7"/>
                <w:szCs w:val="7"/>
                <w:color w:val="000000"/>
                <w:vertAlign w:val="subscript"/>
              </w:rPr>
              <w:t>​  ​</w:t>
            </w:r>
            <w:r>
              <w:rPr>
                <w:rFonts w:ascii="Arial" w:cs="Arial" w:eastAsia="Arial" w:hAnsi="Arial"/>
                <w:sz w:val="14"/>
                <w:szCs w:val="14"/>
                <w:b w:val="1"/>
                <w:bCs w:val="1"/>
                <w:color w:val="FFFFFF"/>
              </w:rPr>
              <w:t xml:space="preserve">  Total RSUs </w:t>
            </w:r>
            <w:r>
              <w:rPr>
                <w:rFonts w:ascii="Times New Roman" w:cs="Times New Roman" w:eastAsia="Times New Roman" w:hAnsi="Times New Roman"/>
                <w:sz w:val="7"/>
                <w:szCs w:val="7"/>
                <w:color w:val="000000"/>
                <w:vertAlign w:val="subscript"/>
              </w:rPr>
              <w:t>​</w:t>
            </w:r>
          </w:p>
        </w:tc>
        <w:tc>
          <w:tcPr>
            <w:tcW w:w="0" w:type="dxa"/>
            <w:vAlign w:val="bottom"/>
          </w:tcPr>
          <w:p>
            <w:pPr>
              <w:spacing w:after="0"/>
              <w:rPr>
                <w:sz w:val="1"/>
                <w:szCs w:val="1"/>
                <w:color w:val="auto"/>
              </w:rPr>
            </w:pPr>
          </w:p>
        </w:tc>
      </w:tr>
      <w:tr>
        <w:trPr>
          <w:trHeight w:val="214"/>
        </w:trPr>
        <w:tc>
          <w:tcPr>
            <w:tcW w:w="80" w:type="dxa"/>
            <w:vAlign w:val="bottom"/>
            <w:shd w:val="clear" w:color="auto" w:fill="717295"/>
          </w:tcPr>
          <w:p>
            <w:pPr>
              <w:spacing w:after="0"/>
              <w:rPr>
                <w:sz w:val="18"/>
                <w:szCs w:val="18"/>
                <w:color w:val="auto"/>
              </w:rPr>
            </w:pPr>
          </w:p>
        </w:tc>
        <w:tc>
          <w:tcPr>
            <w:tcW w:w="4200" w:type="dxa"/>
            <w:vAlign w:val="bottom"/>
            <w:vMerge w:val="continue"/>
            <w:shd w:val="clear" w:color="auto" w:fill="717295"/>
          </w:tcPr>
          <w:p>
            <w:pPr>
              <w:spacing w:after="0"/>
              <w:rPr>
                <w:sz w:val="18"/>
                <w:szCs w:val="18"/>
                <w:color w:val="auto"/>
              </w:rPr>
            </w:pPr>
          </w:p>
        </w:tc>
        <w:tc>
          <w:tcPr>
            <w:tcW w:w="2880" w:type="dxa"/>
            <w:vAlign w:val="bottom"/>
            <w:shd w:val="clear" w:color="auto" w:fill="717295"/>
          </w:tcPr>
          <w:p>
            <w:pPr>
              <w:spacing w:after="0"/>
              <w:rPr>
                <w:sz w:val="18"/>
                <w:szCs w:val="18"/>
                <w:color w:val="auto"/>
              </w:rPr>
            </w:pPr>
          </w:p>
        </w:tc>
        <w:tc>
          <w:tcPr>
            <w:tcW w:w="640" w:type="dxa"/>
            <w:vAlign w:val="bottom"/>
            <w:shd w:val="clear" w:color="auto" w:fill="717295"/>
          </w:tcPr>
          <w:p>
            <w:pPr>
              <w:jc w:val="right"/>
              <w:ind w:right="145"/>
              <w:spacing w:after="0"/>
              <w:rPr>
                <w:sz w:val="20"/>
                <w:szCs w:val="20"/>
                <w:color w:val="auto"/>
              </w:rPr>
            </w:pPr>
            <w:r>
              <w:rPr>
                <w:rFonts w:ascii="Arial" w:cs="Arial" w:eastAsia="Arial" w:hAnsi="Arial"/>
                <w:sz w:val="14"/>
                <w:szCs w:val="14"/>
                <w:b w:val="1"/>
                <w:bCs w:val="1"/>
                <w:color w:val="FFFFFF"/>
              </w:rPr>
              <w:t>(#)</w:t>
            </w:r>
          </w:p>
        </w:tc>
        <w:tc>
          <w:tcPr>
            <w:tcW w:w="200" w:type="dxa"/>
            <w:vAlign w:val="bottom"/>
            <w:shd w:val="clear" w:color="auto" w:fill="717295"/>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0" w:type="dxa"/>
            <w:vAlign w:val="bottom"/>
            <w:tcBorders>
              <w:bottom w:val="single" w:sz="8" w:color="ACABC0"/>
            </w:tcBorders>
            <w:shd w:val="clear" w:color="auto" w:fill="ACABC0"/>
          </w:tcPr>
          <w:p>
            <w:pPr>
              <w:spacing w:after="0"/>
              <w:rPr>
                <w:sz w:val="20"/>
                <w:szCs w:val="20"/>
                <w:color w:val="auto"/>
              </w:rPr>
            </w:pPr>
            <w:r>
              <w:rPr>
                <w:rFonts w:ascii="Times New Roman" w:cs="Times New Roman" w:eastAsia="Times New Roman" w:hAnsi="Times New Roman"/>
                <w:sz w:val="4"/>
                <w:szCs w:val="4"/>
                <w:color w:val="auto"/>
              </w:rPr>
              <w:t>​</w:t>
            </w:r>
          </w:p>
        </w:tc>
        <w:tc>
          <w:tcPr>
            <w:tcW w:w="4200" w:type="dxa"/>
            <w:vAlign w:val="bottom"/>
            <w:tcBorders>
              <w:bottom w:val="single" w:sz="8" w:color="ACABC0"/>
            </w:tcBorders>
            <w:shd w:val="clear" w:color="auto" w:fill="ACABC0"/>
          </w:tcPr>
          <w:p>
            <w:pPr>
              <w:ind w:left="80"/>
              <w:spacing w:after="0"/>
              <w:rPr>
                <w:sz w:val="20"/>
                <w:szCs w:val="20"/>
                <w:color w:val="auto"/>
              </w:rPr>
            </w:pPr>
            <w:r>
              <w:rPr>
                <w:rFonts w:ascii="Arial" w:cs="Arial" w:eastAsia="Arial" w:hAnsi="Arial"/>
                <w:sz w:val="15"/>
                <w:szCs w:val="15"/>
                <w:color w:val="auto"/>
              </w:rPr>
              <w:t>Lisa Davis</w:t>
            </w:r>
          </w:p>
        </w:tc>
        <w:tc>
          <w:tcPr>
            <w:tcW w:w="2880" w:type="dxa"/>
            <w:vAlign w:val="bottom"/>
            <w:tcBorders>
              <w:bottom w:val="single" w:sz="8" w:color="ACABC0"/>
            </w:tcBorders>
            <w:shd w:val="clear" w:color="auto" w:fill="ACABC0"/>
          </w:tcPr>
          <w:p>
            <w:pPr>
              <w:ind w:left="2740"/>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Borders>
              <w:bottom w:val="single" w:sz="8" w:color="ACABC0"/>
            </w:tcBorders>
            <w:shd w:val="clear" w:color="auto" w:fill="ACABC0"/>
          </w:tcPr>
          <w:p>
            <w:pPr>
              <w:jc w:val="right"/>
              <w:ind w:right="25"/>
              <w:spacing w:after="0"/>
              <w:rPr>
                <w:sz w:val="20"/>
                <w:szCs w:val="20"/>
                <w:color w:val="auto"/>
              </w:rPr>
            </w:pPr>
            <w:r>
              <w:rPr>
                <w:rFonts w:ascii="Arial" w:cs="Arial" w:eastAsia="Arial" w:hAnsi="Arial"/>
                <w:sz w:val="15"/>
                <w:szCs w:val="15"/>
                <w:color w:val="auto"/>
              </w:rPr>
              <w:t>51,830</w:t>
            </w:r>
          </w:p>
        </w:tc>
        <w:tc>
          <w:tcPr>
            <w:tcW w:w="200" w:type="dxa"/>
            <w:vAlign w:val="bottom"/>
            <w:tcBorders>
              <w:bottom w:val="single" w:sz="8" w:color="ACABC0"/>
            </w:tcBorders>
            <w:shd w:val="clear" w:color="auto" w:fill="ACABC0"/>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8"/>
        </w:trPr>
        <w:tc>
          <w:tcPr>
            <w:tcW w:w="80" w:type="dxa"/>
            <w:vAlign w:val="bottom"/>
            <w:tcBorders>
              <w:bottom w:val="single" w:sz="8" w:color="F1F2F2"/>
            </w:tcBorders>
            <w:shd w:val="clear" w:color="auto" w:fill="F1F2F2"/>
          </w:tcPr>
          <w:p>
            <w:pPr>
              <w:spacing w:after="0"/>
              <w:rPr>
                <w:sz w:val="20"/>
                <w:szCs w:val="20"/>
                <w:color w:val="auto"/>
              </w:rPr>
            </w:pPr>
            <w:r>
              <w:rPr>
                <w:rFonts w:ascii="Times New Roman" w:cs="Times New Roman" w:eastAsia="Times New Roman" w:hAnsi="Times New Roman"/>
                <w:sz w:val="4"/>
                <w:szCs w:val="4"/>
                <w:color w:val="auto"/>
              </w:rPr>
              <w:t>​</w:t>
            </w:r>
          </w:p>
        </w:tc>
        <w:tc>
          <w:tcPr>
            <w:tcW w:w="4200" w:type="dxa"/>
            <w:vAlign w:val="bottom"/>
            <w:tcBorders>
              <w:bottom w:val="single" w:sz="8" w:color="F1F2F2"/>
            </w:tcBorders>
            <w:shd w:val="clear" w:color="auto" w:fill="F1F2F2"/>
          </w:tcPr>
          <w:p>
            <w:pPr>
              <w:ind w:left="80"/>
              <w:spacing w:after="0"/>
              <w:rPr>
                <w:sz w:val="20"/>
                <w:szCs w:val="20"/>
                <w:color w:val="auto"/>
              </w:rPr>
            </w:pPr>
            <w:r>
              <w:rPr>
                <w:rFonts w:ascii="Arial" w:cs="Arial" w:eastAsia="Arial" w:hAnsi="Arial"/>
                <w:sz w:val="15"/>
                <w:szCs w:val="15"/>
                <w:color w:val="auto"/>
              </w:rPr>
              <w:t>Sir Richard Dearlove</w:t>
            </w:r>
          </w:p>
        </w:tc>
        <w:tc>
          <w:tcPr>
            <w:tcW w:w="2880" w:type="dxa"/>
            <w:vAlign w:val="bottom"/>
            <w:tcBorders>
              <w:bottom w:val="single" w:sz="8" w:color="F1F2F2"/>
            </w:tcBorders>
            <w:shd w:val="clear" w:color="auto" w:fill="F1F2F2"/>
          </w:tcPr>
          <w:p>
            <w:pPr>
              <w:ind w:left="2740"/>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Borders>
              <w:bottom w:val="single" w:sz="8" w:color="F1F2F2"/>
            </w:tcBorders>
            <w:shd w:val="clear" w:color="auto" w:fill="F1F2F2"/>
          </w:tcPr>
          <w:p>
            <w:pPr>
              <w:jc w:val="right"/>
              <w:ind w:right="25"/>
              <w:spacing w:after="0"/>
              <w:rPr>
                <w:sz w:val="20"/>
                <w:szCs w:val="20"/>
                <w:color w:val="auto"/>
              </w:rPr>
            </w:pPr>
            <w:r>
              <w:rPr>
                <w:rFonts w:ascii="Arial" w:cs="Arial" w:eastAsia="Arial" w:hAnsi="Arial"/>
                <w:sz w:val="15"/>
                <w:szCs w:val="15"/>
                <w:color w:val="auto"/>
              </w:rPr>
              <w:t>51,830</w:t>
            </w:r>
          </w:p>
        </w:tc>
        <w:tc>
          <w:tcPr>
            <w:tcW w:w="200" w:type="dxa"/>
            <w:vAlign w:val="bottom"/>
            <w:tcBorders>
              <w:bottom w:val="single" w:sz="8" w:color="F1F2F2"/>
            </w:tcBorders>
            <w:shd w:val="clear" w:color="auto" w:fill="F1F2F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8"/>
        </w:trPr>
        <w:tc>
          <w:tcPr>
            <w:tcW w:w="80" w:type="dxa"/>
            <w:vAlign w:val="bottom"/>
            <w:tcBorders>
              <w:bottom w:val="single" w:sz="8" w:color="ACABC0"/>
            </w:tcBorders>
            <w:shd w:val="clear" w:color="auto" w:fill="ACABC0"/>
          </w:tcPr>
          <w:p>
            <w:pPr>
              <w:spacing w:after="0"/>
              <w:rPr>
                <w:sz w:val="20"/>
                <w:szCs w:val="20"/>
                <w:color w:val="auto"/>
              </w:rPr>
            </w:pPr>
            <w:r>
              <w:rPr>
                <w:rFonts w:ascii="Times New Roman" w:cs="Times New Roman" w:eastAsia="Times New Roman" w:hAnsi="Times New Roman"/>
                <w:sz w:val="4"/>
                <w:szCs w:val="4"/>
                <w:color w:val="auto"/>
              </w:rPr>
              <w:t>​</w:t>
            </w:r>
          </w:p>
        </w:tc>
        <w:tc>
          <w:tcPr>
            <w:tcW w:w="4200" w:type="dxa"/>
            <w:vAlign w:val="bottom"/>
            <w:tcBorders>
              <w:bottom w:val="single" w:sz="8" w:color="ACABC0"/>
            </w:tcBorders>
            <w:shd w:val="clear" w:color="auto" w:fill="ACABC0"/>
          </w:tcPr>
          <w:p>
            <w:pPr>
              <w:ind w:left="80"/>
              <w:spacing w:after="0"/>
              <w:rPr>
                <w:sz w:val="20"/>
                <w:szCs w:val="20"/>
                <w:color w:val="auto"/>
              </w:rPr>
            </w:pPr>
            <w:r>
              <w:rPr>
                <w:rFonts w:ascii="Arial" w:cs="Arial" w:eastAsia="Arial" w:hAnsi="Arial"/>
                <w:sz w:val="15"/>
                <w:szCs w:val="15"/>
                <w:color w:val="auto"/>
              </w:rPr>
              <w:t>Deanna Goodwin</w:t>
            </w:r>
          </w:p>
        </w:tc>
        <w:tc>
          <w:tcPr>
            <w:tcW w:w="2880" w:type="dxa"/>
            <w:vAlign w:val="bottom"/>
            <w:tcBorders>
              <w:bottom w:val="single" w:sz="8" w:color="ACABC0"/>
            </w:tcBorders>
            <w:shd w:val="clear" w:color="auto" w:fill="ACABC0"/>
          </w:tcPr>
          <w:p>
            <w:pPr>
              <w:ind w:left="2740"/>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Borders>
              <w:bottom w:val="single" w:sz="8" w:color="ACABC0"/>
            </w:tcBorders>
            <w:shd w:val="clear" w:color="auto" w:fill="ACABC0"/>
          </w:tcPr>
          <w:p>
            <w:pPr>
              <w:jc w:val="right"/>
              <w:ind w:right="25"/>
              <w:spacing w:after="0"/>
              <w:rPr>
                <w:sz w:val="20"/>
                <w:szCs w:val="20"/>
                <w:color w:val="auto"/>
              </w:rPr>
            </w:pPr>
            <w:r>
              <w:rPr>
                <w:rFonts w:ascii="Arial" w:cs="Arial" w:eastAsia="Arial" w:hAnsi="Arial"/>
                <w:sz w:val="15"/>
                <w:szCs w:val="15"/>
                <w:color w:val="auto"/>
              </w:rPr>
              <w:t>51,830</w:t>
            </w:r>
          </w:p>
        </w:tc>
        <w:tc>
          <w:tcPr>
            <w:tcW w:w="200" w:type="dxa"/>
            <w:vAlign w:val="bottom"/>
            <w:tcBorders>
              <w:bottom w:val="single" w:sz="8" w:color="ACABC0"/>
            </w:tcBorders>
            <w:shd w:val="clear" w:color="auto" w:fill="ACABC0"/>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8"/>
        </w:trPr>
        <w:tc>
          <w:tcPr>
            <w:tcW w:w="80" w:type="dxa"/>
            <w:vAlign w:val="bottom"/>
            <w:tcBorders>
              <w:bottom w:val="single" w:sz="8" w:color="F1F2F2"/>
            </w:tcBorders>
            <w:shd w:val="clear" w:color="auto" w:fill="F1F2F2"/>
          </w:tcPr>
          <w:p>
            <w:pPr>
              <w:spacing w:after="0"/>
              <w:rPr>
                <w:sz w:val="20"/>
                <w:szCs w:val="20"/>
                <w:color w:val="auto"/>
              </w:rPr>
            </w:pPr>
            <w:r>
              <w:rPr>
                <w:rFonts w:ascii="Times New Roman" w:cs="Times New Roman" w:eastAsia="Times New Roman" w:hAnsi="Times New Roman"/>
                <w:sz w:val="4"/>
                <w:szCs w:val="4"/>
                <w:color w:val="auto"/>
              </w:rPr>
              <w:t>​</w:t>
            </w:r>
          </w:p>
        </w:tc>
        <w:tc>
          <w:tcPr>
            <w:tcW w:w="4200" w:type="dxa"/>
            <w:vAlign w:val="bottom"/>
            <w:tcBorders>
              <w:bottom w:val="single" w:sz="8" w:color="F1F2F2"/>
            </w:tcBorders>
            <w:shd w:val="clear" w:color="auto" w:fill="F1F2F2"/>
          </w:tcPr>
          <w:p>
            <w:pPr>
              <w:ind w:left="80"/>
              <w:spacing w:after="0"/>
              <w:rPr>
                <w:sz w:val="20"/>
                <w:szCs w:val="20"/>
                <w:color w:val="auto"/>
              </w:rPr>
            </w:pPr>
            <w:r>
              <w:rPr>
                <w:rFonts w:ascii="Arial" w:cs="Arial" w:eastAsia="Arial" w:hAnsi="Arial"/>
                <w:sz w:val="15"/>
                <w:szCs w:val="15"/>
                <w:color w:val="auto"/>
              </w:rPr>
              <w:t>Adebayo Ogunlesi</w:t>
            </w:r>
          </w:p>
        </w:tc>
        <w:tc>
          <w:tcPr>
            <w:tcW w:w="2880" w:type="dxa"/>
            <w:vAlign w:val="bottom"/>
            <w:tcBorders>
              <w:bottom w:val="single" w:sz="8" w:color="F1F2F2"/>
            </w:tcBorders>
            <w:shd w:val="clear" w:color="auto" w:fill="F1F2F2"/>
          </w:tcPr>
          <w:p>
            <w:pPr>
              <w:ind w:left="2740"/>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Borders>
              <w:bottom w:val="single" w:sz="8" w:color="F1F2F2"/>
            </w:tcBorders>
            <w:shd w:val="clear" w:color="auto" w:fill="F1F2F2"/>
          </w:tcPr>
          <w:p>
            <w:pPr>
              <w:jc w:val="right"/>
              <w:ind w:right="25"/>
              <w:spacing w:after="0"/>
              <w:rPr>
                <w:sz w:val="20"/>
                <w:szCs w:val="20"/>
                <w:color w:val="auto"/>
              </w:rPr>
            </w:pPr>
            <w:r>
              <w:rPr>
                <w:rFonts w:ascii="Arial" w:cs="Arial" w:eastAsia="Arial" w:hAnsi="Arial"/>
                <w:sz w:val="15"/>
                <w:szCs w:val="15"/>
                <w:color w:val="auto"/>
              </w:rPr>
              <w:t>51,830</w:t>
            </w:r>
          </w:p>
        </w:tc>
        <w:tc>
          <w:tcPr>
            <w:tcW w:w="200" w:type="dxa"/>
            <w:vAlign w:val="bottom"/>
            <w:tcBorders>
              <w:bottom w:val="single" w:sz="8" w:color="F1F2F2"/>
            </w:tcBorders>
            <w:shd w:val="clear" w:color="auto" w:fill="F1F2F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8"/>
        </w:trPr>
        <w:tc>
          <w:tcPr>
            <w:tcW w:w="80" w:type="dxa"/>
            <w:vAlign w:val="bottom"/>
            <w:tcBorders>
              <w:bottom w:val="single" w:sz="8" w:color="ACABC0"/>
            </w:tcBorders>
            <w:shd w:val="clear" w:color="auto" w:fill="ACABC0"/>
          </w:tcPr>
          <w:p>
            <w:pPr>
              <w:spacing w:after="0"/>
              <w:rPr>
                <w:sz w:val="20"/>
                <w:szCs w:val="20"/>
                <w:color w:val="auto"/>
              </w:rPr>
            </w:pPr>
            <w:r>
              <w:rPr>
                <w:rFonts w:ascii="Times New Roman" w:cs="Times New Roman" w:eastAsia="Times New Roman" w:hAnsi="Times New Roman"/>
                <w:sz w:val="4"/>
                <w:szCs w:val="4"/>
                <w:color w:val="auto"/>
              </w:rPr>
              <w:t>​</w:t>
            </w:r>
          </w:p>
        </w:tc>
        <w:tc>
          <w:tcPr>
            <w:tcW w:w="4200" w:type="dxa"/>
            <w:vAlign w:val="bottom"/>
            <w:tcBorders>
              <w:bottom w:val="single" w:sz="8" w:color="ACABC0"/>
            </w:tcBorders>
            <w:shd w:val="clear" w:color="auto" w:fill="ACABC0"/>
          </w:tcPr>
          <w:p>
            <w:pPr>
              <w:ind w:left="80"/>
              <w:spacing w:after="0"/>
              <w:rPr>
                <w:sz w:val="20"/>
                <w:szCs w:val="20"/>
                <w:color w:val="auto"/>
              </w:rPr>
            </w:pPr>
            <w:r>
              <w:rPr>
                <w:rFonts w:ascii="Arial" w:cs="Arial" w:eastAsia="Arial" w:hAnsi="Arial"/>
                <w:sz w:val="15"/>
                <w:szCs w:val="15"/>
                <w:color w:val="auto"/>
              </w:rPr>
              <w:t>Steven Sterin</w:t>
            </w:r>
          </w:p>
        </w:tc>
        <w:tc>
          <w:tcPr>
            <w:tcW w:w="2880" w:type="dxa"/>
            <w:vAlign w:val="bottom"/>
            <w:tcBorders>
              <w:bottom w:val="single" w:sz="8" w:color="ACABC0"/>
            </w:tcBorders>
            <w:shd w:val="clear" w:color="auto" w:fill="ACABC0"/>
          </w:tcPr>
          <w:p>
            <w:pPr>
              <w:ind w:left="2740"/>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Borders>
              <w:bottom w:val="single" w:sz="8" w:color="ACABC0"/>
            </w:tcBorders>
            <w:shd w:val="clear" w:color="auto" w:fill="ACABC0"/>
          </w:tcPr>
          <w:p>
            <w:pPr>
              <w:jc w:val="right"/>
              <w:ind w:right="25"/>
              <w:spacing w:after="0"/>
              <w:rPr>
                <w:sz w:val="20"/>
                <w:szCs w:val="20"/>
                <w:color w:val="auto"/>
              </w:rPr>
            </w:pPr>
            <w:r>
              <w:rPr>
                <w:rFonts w:ascii="Arial" w:cs="Arial" w:eastAsia="Arial" w:hAnsi="Arial"/>
                <w:sz w:val="15"/>
                <w:szCs w:val="15"/>
                <w:color w:val="auto"/>
              </w:rPr>
              <w:t>51,830</w:t>
            </w:r>
          </w:p>
        </w:tc>
        <w:tc>
          <w:tcPr>
            <w:tcW w:w="200" w:type="dxa"/>
            <w:vAlign w:val="bottom"/>
            <w:tcBorders>
              <w:bottom w:val="single" w:sz="8" w:color="ACABC0"/>
            </w:tcBorders>
            <w:shd w:val="clear" w:color="auto" w:fill="ACABC0"/>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1"/>
        </w:trPr>
        <w:tc>
          <w:tcPr>
            <w:tcW w:w="80" w:type="dxa"/>
            <w:vAlign w:val="bottom"/>
            <w:shd w:val="clear" w:color="auto" w:fill="F1F2F2"/>
          </w:tcPr>
          <w:p>
            <w:pPr>
              <w:spacing w:after="0"/>
              <w:rPr>
                <w:sz w:val="20"/>
                <w:szCs w:val="20"/>
                <w:color w:val="auto"/>
              </w:rPr>
            </w:pPr>
            <w:r>
              <w:rPr>
                <w:rFonts w:ascii="Times New Roman" w:cs="Times New Roman" w:eastAsia="Times New Roman" w:hAnsi="Times New Roman"/>
                <w:sz w:val="4"/>
                <w:szCs w:val="4"/>
                <w:color w:val="auto"/>
              </w:rPr>
              <w:t>​</w:t>
            </w:r>
          </w:p>
        </w:tc>
        <w:tc>
          <w:tcPr>
            <w:tcW w:w="4200" w:type="dxa"/>
            <w:vAlign w:val="bottom"/>
            <w:shd w:val="clear" w:color="auto" w:fill="F1F2F2"/>
          </w:tcPr>
          <w:p>
            <w:pPr>
              <w:ind w:left="80"/>
              <w:spacing w:after="0"/>
              <w:rPr>
                <w:sz w:val="20"/>
                <w:szCs w:val="20"/>
                <w:color w:val="auto"/>
              </w:rPr>
            </w:pPr>
            <w:r>
              <w:rPr>
                <w:rFonts w:ascii="Arial" w:cs="Arial" w:eastAsia="Arial" w:hAnsi="Arial"/>
                <w:sz w:val="15"/>
                <w:szCs w:val="15"/>
                <w:color w:val="auto"/>
              </w:rPr>
              <w:t>Roy A. Franklin</w:t>
            </w:r>
          </w:p>
        </w:tc>
        <w:tc>
          <w:tcPr>
            <w:tcW w:w="2880" w:type="dxa"/>
            <w:vAlign w:val="bottom"/>
            <w:shd w:val="clear" w:color="auto" w:fill="F1F2F2"/>
          </w:tcPr>
          <w:p>
            <w:pPr>
              <w:ind w:left="2740"/>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shd w:val="clear" w:color="auto" w:fill="F1F2F2"/>
          </w:tcPr>
          <w:p>
            <w:pPr>
              <w:jc w:val="right"/>
              <w:ind w:right="25"/>
              <w:spacing w:after="0"/>
              <w:rPr>
                <w:sz w:val="20"/>
                <w:szCs w:val="20"/>
                <w:color w:val="auto"/>
              </w:rPr>
            </w:pPr>
            <w:r>
              <w:rPr>
                <w:rFonts w:ascii="Arial" w:cs="Arial" w:eastAsia="Arial" w:hAnsi="Arial"/>
                <w:sz w:val="15"/>
                <w:szCs w:val="15"/>
                <w:color w:val="auto"/>
              </w:rPr>
              <w:t>51,830</w:t>
            </w:r>
          </w:p>
        </w:tc>
        <w:tc>
          <w:tcPr>
            <w:tcW w:w="200" w:type="dxa"/>
            <w:vAlign w:val="bottom"/>
            <w:shd w:val="clear" w:color="auto" w:fill="F1F2F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9019"/>
          </w:cols>
          <w:pgMar w:left="1440" w:top="262" w:right="1440" w:bottom="1440" w:gutter="0" w:footer="0" w:header="0"/>
        </w:sectPr>
      </w:pPr>
    </w:p>
    <w:p>
      <w:pPr>
        <w:ind w:left="320"/>
        <w:spacing w:after="0"/>
        <w:rPr>
          <w:sz w:val="20"/>
          <w:szCs w:val="20"/>
          <w:color w:val="auto"/>
        </w:rPr>
      </w:pPr>
      <w:r>
        <w:rPr>
          <w:rFonts w:ascii="Arial" w:cs="Arial" w:eastAsia="Arial" w:hAnsi="Arial"/>
          <w:sz w:val="23"/>
          <w:szCs w:val="23"/>
          <w:b w:val="1"/>
          <w:bCs w:val="1"/>
          <w:color w:val="595959"/>
        </w:rPr>
        <w:t>Director Share Ownership Guidelines</w:t>
      </w:r>
    </w:p>
    <w:p>
      <w:pPr>
        <w:spacing w:after="0" w:line="129" w:lineRule="exact"/>
        <w:rPr>
          <w:sz w:val="20"/>
          <w:szCs w:val="20"/>
          <w:color w:val="auto"/>
        </w:rPr>
      </w:pPr>
    </w:p>
    <w:p>
      <w:pPr>
        <w:ind w:left="320" w:right="140"/>
        <w:spacing w:after="0" w:line="252" w:lineRule="auto"/>
        <w:rPr>
          <w:sz w:val="20"/>
          <w:szCs w:val="20"/>
          <w:color w:val="auto"/>
        </w:rPr>
      </w:pPr>
      <w:r>
        <w:rPr>
          <w:rFonts w:ascii="Arial" w:cs="Arial" w:eastAsia="Arial" w:hAnsi="Arial"/>
          <w:sz w:val="16"/>
          <w:szCs w:val="16"/>
          <w:color w:val="auto"/>
        </w:rPr>
        <w:t>The Compensation Committee has established robust share ownership guidelines that are applicable to all of our non-employee directors to ensure that they face the same downside risk and upside potential as our stockholders, thereby further aligning their interests with the long-term interests our stockholders.</w:t>
      </w:r>
    </w:p>
    <w:p>
      <w:pPr>
        <w:spacing w:after="0" w:line="73" w:lineRule="exact"/>
        <w:rPr>
          <w:sz w:val="20"/>
          <w:szCs w:val="20"/>
          <w:color w:val="auto"/>
        </w:rPr>
      </w:pPr>
    </w:p>
    <w:p>
      <w:pPr>
        <w:ind w:left="320" w:right="60"/>
        <w:spacing w:after="0" w:line="250" w:lineRule="auto"/>
        <w:rPr>
          <w:sz w:val="20"/>
          <w:szCs w:val="20"/>
          <w:color w:val="auto"/>
        </w:rPr>
      </w:pPr>
      <w:r>
        <w:rPr>
          <w:rFonts w:ascii="Arial" w:cs="Arial" w:eastAsia="Arial" w:hAnsi="Arial"/>
          <w:sz w:val="16"/>
          <w:szCs w:val="16"/>
          <w:color w:val="auto"/>
        </w:rPr>
        <w:t>Under these share ownership guidelines, each of our non-employee directors is required to own, within five years following his or her first election/appointment to our Board, common shares of the Company having an aggregate value at least equal to five times the value of the annual cash board retainer that such director receives for his or her service on our Board.</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379"/>
        <w:spacing w:after="0" w:line="252" w:lineRule="auto"/>
        <w:rPr>
          <w:sz w:val="20"/>
          <w:szCs w:val="20"/>
          <w:color w:val="auto"/>
        </w:rPr>
      </w:pPr>
      <w:r>
        <w:rPr>
          <w:rFonts w:ascii="Arial" w:cs="Arial" w:eastAsia="Arial" w:hAnsi="Arial"/>
          <w:sz w:val="16"/>
          <w:szCs w:val="16"/>
          <w:color w:val="auto"/>
        </w:rPr>
        <w:t>Until such time as the director has satisfied his or her minimum ownership requirements, the director is required to retain 100% of the “net shares” received from the settlement of all equity-based awards (i.e., those shares that remain outstanding after the payment of taxes at an assumed 40% tax rate).</w:t>
      </w:r>
    </w:p>
    <w:p>
      <w:pPr>
        <w:spacing w:after="0" w:line="73" w:lineRule="exact"/>
        <w:rPr>
          <w:sz w:val="20"/>
          <w:szCs w:val="20"/>
          <w:color w:val="auto"/>
        </w:rPr>
      </w:pPr>
    </w:p>
    <w:p>
      <w:pPr>
        <w:ind w:right="479"/>
        <w:spacing w:after="0" w:line="254" w:lineRule="auto"/>
        <w:rPr>
          <w:sz w:val="20"/>
          <w:szCs w:val="20"/>
          <w:color w:val="auto"/>
        </w:rPr>
      </w:pPr>
      <w:r>
        <w:rPr>
          <w:rFonts w:ascii="Arial" w:cs="Arial" w:eastAsia="Arial" w:hAnsi="Arial"/>
          <w:sz w:val="16"/>
          <w:szCs w:val="16"/>
          <w:color w:val="auto"/>
        </w:rPr>
        <w:t>Shares owned directly or indirectly (including shares received upon settlement of an equity award) and service-based restricted shares and RSUs that settle in shares are counted for purposes of satisfying our non-employee director share ownership guidelines.</w:t>
      </w:r>
    </w:p>
    <w:p>
      <w:pPr>
        <w:spacing w:after="0" w:line="71" w:lineRule="exact"/>
        <w:rPr>
          <w:sz w:val="20"/>
          <w:szCs w:val="20"/>
          <w:color w:val="auto"/>
        </w:rPr>
      </w:pPr>
    </w:p>
    <w:p>
      <w:pPr>
        <w:ind w:right="559"/>
        <w:spacing w:after="0" w:line="263" w:lineRule="auto"/>
        <w:rPr>
          <w:sz w:val="20"/>
          <w:szCs w:val="20"/>
          <w:color w:val="auto"/>
        </w:rPr>
      </w:pPr>
      <w:r>
        <w:rPr>
          <w:rFonts w:ascii="Arial" w:cs="Arial" w:eastAsia="Arial" w:hAnsi="Arial"/>
          <w:sz w:val="16"/>
          <w:szCs w:val="16"/>
          <w:color w:val="auto"/>
        </w:rPr>
        <w:t>As of December 31, 2021, all of our non-employee directors were in compliance with the share ownership guidelines.</w:t>
      </w:r>
    </w:p>
    <w:p>
      <w:pPr>
        <w:spacing w:after="0" w:line="70" w:lineRule="exact"/>
        <w:rPr>
          <w:sz w:val="20"/>
          <w:szCs w:val="20"/>
          <w:color w:val="auto"/>
        </w:rPr>
      </w:pPr>
    </w:p>
    <w:p>
      <w:pPr>
        <w:sectPr>
          <w:pgSz w:w="11900" w:h="16838" w:orient="portrait"/>
          <w:cols w:equalWidth="0" w:num="2">
            <w:col w:w="4440" w:space="180"/>
            <w:col w:w="4399"/>
          </w:cols>
          <w:pgMar w:left="1440" w:top="262" w:right="1440" w:bottom="1440" w:gutter="0" w:footer="0" w:header="0"/>
          <w:type w:val="continuous"/>
        </w:sectPr>
      </w:pPr>
    </w:p>
    <w:p>
      <w:pPr>
        <w:ind w:left="640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121285</wp:posOffset>
            </wp:positionV>
            <wp:extent cx="693801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-158750</wp:posOffset>
            </wp:positionV>
            <wp:extent cx="594995" cy="170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26" w:name="page27"/>
    <w:bookmarkEnd w:id="26"/>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92075</wp:posOffset>
            </wp:positionV>
            <wp:extent cx="530542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20" w:right="2319"/>
        <w:spacing w:after="0" w:line="279" w:lineRule="auto"/>
        <w:rPr>
          <w:sz w:val="20"/>
          <w:szCs w:val="20"/>
          <w:color w:val="auto"/>
        </w:rPr>
      </w:pPr>
      <w:r>
        <w:rPr>
          <w:rFonts w:ascii="Arial" w:cs="Arial" w:eastAsia="Arial" w:hAnsi="Arial"/>
          <w:sz w:val="42"/>
          <w:szCs w:val="42"/>
          <w:color w:val="2A3D6C"/>
        </w:rPr>
        <w:t>CERTAIN RELATIONSHIPS AND RELATED TRANSACTIONS</w:t>
      </w:r>
    </w:p>
    <w:p>
      <w:pPr>
        <w:sectPr>
          <w:pgSz w:w="11900" w:h="16838" w:orient="portrait"/>
          <w:cols w:equalWidth="0" w:num="1">
            <w:col w:w="9019"/>
          </w:cols>
          <w:pgMar w:left="1440" w:top="262" w:right="1440" w:bottom="1440" w:gutter="0" w:footer="0" w:header="0"/>
        </w:sectPr>
      </w:pPr>
    </w:p>
    <w:p>
      <w:pPr>
        <w:spacing w:after="0" w:line="2" w:lineRule="exact"/>
        <w:rPr>
          <w:sz w:val="20"/>
          <w:szCs w:val="20"/>
          <w:color w:val="auto"/>
        </w:rPr>
      </w:pPr>
    </w:p>
    <w:p>
      <w:pPr>
        <w:ind w:left="320" w:right="20"/>
        <w:spacing w:after="0" w:line="257" w:lineRule="auto"/>
        <w:rPr>
          <w:sz w:val="20"/>
          <w:szCs w:val="20"/>
          <w:color w:val="auto"/>
        </w:rPr>
      </w:pPr>
      <w:r>
        <w:rPr>
          <w:rFonts w:ascii="Arial" w:cs="Arial" w:eastAsia="Arial" w:hAnsi="Arial"/>
          <w:sz w:val="16"/>
          <w:szCs w:val="16"/>
          <w:color w:val="auto"/>
        </w:rPr>
        <w:t>We have not engaged in any transactions since January 1, 2021 with our directors, officers or beneficial owners of more than five percent of our voting securities and their affiliates.</w:t>
      </w:r>
    </w:p>
    <w:p>
      <w:pPr>
        <w:spacing w:after="0" w:line="69" w:lineRule="exact"/>
        <w:rPr>
          <w:sz w:val="20"/>
          <w:szCs w:val="20"/>
          <w:color w:val="auto"/>
        </w:rPr>
      </w:pPr>
    </w:p>
    <w:p>
      <w:pPr>
        <w:ind w:left="320" w:right="40"/>
        <w:spacing w:after="0" w:line="293" w:lineRule="auto"/>
        <w:rPr>
          <w:sz w:val="20"/>
          <w:szCs w:val="20"/>
          <w:color w:val="auto"/>
        </w:rPr>
      </w:pPr>
      <w:r>
        <w:rPr>
          <w:rFonts w:ascii="Arial" w:cs="Arial" w:eastAsia="Arial" w:hAnsi="Arial"/>
          <w:sz w:val="16"/>
          <w:szCs w:val="16"/>
          <w:b w:val="1"/>
          <w:bCs w:val="1"/>
          <w:color w:val="auto"/>
        </w:rPr>
        <w:t>Procedures for Review of Transactions with Related Persons</w:t>
      </w:r>
    </w:p>
    <w:p>
      <w:pPr>
        <w:spacing w:after="0" w:line="33" w:lineRule="exact"/>
        <w:rPr>
          <w:sz w:val="20"/>
          <w:szCs w:val="20"/>
          <w:color w:val="auto"/>
        </w:rPr>
      </w:pPr>
    </w:p>
    <w:p>
      <w:pPr>
        <w:ind w:left="320"/>
        <w:spacing w:after="0" w:line="248" w:lineRule="auto"/>
        <w:rPr>
          <w:sz w:val="20"/>
          <w:szCs w:val="20"/>
          <w:color w:val="auto"/>
        </w:rPr>
      </w:pPr>
      <w:r>
        <w:rPr>
          <w:rFonts w:ascii="Arial" w:cs="Arial" w:eastAsia="Arial" w:hAnsi="Arial"/>
          <w:sz w:val="16"/>
          <w:szCs w:val="16"/>
          <w:color w:val="auto"/>
        </w:rPr>
        <w:t>We have adopted a set of written related-party transaction policies designed to minimize potential conflicts of interest arising from any dealings we may have with our affiliates and to provide appropriate procedures for the disclosure, approval and resolution of any actual or potential conflicts of interest which may exist from time to time. Such policies provide, among other things, that all related-party transactions, including any loans between us and our affiliates, but excluding compensation</w:t>
      </w:r>
    </w:p>
    <w:p>
      <w:pPr>
        <w:spacing w:after="0" w:line="20" w:lineRule="exact"/>
        <w:rPr>
          <w:sz w:val="20"/>
          <w:szCs w:val="20"/>
          <w:color w:val="auto"/>
        </w:rPr>
      </w:pPr>
      <w:r>
        <w:rPr>
          <w:sz w:val="20"/>
          <w:szCs w:val="20"/>
          <w:color w:val="auto"/>
        </w:rPr>
        <w:br w:type="column"/>
      </w:r>
    </w:p>
    <w:p>
      <w:pPr>
        <w:ind w:right="399"/>
        <w:spacing w:after="0" w:line="247" w:lineRule="auto"/>
        <w:rPr>
          <w:sz w:val="20"/>
          <w:szCs w:val="20"/>
          <w:color w:val="auto"/>
        </w:rPr>
      </w:pPr>
      <w:r>
        <w:rPr>
          <w:rFonts w:ascii="Arial" w:cs="Arial" w:eastAsia="Arial" w:hAnsi="Arial"/>
          <w:sz w:val="16"/>
          <w:szCs w:val="16"/>
          <w:color w:val="auto"/>
        </w:rPr>
        <w:t>arrangements, require approval by our Nominating and Corporate Governance Committee or our Board, after considering all relevant facts and circumstances, including, without limitation, the commercial reasonableness of the terms, the benefit and perceived benefit, or lack thereof, to us, opportunity costs of alternative transactions, the materiality and character of the related party’s direct or indirect interest, and the actual or apparent conflict of interest of the related party, and after determining that the transaction is in, or not inconsistent with, our and our stockholders’ best interests. There have been no related-party transactions since the adoption of related-party transaction policies where such policies were not followed.</w:t>
      </w:r>
    </w:p>
    <w:p>
      <w:pPr>
        <w:spacing w:after="0" w:line="690" w:lineRule="exact"/>
        <w:rPr>
          <w:sz w:val="20"/>
          <w:szCs w:val="20"/>
          <w:color w:val="auto"/>
        </w:rPr>
      </w:pPr>
    </w:p>
    <w:p>
      <w:pPr>
        <w:sectPr>
          <w:pgSz w:w="11900" w:h="16838" w:orient="portrait"/>
          <w:cols w:equalWidth="0" w:num="2">
            <w:col w:w="4340" w:space="280"/>
            <w:col w:w="4399"/>
          </w:cols>
          <w:pgMar w:left="1440" w:top="262" w:right="1440" w:bottom="1440" w:gutter="0" w:footer="0" w:header="0"/>
          <w:type w:val="continuous"/>
        </w:sect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22</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920" w:type="dxa"/>
            <w:vAlign w:val="bottom"/>
            <w:vMerge w:val="continue"/>
          </w:tcPr>
          <w:p>
            <w:pPr>
              <w:spacing w:after="0"/>
              <w:rPr>
                <w:sz w:val="23"/>
                <w:szCs w:val="23"/>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27" w:name="page28"/>
    <w:bookmarkEnd w:id="27"/>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92075</wp:posOffset>
            </wp:positionV>
            <wp:extent cx="530542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42"/>
          <w:szCs w:val="42"/>
          <w:color w:val="2A3D6C"/>
        </w:rPr>
        <w:t>STOCK OWNERSHIP MATTERS</w:t>
      </w:r>
    </w:p>
    <w:p>
      <w:pPr>
        <w:sectPr>
          <w:pgSz w:w="11900" w:h="16838" w:orient="portrait"/>
          <w:cols w:equalWidth="0" w:num="1">
            <w:col w:w="9019"/>
          </w:cols>
          <w:pgMar w:left="1440" w:top="262" w:right="1440" w:bottom="1440" w:gutter="0" w:footer="0" w:header="0"/>
        </w:sectPr>
      </w:pPr>
    </w:p>
    <w:p>
      <w:pPr>
        <w:spacing w:after="0" w:line="141"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Delinquent Section 16(a) Reports</w:t>
      </w:r>
    </w:p>
    <w:p>
      <w:pPr>
        <w:spacing w:after="0" w:line="129" w:lineRule="exact"/>
        <w:rPr>
          <w:sz w:val="20"/>
          <w:szCs w:val="20"/>
          <w:color w:val="auto"/>
        </w:rPr>
      </w:pPr>
    </w:p>
    <w:p>
      <w:pPr>
        <w:ind w:left="320"/>
        <w:spacing w:after="0" w:line="249" w:lineRule="auto"/>
        <w:rPr>
          <w:sz w:val="20"/>
          <w:szCs w:val="20"/>
          <w:color w:val="auto"/>
        </w:rPr>
      </w:pPr>
      <w:r>
        <w:rPr>
          <w:rFonts w:ascii="Arial" w:cs="Arial" w:eastAsia="Arial" w:hAnsi="Arial"/>
          <w:sz w:val="16"/>
          <w:szCs w:val="16"/>
          <w:color w:val="auto"/>
        </w:rPr>
        <w:t>Section 16(a) of the Exchange Act requires our directors, officers and persons who beneficially own more than 10% of our common shares to file initial reports of ownership on Form 3 and reports of changes of ownership on Forms 4 and 5 with the SEC. These officers, directors and 10% beneficial owners are also required to furnish us with copies of all Section 16(a) forms that they file. Specific due dates for these reports have been established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right="439"/>
        <w:spacing w:after="0" w:line="282" w:lineRule="auto"/>
        <w:rPr>
          <w:sz w:val="20"/>
          <w:szCs w:val="20"/>
          <w:color w:val="auto"/>
        </w:rPr>
      </w:pPr>
      <w:r>
        <w:rPr>
          <w:rFonts w:ascii="Arial" w:cs="Arial" w:eastAsia="Arial" w:hAnsi="Arial"/>
          <w:sz w:val="16"/>
          <w:szCs w:val="16"/>
          <w:color w:val="auto"/>
        </w:rPr>
        <w:t>regulation, and we are required to report in this Proxy Statement any failure to file by these dates during 2021.</w:t>
      </w:r>
    </w:p>
    <w:p>
      <w:pPr>
        <w:spacing w:after="0" w:line="50" w:lineRule="exact"/>
        <w:rPr>
          <w:sz w:val="20"/>
          <w:szCs w:val="20"/>
          <w:color w:val="auto"/>
        </w:rPr>
      </w:pPr>
    </w:p>
    <w:p>
      <w:pPr>
        <w:ind w:right="419"/>
        <w:spacing w:after="0" w:line="254" w:lineRule="auto"/>
        <w:rPr>
          <w:sz w:val="20"/>
          <w:szCs w:val="20"/>
          <w:color w:val="auto"/>
        </w:rPr>
      </w:pPr>
      <w:r>
        <w:rPr>
          <w:rFonts w:ascii="Arial" w:cs="Arial" w:eastAsia="Arial" w:hAnsi="Arial"/>
          <w:sz w:val="16"/>
          <w:szCs w:val="16"/>
          <w:color w:val="auto"/>
        </w:rPr>
        <w:t>To our knowledge, based solely on our review of the copies of such forms received by us, we believe that all Section 16(a) filing requirements applicable to our officers, directors and 10% beneficial owners have been complied with for 2021.</w:t>
      </w:r>
    </w:p>
    <w:p>
      <w:pPr>
        <w:spacing w:after="0" w:line="373" w:lineRule="exact"/>
        <w:rPr>
          <w:sz w:val="20"/>
          <w:szCs w:val="20"/>
          <w:color w:val="auto"/>
        </w:rPr>
      </w:pPr>
    </w:p>
    <w:p>
      <w:pPr>
        <w:sectPr>
          <w:pgSz w:w="11900" w:h="16838" w:orient="portrait"/>
          <w:cols w:equalWidth="0" w:num="2">
            <w:col w:w="4380" w:space="24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Security Ownership of Management and Certain Beneficial Owners</w:t>
      </w:r>
    </w:p>
    <w:p>
      <w:pPr>
        <w:sectPr>
          <w:pgSz w:w="11900" w:h="16838" w:orient="portrait"/>
          <w:cols w:equalWidth="0" w:num="1">
            <w:col w:w="9019"/>
          </w:cols>
          <w:pgMar w:left="1440" w:top="262" w:right="1440" w:bottom="1440" w:gutter="0" w:footer="0" w:header="0"/>
          <w:type w:val="continuous"/>
        </w:sectPr>
      </w:pPr>
    </w:p>
    <w:p>
      <w:pPr>
        <w:spacing w:after="0" w:line="129" w:lineRule="exact"/>
        <w:rPr>
          <w:sz w:val="20"/>
          <w:szCs w:val="20"/>
          <w:color w:val="auto"/>
        </w:rPr>
      </w:pPr>
    </w:p>
    <w:p>
      <w:pPr>
        <w:ind w:left="320" w:right="260"/>
        <w:spacing w:after="0" w:line="257"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shares, on a fully diluted basis, as of March 10, 2022, for:</w:t>
      </w:r>
    </w:p>
    <w:p>
      <w:pPr>
        <w:spacing w:after="0" w:line="69" w:lineRule="exact"/>
        <w:rPr>
          <w:sz w:val="20"/>
          <w:szCs w:val="20"/>
          <w:color w:val="auto"/>
        </w:rPr>
      </w:pPr>
    </w:p>
    <w:p>
      <w:pPr>
        <w:ind w:left="1040" w:hanging="357"/>
        <w:spacing w:after="0"/>
        <w:tabs>
          <w:tab w:leader="none" w:pos="1040" w:val="left"/>
        </w:tabs>
        <w:numPr>
          <w:ilvl w:val="0"/>
          <w:numId w:val="42"/>
        </w:numPr>
        <w:rPr>
          <w:rFonts w:ascii="Arial" w:cs="Arial" w:eastAsia="Arial" w:hAnsi="Arial"/>
          <w:sz w:val="16"/>
          <w:szCs w:val="16"/>
          <w:color w:val="2A3D6C"/>
        </w:rPr>
      </w:pPr>
      <w:r>
        <w:rPr>
          <w:rFonts w:ascii="Arial" w:cs="Arial" w:eastAsia="Arial" w:hAnsi="Arial"/>
          <w:sz w:val="16"/>
          <w:szCs w:val="16"/>
          <w:color w:val="auto"/>
        </w:rPr>
        <w:t>each of our named executive officers;</w:t>
      </w:r>
    </w:p>
    <w:p>
      <w:pPr>
        <w:spacing w:after="0" w:line="110" w:lineRule="exact"/>
        <w:rPr>
          <w:rFonts w:ascii="Arial" w:cs="Arial" w:eastAsia="Arial" w:hAnsi="Arial"/>
          <w:sz w:val="16"/>
          <w:szCs w:val="16"/>
          <w:color w:val="2A3D6C"/>
        </w:rPr>
      </w:pPr>
    </w:p>
    <w:p>
      <w:pPr>
        <w:ind w:left="1040" w:hanging="357"/>
        <w:spacing w:after="0"/>
        <w:tabs>
          <w:tab w:leader="none" w:pos="1040" w:val="left"/>
        </w:tabs>
        <w:numPr>
          <w:ilvl w:val="0"/>
          <w:numId w:val="42"/>
        </w:numPr>
        <w:rPr>
          <w:rFonts w:ascii="Arial" w:cs="Arial" w:eastAsia="Arial" w:hAnsi="Arial"/>
          <w:sz w:val="16"/>
          <w:szCs w:val="16"/>
          <w:color w:val="2A3D6C"/>
        </w:rPr>
      </w:pPr>
      <w:r>
        <w:rPr>
          <w:rFonts w:ascii="Arial" w:cs="Arial" w:eastAsia="Arial" w:hAnsi="Arial"/>
          <w:sz w:val="16"/>
          <w:szCs w:val="16"/>
          <w:color w:val="auto"/>
        </w:rPr>
        <w:t>each of our directors;</w:t>
      </w:r>
    </w:p>
    <w:p>
      <w:pPr>
        <w:spacing w:after="0" w:line="110" w:lineRule="exact"/>
        <w:rPr>
          <w:rFonts w:ascii="Arial" w:cs="Arial" w:eastAsia="Arial" w:hAnsi="Arial"/>
          <w:sz w:val="16"/>
          <w:szCs w:val="16"/>
          <w:color w:val="2A3D6C"/>
        </w:rPr>
      </w:pPr>
    </w:p>
    <w:p>
      <w:pPr>
        <w:ind w:left="1040" w:hanging="357"/>
        <w:spacing w:after="0"/>
        <w:tabs>
          <w:tab w:leader="none" w:pos="1040" w:val="left"/>
        </w:tabs>
        <w:numPr>
          <w:ilvl w:val="0"/>
          <w:numId w:val="42"/>
        </w:numPr>
        <w:rPr>
          <w:rFonts w:ascii="Arial" w:cs="Arial" w:eastAsia="Arial" w:hAnsi="Arial"/>
          <w:sz w:val="16"/>
          <w:szCs w:val="16"/>
          <w:color w:val="2A3D6C"/>
        </w:rPr>
      </w:pPr>
      <w:r>
        <w:rPr>
          <w:rFonts w:ascii="Arial" w:cs="Arial" w:eastAsia="Arial" w:hAnsi="Arial"/>
          <w:sz w:val="16"/>
          <w:szCs w:val="16"/>
          <w:color w:val="auto"/>
        </w:rPr>
        <w:t>each of our director nominees;</w:t>
      </w:r>
    </w:p>
    <w:p>
      <w:pPr>
        <w:spacing w:after="0" w:line="110" w:lineRule="exact"/>
        <w:rPr>
          <w:rFonts w:ascii="Arial" w:cs="Arial" w:eastAsia="Arial" w:hAnsi="Arial"/>
          <w:sz w:val="16"/>
          <w:szCs w:val="16"/>
          <w:color w:val="2A3D6C"/>
        </w:rPr>
      </w:pPr>
    </w:p>
    <w:p>
      <w:pPr>
        <w:ind w:left="1040" w:right="120" w:hanging="357"/>
        <w:spacing w:after="0" w:line="282" w:lineRule="auto"/>
        <w:tabs>
          <w:tab w:leader="none" w:pos="1040" w:val="left"/>
        </w:tabs>
        <w:numPr>
          <w:ilvl w:val="0"/>
          <w:numId w:val="42"/>
        </w:numPr>
        <w:rPr>
          <w:rFonts w:ascii="Arial" w:cs="Arial" w:eastAsia="Arial" w:hAnsi="Arial"/>
          <w:sz w:val="16"/>
          <w:szCs w:val="16"/>
          <w:color w:val="2A3D6C"/>
        </w:rPr>
      </w:pPr>
      <w:r>
        <w:rPr>
          <w:rFonts w:ascii="Arial" w:cs="Arial" w:eastAsia="Arial" w:hAnsi="Arial"/>
          <w:sz w:val="16"/>
          <w:szCs w:val="16"/>
          <w:color w:val="auto"/>
        </w:rPr>
        <w:t>all of our executive officers and directors as a group; and</w:t>
      </w:r>
    </w:p>
    <w:p>
      <w:pPr>
        <w:spacing w:after="0" w:line="49" w:lineRule="exact"/>
        <w:rPr>
          <w:rFonts w:ascii="Arial" w:cs="Arial" w:eastAsia="Arial" w:hAnsi="Arial"/>
          <w:sz w:val="16"/>
          <w:szCs w:val="16"/>
          <w:color w:val="2A3D6C"/>
        </w:rPr>
      </w:pPr>
    </w:p>
    <w:p>
      <w:pPr>
        <w:ind w:left="1040" w:hanging="357"/>
        <w:spacing w:after="0" w:line="263" w:lineRule="auto"/>
        <w:tabs>
          <w:tab w:leader="none" w:pos="1040" w:val="left"/>
        </w:tabs>
        <w:numPr>
          <w:ilvl w:val="0"/>
          <w:numId w:val="42"/>
        </w:numPr>
        <w:rPr>
          <w:rFonts w:ascii="Arial" w:cs="Arial" w:eastAsia="Arial" w:hAnsi="Arial"/>
          <w:sz w:val="16"/>
          <w:szCs w:val="16"/>
          <w:color w:val="2A3D6C"/>
        </w:rPr>
      </w:pPr>
      <w:r>
        <w:rPr>
          <w:rFonts w:ascii="Arial" w:cs="Arial" w:eastAsia="Arial" w:hAnsi="Arial"/>
          <w:sz w:val="16"/>
          <w:szCs w:val="16"/>
          <w:color w:val="auto"/>
        </w:rPr>
        <w:t>each stockholder known by us to be the beneficial owner of more than 5% of our issued and outstanding common shares.</w:t>
      </w:r>
    </w:p>
    <w:p>
      <w:pPr>
        <w:spacing w:after="0" w:line="65" w:lineRule="exact"/>
        <w:rPr>
          <w:sz w:val="20"/>
          <w:szCs w:val="20"/>
          <w:color w:val="auto"/>
        </w:rPr>
      </w:pPr>
    </w:p>
    <w:p>
      <w:pPr>
        <w:ind w:left="320" w:right="200"/>
        <w:spacing w:after="0" w:line="282" w:lineRule="auto"/>
        <w:rPr>
          <w:sz w:val="20"/>
          <w:szCs w:val="20"/>
          <w:color w:val="auto"/>
        </w:rPr>
      </w:pPr>
      <w:r>
        <w:rPr>
          <w:rFonts w:ascii="Arial" w:cs="Arial" w:eastAsia="Arial" w:hAnsi="Arial"/>
          <w:sz w:val="16"/>
          <w:szCs w:val="16"/>
          <w:color w:val="auto"/>
        </w:rPr>
        <w:t>Beneficial ownership is determined in accordance with the rules of the SEC and includes voting or</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579"/>
        <w:spacing w:after="0" w:line="252" w:lineRule="auto"/>
        <w:rPr>
          <w:sz w:val="20"/>
          <w:szCs w:val="20"/>
          <w:color w:val="auto"/>
        </w:rPr>
      </w:pPr>
      <w:r>
        <w:rPr>
          <w:rFonts w:ascii="Arial" w:cs="Arial" w:eastAsia="Arial" w:hAnsi="Arial"/>
          <w:sz w:val="16"/>
          <w:szCs w:val="16"/>
          <w:color w:val="auto"/>
        </w:rPr>
        <w:t>investment power with respect to the securities. Percentage of ownership is based on 455,265,466 common shares issued and outstanding on March 10, 2022. The information in the table below concerning security ownership of beneficial owners is based on filings made by such persons with the SEC.</w:t>
      </w:r>
    </w:p>
    <w:p>
      <w:pPr>
        <w:spacing w:after="0" w:line="73" w:lineRule="exact"/>
        <w:rPr>
          <w:sz w:val="20"/>
          <w:szCs w:val="20"/>
          <w:color w:val="auto"/>
        </w:rPr>
      </w:pPr>
    </w:p>
    <w:p>
      <w:pPr>
        <w:ind w:right="339"/>
        <w:spacing w:after="0" w:line="250" w:lineRule="auto"/>
        <w:rPr>
          <w:sz w:val="20"/>
          <w:szCs w:val="20"/>
          <w:color w:val="auto"/>
        </w:rPr>
      </w:pPr>
      <w:r>
        <w:rPr>
          <w:rFonts w:ascii="Arial" w:cs="Arial" w:eastAsia="Arial" w:hAnsi="Arial"/>
          <w:sz w:val="16"/>
          <w:szCs w:val="16"/>
          <w:color w:val="auto"/>
        </w:rPr>
        <w:t>Except as indicated in the footnotes to the table below, we believe that the stockholders named in this table have sole voting and investment power with respect to all common shares shown to be beneficially owned by them, based on information provided to us by such stockholders. Unless otherwise indicated, the address for each director and executive officer listed is: 8176 Park Lane, Suite 500, Dallas, Texas 75231.</w:t>
      </w:r>
    </w:p>
    <w:p>
      <w:pPr>
        <w:spacing w:after="0" w:line="614" w:lineRule="exact"/>
        <w:rPr>
          <w:sz w:val="20"/>
          <w:szCs w:val="20"/>
          <w:color w:val="auto"/>
        </w:rPr>
      </w:pPr>
    </w:p>
    <w:p>
      <w:pPr>
        <w:sectPr>
          <w:pgSz w:w="11900" w:h="16838" w:orient="portrait"/>
          <w:cols w:equalWidth="0" w:num="2">
            <w:col w:w="4380" w:space="240"/>
            <w:col w:w="4399"/>
          </w:cols>
          <w:pgMar w:left="1440" w:top="262" w:right="1440" w:bottom="1440" w:gutter="0" w:footer="0" w:header="0"/>
          <w:type w:val="continuous"/>
        </w:sectPr>
      </w:pPr>
    </w:p>
    <w:p>
      <w:pPr>
        <w:ind w:left="640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121285</wp:posOffset>
            </wp:positionV>
            <wp:extent cx="693801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-158750</wp:posOffset>
            </wp:positionV>
            <wp:extent cx="594995" cy="170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28" w:name="page29"/>
    <w:bookmarkEnd w:id="28"/>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92075</wp:posOffset>
            </wp:positionV>
            <wp:extent cx="530542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5520" w:type="dxa"/>
            <w:vAlign w:val="bottom"/>
            <w:shd w:val="clear" w:color="auto" w:fill="717295"/>
          </w:tcPr>
          <w:p>
            <w:pPr>
              <w:spacing w:after="0"/>
              <w:rPr>
                <w:sz w:val="22"/>
                <w:szCs w:val="22"/>
                <w:color w:val="auto"/>
              </w:rPr>
            </w:pPr>
          </w:p>
        </w:tc>
        <w:tc>
          <w:tcPr>
            <w:tcW w:w="440" w:type="dxa"/>
            <w:vAlign w:val="bottom"/>
            <w:shd w:val="clear" w:color="auto" w:fill="717295"/>
          </w:tcPr>
          <w:p>
            <w:pPr>
              <w:spacing w:after="0"/>
              <w:rPr>
                <w:sz w:val="22"/>
                <w:szCs w:val="22"/>
                <w:color w:val="auto"/>
              </w:rPr>
            </w:pPr>
          </w:p>
        </w:tc>
        <w:tc>
          <w:tcPr>
            <w:tcW w:w="1060" w:type="dxa"/>
            <w:vAlign w:val="bottom"/>
            <w:shd w:val="clear" w:color="auto" w:fill="717295"/>
          </w:tcPr>
          <w:p>
            <w:pPr>
              <w:spacing w:after="0"/>
              <w:rPr>
                <w:sz w:val="22"/>
                <w:szCs w:val="22"/>
                <w:color w:val="auto"/>
              </w:rPr>
            </w:pPr>
          </w:p>
        </w:tc>
        <w:tc>
          <w:tcPr>
            <w:tcW w:w="220" w:type="dxa"/>
            <w:vAlign w:val="bottom"/>
            <w:shd w:val="clear" w:color="auto" w:fill="717295"/>
          </w:tcPr>
          <w:p>
            <w:pPr>
              <w:spacing w:after="0"/>
              <w:rPr>
                <w:sz w:val="22"/>
                <w:szCs w:val="22"/>
                <w:color w:val="auto"/>
              </w:rPr>
            </w:pPr>
          </w:p>
        </w:tc>
        <w:tc>
          <w:tcPr>
            <w:tcW w:w="980" w:type="dxa"/>
            <w:vAlign w:val="bottom"/>
            <w:shd w:val="clear" w:color="auto" w:fill="717295"/>
          </w:tcPr>
          <w:p>
            <w:pPr>
              <w:jc w:val="right"/>
              <w:spacing w:after="0"/>
              <w:rPr>
                <w:sz w:val="20"/>
                <w:szCs w:val="20"/>
                <w:color w:val="auto"/>
              </w:rPr>
            </w:pPr>
            <w:r>
              <w:rPr>
                <w:rFonts w:ascii="Arial" w:cs="Arial" w:eastAsia="Arial" w:hAnsi="Arial"/>
                <w:sz w:val="14"/>
                <w:szCs w:val="14"/>
                <w:b w:val="1"/>
                <w:bCs w:val="1"/>
                <w:color w:val="FFFFFF"/>
              </w:rPr>
              <w:t>Percentage of</w:t>
            </w:r>
          </w:p>
        </w:tc>
        <w:tc>
          <w:tcPr>
            <w:tcW w:w="140" w:type="dxa"/>
            <w:vAlign w:val="bottom"/>
            <w:shd w:val="clear" w:color="auto" w:fill="717295"/>
          </w:tcPr>
          <w:p>
            <w:pPr>
              <w:spacing w:after="0"/>
              <w:rPr>
                <w:sz w:val="22"/>
                <w:szCs w:val="22"/>
                <w:color w:val="auto"/>
              </w:rPr>
            </w:pPr>
          </w:p>
        </w:tc>
      </w:tr>
      <w:tr>
        <w:trPr>
          <w:trHeight w:val="170"/>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shd w:val="clear" w:color="auto" w:fill="717295"/>
          </w:tcPr>
          <w:p>
            <w:pPr>
              <w:spacing w:after="0"/>
              <w:rPr>
                <w:sz w:val="14"/>
                <w:szCs w:val="14"/>
                <w:color w:val="auto"/>
              </w:rPr>
            </w:pPr>
          </w:p>
        </w:tc>
        <w:tc>
          <w:tcPr>
            <w:tcW w:w="1720" w:type="dxa"/>
            <w:vAlign w:val="bottom"/>
            <w:gridSpan w:val="3"/>
            <w:shd w:val="clear" w:color="auto" w:fill="717295"/>
          </w:tcPr>
          <w:p>
            <w:pPr>
              <w:ind w:left="260"/>
              <w:spacing w:after="0"/>
              <w:rPr>
                <w:sz w:val="20"/>
                <w:szCs w:val="20"/>
                <w:color w:val="auto"/>
              </w:rPr>
            </w:pPr>
            <w:r>
              <w:rPr>
                <w:rFonts w:ascii="Times New Roman" w:cs="Times New Roman" w:eastAsia="Times New Roman" w:hAnsi="Times New Roman"/>
                <w:sz w:val="7"/>
                <w:szCs w:val="7"/>
                <w:color w:val="000000"/>
                <w:vertAlign w:val="subscript"/>
              </w:rPr>
              <w:t>​   ​</w:t>
            </w:r>
            <w:r>
              <w:rPr>
                <w:rFonts w:ascii="Arial" w:cs="Arial" w:eastAsia="Arial" w:hAnsi="Arial"/>
                <w:sz w:val="14"/>
                <w:szCs w:val="14"/>
                <w:b w:val="1"/>
                <w:bCs w:val="1"/>
                <w:color w:val="FFFFFF"/>
              </w:rPr>
              <w:t xml:space="preserve">   Number of Shares </w:t>
            </w:r>
            <w:r>
              <w:rPr>
                <w:rFonts w:ascii="Times New Roman" w:cs="Times New Roman" w:eastAsia="Times New Roman" w:hAnsi="Times New Roman"/>
                <w:sz w:val="7"/>
                <w:szCs w:val="7"/>
                <w:color w:val="000000"/>
                <w:vertAlign w:val="subscript"/>
              </w:rPr>
              <w:t>​   ​</w:t>
            </w:r>
          </w:p>
        </w:tc>
        <w:tc>
          <w:tcPr>
            <w:tcW w:w="980" w:type="dxa"/>
            <w:vAlign w:val="bottom"/>
            <w:shd w:val="clear" w:color="auto" w:fill="717295"/>
          </w:tcPr>
          <w:p>
            <w:pPr>
              <w:jc w:val="right"/>
              <w:ind w:right="161"/>
              <w:spacing w:after="0"/>
              <w:rPr>
                <w:sz w:val="20"/>
                <w:szCs w:val="20"/>
                <w:color w:val="auto"/>
              </w:rPr>
            </w:pPr>
            <w:r>
              <w:rPr>
                <w:rFonts w:ascii="Arial" w:cs="Arial" w:eastAsia="Arial" w:hAnsi="Arial"/>
                <w:sz w:val="14"/>
                <w:szCs w:val="14"/>
                <w:b w:val="1"/>
                <w:bCs w:val="1"/>
                <w:color w:val="FFFFFF"/>
              </w:rPr>
              <w:t>Shares</w:t>
            </w:r>
          </w:p>
        </w:tc>
        <w:tc>
          <w:tcPr>
            <w:tcW w:w="140" w:type="dxa"/>
            <w:vAlign w:val="bottom"/>
            <w:shd w:val="clear" w:color="auto" w:fill="717295"/>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135"/>
        </w:trPr>
        <w:tc>
          <w:tcPr>
            <w:tcW w:w="20" w:type="dxa"/>
            <w:vAlign w:val="bottom"/>
          </w:tcPr>
          <w:p>
            <w:pPr>
              <w:spacing w:after="0"/>
              <w:rPr>
                <w:sz w:val="11"/>
                <w:szCs w:val="11"/>
                <w:color w:val="auto"/>
              </w:rPr>
            </w:pPr>
          </w:p>
        </w:tc>
        <w:tc>
          <w:tcPr>
            <w:tcW w:w="5520" w:type="dxa"/>
            <w:vAlign w:val="bottom"/>
            <w:shd w:val="clear" w:color="auto" w:fill="717295"/>
          </w:tcPr>
          <w:p>
            <w:pPr>
              <w:spacing w:after="0"/>
              <w:rPr>
                <w:sz w:val="11"/>
                <w:szCs w:val="11"/>
                <w:color w:val="auto"/>
              </w:rPr>
            </w:pPr>
          </w:p>
        </w:tc>
        <w:tc>
          <w:tcPr>
            <w:tcW w:w="440" w:type="dxa"/>
            <w:vAlign w:val="bottom"/>
            <w:shd w:val="clear" w:color="auto" w:fill="717295"/>
          </w:tcPr>
          <w:p>
            <w:pPr>
              <w:spacing w:after="0"/>
              <w:rPr>
                <w:sz w:val="11"/>
                <w:szCs w:val="11"/>
                <w:color w:val="auto"/>
              </w:rPr>
            </w:pPr>
          </w:p>
        </w:tc>
        <w:tc>
          <w:tcPr>
            <w:tcW w:w="1060" w:type="dxa"/>
            <w:vAlign w:val="bottom"/>
            <w:shd w:val="clear" w:color="auto" w:fill="717295"/>
          </w:tcPr>
          <w:p>
            <w:pPr>
              <w:jc w:val="right"/>
              <w:ind w:right="41"/>
              <w:spacing w:after="0" w:line="135" w:lineRule="exact"/>
              <w:rPr>
                <w:sz w:val="20"/>
                <w:szCs w:val="20"/>
                <w:color w:val="auto"/>
              </w:rPr>
            </w:pPr>
            <w:r>
              <w:rPr>
                <w:rFonts w:ascii="Arial" w:cs="Arial" w:eastAsia="Arial" w:hAnsi="Arial"/>
                <w:sz w:val="14"/>
                <w:szCs w:val="14"/>
                <w:b w:val="1"/>
                <w:bCs w:val="1"/>
                <w:color w:val="FFFFFF"/>
              </w:rPr>
              <w:t>Beneficially</w:t>
            </w:r>
          </w:p>
        </w:tc>
        <w:tc>
          <w:tcPr>
            <w:tcW w:w="220" w:type="dxa"/>
            <w:vAlign w:val="bottom"/>
            <w:shd w:val="clear" w:color="auto" w:fill="717295"/>
          </w:tcPr>
          <w:p>
            <w:pPr>
              <w:spacing w:after="0"/>
              <w:rPr>
                <w:sz w:val="11"/>
                <w:szCs w:val="11"/>
                <w:color w:val="auto"/>
              </w:rPr>
            </w:pPr>
          </w:p>
        </w:tc>
        <w:tc>
          <w:tcPr>
            <w:tcW w:w="980" w:type="dxa"/>
            <w:vAlign w:val="bottom"/>
            <w:shd w:val="clear" w:color="auto" w:fill="717295"/>
          </w:tcPr>
          <w:p>
            <w:pPr>
              <w:jc w:val="right"/>
              <w:ind w:right="21"/>
              <w:spacing w:after="0" w:line="135" w:lineRule="exact"/>
              <w:rPr>
                <w:sz w:val="20"/>
                <w:szCs w:val="20"/>
                <w:color w:val="auto"/>
              </w:rPr>
            </w:pPr>
            <w:r>
              <w:rPr>
                <w:rFonts w:ascii="Arial" w:cs="Arial" w:eastAsia="Arial" w:hAnsi="Arial"/>
                <w:sz w:val="14"/>
                <w:szCs w:val="14"/>
                <w:b w:val="1"/>
                <w:bCs w:val="1"/>
                <w:color w:val="FFFFFF"/>
              </w:rPr>
              <w:t>Beneficially</w:t>
            </w:r>
          </w:p>
        </w:tc>
        <w:tc>
          <w:tcPr>
            <w:tcW w:w="140" w:type="dxa"/>
            <w:vAlign w:val="bottom"/>
            <w:shd w:val="clear" w:color="auto" w:fill="717295"/>
          </w:tcPr>
          <w:p>
            <w:pPr>
              <w:spacing w:after="0"/>
              <w:rPr>
                <w:sz w:val="11"/>
                <w:szCs w:val="11"/>
                <w:color w:val="auto"/>
              </w:rPr>
            </w:pPr>
          </w:p>
        </w:tc>
      </w:tr>
      <w:tr>
        <w:trPr>
          <w:trHeight w:val="240"/>
        </w:trPr>
        <w:tc>
          <w:tcPr>
            <w:tcW w:w="20" w:type="dxa"/>
            <w:vAlign w:val="bottom"/>
          </w:tcPr>
          <w:p>
            <w:pPr>
              <w:spacing w:after="0"/>
              <w:rPr>
                <w:sz w:val="20"/>
                <w:szCs w:val="20"/>
                <w:color w:val="auto"/>
              </w:rPr>
            </w:pPr>
          </w:p>
        </w:tc>
        <w:tc>
          <w:tcPr>
            <w:tcW w:w="5520" w:type="dxa"/>
            <w:vAlign w:val="bottom"/>
            <w:shd w:val="clear" w:color="auto" w:fill="717295"/>
          </w:tcPr>
          <w:p>
            <w:pPr>
              <w:ind w:left="140"/>
              <w:spacing w:after="0"/>
              <w:rPr>
                <w:sz w:val="20"/>
                <w:szCs w:val="20"/>
                <w:color w:val="auto"/>
              </w:rPr>
            </w:pPr>
            <w:r>
              <w:rPr>
                <w:rFonts w:ascii="Arial" w:cs="Arial" w:eastAsia="Arial" w:hAnsi="Arial"/>
                <w:sz w:val="14"/>
                <w:szCs w:val="14"/>
                <w:b w:val="1"/>
                <w:bCs w:val="1"/>
                <w:i w:val="1"/>
                <w:iCs w:val="1"/>
                <w:color w:val="FFFFFF"/>
              </w:rPr>
              <w:t>Name of Beneficial Owner</w:t>
            </w:r>
          </w:p>
        </w:tc>
        <w:tc>
          <w:tcPr>
            <w:tcW w:w="440" w:type="dxa"/>
            <w:vAlign w:val="bottom"/>
            <w:shd w:val="clear" w:color="auto" w:fill="717295"/>
          </w:tcPr>
          <w:p>
            <w:pPr>
              <w:spacing w:after="0"/>
              <w:rPr>
                <w:sz w:val="20"/>
                <w:szCs w:val="20"/>
                <w:color w:val="auto"/>
              </w:rPr>
            </w:pPr>
          </w:p>
        </w:tc>
        <w:tc>
          <w:tcPr>
            <w:tcW w:w="1060" w:type="dxa"/>
            <w:vAlign w:val="bottom"/>
            <w:shd w:val="clear" w:color="auto" w:fill="717295"/>
          </w:tcPr>
          <w:p>
            <w:pPr>
              <w:jc w:val="right"/>
              <w:ind w:right="121"/>
              <w:spacing w:after="0" w:line="240" w:lineRule="exact"/>
              <w:rPr>
                <w:sz w:val="20"/>
                <w:szCs w:val="20"/>
                <w:color w:val="auto"/>
              </w:rPr>
            </w:pPr>
            <w:r>
              <w:rPr>
                <w:rFonts w:ascii="Arial" w:cs="Arial" w:eastAsia="Arial" w:hAnsi="Arial"/>
                <w:sz w:val="14"/>
                <w:szCs w:val="14"/>
                <w:b w:val="1"/>
                <w:bCs w:val="1"/>
                <w:color w:val="FFFFFF"/>
              </w:rPr>
              <w:t>Owned</w:t>
            </w:r>
            <w:r>
              <w:rPr>
                <w:rFonts w:ascii="Arial" w:cs="Arial" w:eastAsia="Arial" w:hAnsi="Arial"/>
                <w:sz w:val="23"/>
                <w:szCs w:val="23"/>
                <w:b w:val="1"/>
                <w:bCs w:val="1"/>
                <w:color w:val="FFFFFF"/>
                <w:vertAlign w:val="superscript"/>
              </w:rPr>
              <w:t>(1)</w:t>
            </w:r>
          </w:p>
        </w:tc>
        <w:tc>
          <w:tcPr>
            <w:tcW w:w="220" w:type="dxa"/>
            <w:vAlign w:val="bottom"/>
            <w:shd w:val="clear" w:color="auto" w:fill="717295"/>
          </w:tcPr>
          <w:p>
            <w:pPr>
              <w:spacing w:after="0"/>
              <w:rPr>
                <w:sz w:val="20"/>
                <w:szCs w:val="20"/>
                <w:color w:val="auto"/>
              </w:rPr>
            </w:pPr>
          </w:p>
        </w:tc>
        <w:tc>
          <w:tcPr>
            <w:tcW w:w="980" w:type="dxa"/>
            <w:vAlign w:val="bottom"/>
            <w:shd w:val="clear" w:color="auto" w:fill="717295"/>
          </w:tcPr>
          <w:p>
            <w:pPr>
              <w:jc w:val="right"/>
              <w:ind w:right="141"/>
              <w:spacing w:after="0"/>
              <w:rPr>
                <w:sz w:val="20"/>
                <w:szCs w:val="20"/>
                <w:color w:val="auto"/>
              </w:rPr>
            </w:pPr>
            <w:r>
              <w:rPr>
                <w:rFonts w:ascii="Arial" w:cs="Arial" w:eastAsia="Arial" w:hAnsi="Arial"/>
                <w:sz w:val="14"/>
                <w:szCs w:val="14"/>
                <w:b w:val="1"/>
                <w:bCs w:val="1"/>
                <w:color w:val="FFFFFF"/>
              </w:rPr>
              <w:t>Owned</w:t>
            </w:r>
          </w:p>
        </w:tc>
        <w:tc>
          <w:tcPr>
            <w:tcW w:w="140" w:type="dxa"/>
            <w:vAlign w:val="bottom"/>
            <w:shd w:val="clear" w:color="auto" w:fill="717295"/>
          </w:tcPr>
          <w:p>
            <w:pPr>
              <w:spacing w:after="0"/>
              <w:rPr>
                <w:sz w:val="20"/>
                <w:szCs w:val="20"/>
                <w:color w:val="auto"/>
              </w:rPr>
            </w:pP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tcBorders>
              <w:bottom w:val="single" w:sz="8" w:color="ACABC0"/>
            </w:tcBorders>
            <w:shd w:val="clear" w:color="auto" w:fill="ACABC0"/>
          </w:tcPr>
          <w:p>
            <w:pPr>
              <w:ind w:left="140"/>
              <w:spacing w:after="0"/>
              <w:rPr>
                <w:sz w:val="20"/>
                <w:szCs w:val="20"/>
                <w:color w:val="auto"/>
              </w:rPr>
            </w:pPr>
            <w:r>
              <w:rPr>
                <w:rFonts w:ascii="Arial" w:cs="Arial" w:eastAsia="Arial" w:hAnsi="Arial"/>
                <w:sz w:val="16"/>
                <w:szCs w:val="16"/>
                <w:b w:val="1"/>
                <w:bCs w:val="1"/>
                <w:i w:val="1"/>
                <w:iCs w:val="1"/>
                <w:color w:val="auto"/>
              </w:rPr>
              <w:t>Named Executive Officers</w:t>
            </w:r>
          </w:p>
        </w:tc>
        <w:tc>
          <w:tcPr>
            <w:tcW w:w="440" w:type="dxa"/>
            <w:vAlign w:val="bottom"/>
            <w:tcBorders>
              <w:bottom w:val="single" w:sz="8" w:color="ACABC0"/>
            </w:tcBorders>
            <w:shd w:val="clear" w:color="auto" w:fill="ACABC0"/>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Borders>
              <w:bottom w:val="single" w:sz="8" w:color="ACABC0"/>
            </w:tcBorders>
            <w:shd w:val="clear" w:color="auto" w:fill="ACABC0"/>
          </w:tcPr>
          <w:p>
            <w:pPr>
              <w:spacing w:after="0"/>
              <w:rPr>
                <w:sz w:val="23"/>
                <w:szCs w:val="23"/>
                <w:color w:val="auto"/>
              </w:rPr>
            </w:pPr>
          </w:p>
        </w:tc>
        <w:tc>
          <w:tcPr>
            <w:tcW w:w="220" w:type="dxa"/>
            <w:vAlign w:val="bottom"/>
            <w:tcBorders>
              <w:bottom w:val="single" w:sz="8" w:color="ACABC0"/>
            </w:tcBorders>
            <w:shd w:val="clear" w:color="auto" w:fill="ACABC0"/>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Borders>
              <w:bottom w:val="single" w:sz="8" w:color="ACABC0"/>
            </w:tcBorders>
            <w:shd w:val="clear" w:color="auto" w:fill="ACABC0"/>
          </w:tcPr>
          <w:p>
            <w:pPr>
              <w:spacing w:after="0"/>
              <w:rPr>
                <w:sz w:val="23"/>
                <w:szCs w:val="23"/>
                <w:color w:val="auto"/>
              </w:rPr>
            </w:pPr>
          </w:p>
        </w:tc>
        <w:tc>
          <w:tcPr>
            <w:tcW w:w="14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6"/>
                <w:szCs w:val="16"/>
                <w:color w:val="auto"/>
              </w:rPr>
              <w:t>Andrew G. Inglis</w:t>
            </w:r>
          </w:p>
        </w:tc>
        <w:tc>
          <w:tcPr>
            <w:tcW w:w="440" w:type="dxa"/>
            <w:vAlign w:val="bottom"/>
            <w:tcBorders>
              <w:bottom w:val="single" w:sz="8" w:color="F1F2F2"/>
            </w:tcBorders>
            <w:shd w:val="clear" w:color="auto" w:fill="F1F2F2"/>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Borders>
              <w:bottom w:val="single" w:sz="8" w:color="F1F2F2"/>
            </w:tcBorders>
            <w:shd w:val="clear" w:color="auto" w:fill="F1F2F2"/>
          </w:tcPr>
          <w:p>
            <w:pPr>
              <w:jc w:val="right"/>
              <w:ind w:right="61"/>
              <w:spacing w:after="0"/>
              <w:rPr>
                <w:sz w:val="20"/>
                <w:szCs w:val="20"/>
                <w:color w:val="auto"/>
              </w:rPr>
            </w:pPr>
            <w:r>
              <w:rPr>
                <w:rFonts w:ascii="Arial" w:cs="Arial" w:eastAsia="Arial" w:hAnsi="Arial"/>
                <w:sz w:val="16"/>
                <w:szCs w:val="16"/>
                <w:color w:val="auto"/>
              </w:rPr>
              <w:t>2,258,563</w:t>
            </w:r>
          </w:p>
        </w:tc>
        <w:tc>
          <w:tcPr>
            <w:tcW w:w="220" w:type="dxa"/>
            <w:vAlign w:val="bottom"/>
            <w:tcBorders>
              <w:bottom w:val="single" w:sz="8" w:color="F1F2F2"/>
            </w:tcBorders>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Borders>
              <w:bottom w:val="single" w:sz="8" w:color="F1F2F2"/>
            </w:tcBorders>
            <w:shd w:val="clear" w:color="auto" w:fill="F1F2F2"/>
          </w:tcPr>
          <w:p>
            <w:pPr>
              <w:jc w:val="right"/>
              <w:ind w:right="16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tcBorders>
              <w:bottom w:val="single" w:sz="8" w:color="ACABC0"/>
            </w:tcBorders>
            <w:shd w:val="clear" w:color="auto" w:fill="ACABC0"/>
          </w:tcPr>
          <w:p>
            <w:pPr>
              <w:ind w:left="140"/>
              <w:spacing w:after="0"/>
              <w:rPr>
                <w:sz w:val="20"/>
                <w:szCs w:val="20"/>
                <w:color w:val="auto"/>
              </w:rPr>
            </w:pPr>
            <w:r>
              <w:rPr>
                <w:rFonts w:ascii="Arial" w:cs="Arial" w:eastAsia="Arial" w:hAnsi="Arial"/>
                <w:sz w:val="16"/>
                <w:szCs w:val="16"/>
                <w:color w:val="auto"/>
              </w:rPr>
              <w:t>Neal D. Shah</w:t>
            </w:r>
          </w:p>
        </w:tc>
        <w:tc>
          <w:tcPr>
            <w:tcW w:w="440" w:type="dxa"/>
            <w:vAlign w:val="bottom"/>
            <w:tcBorders>
              <w:bottom w:val="single" w:sz="8" w:color="ACABC0"/>
            </w:tcBorders>
            <w:shd w:val="clear" w:color="auto" w:fill="ACABC0"/>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Borders>
              <w:bottom w:val="single" w:sz="8" w:color="ACABC0"/>
            </w:tcBorders>
            <w:shd w:val="clear" w:color="auto" w:fill="ACABC0"/>
          </w:tcPr>
          <w:p>
            <w:pPr>
              <w:jc w:val="right"/>
              <w:ind w:right="61"/>
              <w:spacing w:after="0"/>
              <w:rPr>
                <w:sz w:val="20"/>
                <w:szCs w:val="20"/>
                <w:color w:val="auto"/>
              </w:rPr>
            </w:pPr>
            <w:r>
              <w:rPr>
                <w:rFonts w:ascii="Arial" w:cs="Arial" w:eastAsia="Arial" w:hAnsi="Arial"/>
                <w:sz w:val="16"/>
                <w:szCs w:val="16"/>
                <w:color w:val="auto"/>
              </w:rPr>
              <w:t>662,033</w:t>
            </w:r>
          </w:p>
        </w:tc>
        <w:tc>
          <w:tcPr>
            <w:tcW w:w="220" w:type="dxa"/>
            <w:vAlign w:val="bottom"/>
            <w:tcBorders>
              <w:bottom w:val="single" w:sz="8" w:color="ACABC0"/>
            </w:tcBorders>
            <w:shd w:val="clear" w:color="auto" w:fill="ACABC0"/>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Borders>
              <w:bottom w:val="single" w:sz="8" w:color="ACABC0"/>
            </w:tcBorders>
            <w:shd w:val="clear" w:color="auto" w:fill="ACABC0"/>
          </w:tcPr>
          <w:p>
            <w:pPr>
              <w:jc w:val="right"/>
              <w:ind w:right="16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6"/>
                <w:szCs w:val="16"/>
                <w:color w:val="auto"/>
              </w:rPr>
              <w:t>Christopher J. Ball</w:t>
            </w:r>
          </w:p>
        </w:tc>
        <w:tc>
          <w:tcPr>
            <w:tcW w:w="440" w:type="dxa"/>
            <w:vAlign w:val="bottom"/>
            <w:tcBorders>
              <w:bottom w:val="single" w:sz="8" w:color="F1F2F2"/>
            </w:tcBorders>
            <w:shd w:val="clear" w:color="auto" w:fill="F1F2F2"/>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Borders>
              <w:bottom w:val="single" w:sz="8" w:color="F1F2F2"/>
            </w:tcBorders>
            <w:shd w:val="clear" w:color="auto" w:fill="F1F2F2"/>
          </w:tcPr>
          <w:p>
            <w:pPr>
              <w:jc w:val="right"/>
              <w:ind w:right="61"/>
              <w:spacing w:after="0"/>
              <w:rPr>
                <w:sz w:val="20"/>
                <w:szCs w:val="20"/>
                <w:color w:val="auto"/>
              </w:rPr>
            </w:pPr>
            <w:r>
              <w:rPr>
                <w:rFonts w:ascii="Arial" w:cs="Arial" w:eastAsia="Arial" w:hAnsi="Arial"/>
                <w:sz w:val="16"/>
                <w:szCs w:val="16"/>
                <w:color w:val="auto"/>
              </w:rPr>
              <w:t>979,950</w:t>
            </w:r>
          </w:p>
        </w:tc>
        <w:tc>
          <w:tcPr>
            <w:tcW w:w="220" w:type="dxa"/>
            <w:vAlign w:val="bottom"/>
            <w:tcBorders>
              <w:bottom w:val="single" w:sz="8" w:color="F1F2F2"/>
            </w:tcBorders>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Borders>
              <w:bottom w:val="single" w:sz="8" w:color="F1F2F2"/>
            </w:tcBorders>
            <w:shd w:val="clear" w:color="auto" w:fill="F1F2F2"/>
          </w:tcPr>
          <w:p>
            <w:pPr>
              <w:jc w:val="right"/>
              <w:ind w:right="16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tcBorders>
              <w:bottom w:val="single" w:sz="8" w:color="ACABC0"/>
            </w:tcBorders>
            <w:shd w:val="clear" w:color="auto" w:fill="ACABC0"/>
          </w:tcPr>
          <w:p>
            <w:pPr>
              <w:ind w:left="140"/>
              <w:spacing w:after="0"/>
              <w:rPr>
                <w:sz w:val="20"/>
                <w:szCs w:val="20"/>
                <w:color w:val="auto"/>
              </w:rPr>
            </w:pPr>
            <w:r>
              <w:rPr>
                <w:rFonts w:ascii="Arial" w:cs="Arial" w:eastAsia="Arial" w:hAnsi="Arial"/>
                <w:sz w:val="16"/>
                <w:szCs w:val="16"/>
                <w:color w:val="auto"/>
              </w:rPr>
              <w:t>Richard R. Clark</w:t>
            </w:r>
          </w:p>
        </w:tc>
        <w:tc>
          <w:tcPr>
            <w:tcW w:w="440" w:type="dxa"/>
            <w:vAlign w:val="bottom"/>
            <w:tcBorders>
              <w:bottom w:val="single" w:sz="8" w:color="ACABC0"/>
            </w:tcBorders>
            <w:shd w:val="clear" w:color="auto" w:fill="ACABC0"/>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Borders>
              <w:bottom w:val="single" w:sz="8" w:color="ACABC0"/>
            </w:tcBorders>
            <w:shd w:val="clear" w:color="auto" w:fill="ACABC0"/>
          </w:tcPr>
          <w:p>
            <w:pPr>
              <w:jc w:val="right"/>
              <w:ind w:right="41"/>
              <w:spacing w:after="0"/>
              <w:rPr>
                <w:sz w:val="20"/>
                <w:szCs w:val="20"/>
                <w:color w:val="auto"/>
              </w:rPr>
            </w:pPr>
            <w:r>
              <w:rPr>
                <w:rFonts w:ascii="Arial" w:cs="Arial" w:eastAsia="Arial" w:hAnsi="Arial"/>
                <w:sz w:val="16"/>
                <w:szCs w:val="16"/>
                <w:color w:val="auto"/>
              </w:rPr>
              <w:t>614,224</w:t>
            </w:r>
          </w:p>
        </w:tc>
        <w:tc>
          <w:tcPr>
            <w:tcW w:w="220" w:type="dxa"/>
            <w:vAlign w:val="bottom"/>
            <w:tcBorders>
              <w:bottom w:val="single" w:sz="8" w:color="ACABC0"/>
            </w:tcBorders>
            <w:shd w:val="clear" w:color="auto" w:fill="ACABC0"/>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Borders>
              <w:bottom w:val="single" w:sz="8" w:color="ACABC0"/>
            </w:tcBorders>
            <w:shd w:val="clear" w:color="auto" w:fill="ACABC0"/>
          </w:tcPr>
          <w:p>
            <w:pPr>
              <w:jc w:val="right"/>
              <w:ind w:right="16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6"/>
                <w:szCs w:val="16"/>
                <w:color w:val="auto"/>
              </w:rPr>
              <w:t>Jason E. Doughty</w:t>
            </w:r>
          </w:p>
        </w:tc>
        <w:tc>
          <w:tcPr>
            <w:tcW w:w="440" w:type="dxa"/>
            <w:vAlign w:val="bottom"/>
            <w:tcBorders>
              <w:bottom w:val="single" w:sz="8" w:color="F1F2F2"/>
            </w:tcBorders>
            <w:shd w:val="clear" w:color="auto" w:fill="F1F2F2"/>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Borders>
              <w:bottom w:val="single" w:sz="8" w:color="F1F2F2"/>
            </w:tcBorders>
            <w:shd w:val="clear" w:color="auto" w:fill="F1F2F2"/>
          </w:tcPr>
          <w:p>
            <w:pPr>
              <w:jc w:val="right"/>
              <w:ind w:right="41"/>
              <w:spacing w:after="0"/>
              <w:rPr>
                <w:sz w:val="20"/>
                <w:szCs w:val="20"/>
                <w:color w:val="auto"/>
              </w:rPr>
            </w:pPr>
            <w:r>
              <w:rPr>
                <w:rFonts w:ascii="Arial" w:cs="Arial" w:eastAsia="Arial" w:hAnsi="Arial"/>
                <w:sz w:val="16"/>
                <w:szCs w:val="16"/>
                <w:color w:val="auto"/>
              </w:rPr>
              <w:t>942,311</w:t>
            </w:r>
          </w:p>
        </w:tc>
        <w:tc>
          <w:tcPr>
            <w:tcW w:w="220" w:type="dxa"/>
            <w:vAlign w:val="bottom"/>
            <w:tcBorders>
              <w:bottom w:val="single" w:sz="8" w:color="F1F2F2"/>
            </w:tcBorders>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Borders>
              <w:bottom w:val="single" w:sz="8" w:color="F1F2F2"/>
            </w:tcBorders>
            <w:shd w:val="clear" w:color="auto" w:fill="F1F2F2"/>
          </w:tcPr>
          <w:p>
            <w:pPr>
              <w:jc w:val="right"/>
              <w:ind w:right="16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tcBorders>
              <w:bottom w:val="single" w:sz="8" w:color="ACABC0"/>
            </w:tcBorders>
            <w:shd w:val="clear" w:color="auto" w:fill="ACABC0"/>
          </w:tcPr>
          <w:p>
            <w:pPr>
              <w:ind w:left="140"/>
              <w:spacing w:after="0"/>
              <w:rPr>
                <w:sz w:val="20"/>
                <w:szCs w:val="20"/>
                <w:color w:val="auto"/>
              </w:rPr>
            </w:pPr>
            <w:r>
              <w:rPr>
                <w:rFonts w:ascii="Arial" w:cs="Arial" w:eastAsia="Arial" w:hAnsi="Arial"/>
                <w:sz w:val="16"/>
                <w:szCs w:val="16"/>
                <w:b w:val="1"/>
                <w:bCs w:val="1"/>
                <w:i w:val="1"/>
                <w:iCs w:val="1"/>
                <w:color w:val="auto"/>
              </w:rPr>
              <w:t>Directors</w:t>
            </w:r>
          </w:p>
        </w:tc>
        <w:tc>
          <w:tcPr>
            <w:tcW w:w="440" w:type="dxa"/>
            <w:vAlign w:val="bottom"/>
            <w:tcBorders>
              <w:bottom w:val="single" w:sz="8" w:color="ACABC0"/>
            </w:tcBorders>
            <w:shd w:val="clear" w:color="auto" w:fill="ACABC0"/>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Borders>
              <w:bottom w:val="single" w:sz="8" w:color="ACABC0"/>
            </w:tcBorders>
            <w:shd w:val="clear" w:color="auto" w:fill="ACABC0"/>
          </w:tcPr>
          <w:p>
            <w:pPr>
              <w:spacing w:after="0"/>
              <w:rPr>
                <w:sz w:val="23"/>
                <w:szCs w:val="23"/>
                <w:color w:val="auto"/>
              </w:rPr>
            </w:pPr>
          </w:p>
        </w:tc>
        <w:tc>
          <w:tcPr>
            <w:tcW w:w="220" w:type="dxa"/>
            <w:vAlign w:val="bottom"/>
            <w:tcBorders>
              <w:bottom w:val="single" w:sz="8" w:color="ACABC0"/>
            </w:tcBorders>
            <w:shd w:val="clear" w:color="auto" w:fill="ACABC0"/>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Borders>
              <w:bottom w:val="single" w:sz="8" w:color="ACABC0"/>
            </w:tcBorders>
            <w:shd w:val="clear" w:color="auto" w:fill="ACABC0"/>
          </w:tcPr>
          <w:p>
            <w:pPr>
              <w:spacing w:after="0"/>
              <w:rPr>
                <w:sz w:val="23"/>
                <w:szCs w:val="23"/>
                <w:color w:val="auto"/>
              </w:rPr>
            </w:pPr>
          </w:p>
        </w:tc>
        <w:tc>
          <w:tcPr>
            <w:tcW w:w="14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6"/>
                <w:szCs w:val="16"/>
                <w:color w:val="auto"/>
              </w:rPr>
              <w:t>Lisa Davis</w:t>
            </w:r>
          </w:p>
        </w:tc>
        <w:tc>
          <w:tcPr>
            <w:tcW w:w="440" w:type="dxa"/>
            <w:vAlign w:val="bottom"/>
            <w:tcBorders>
              <w:bottom w:val="single" w:sz="8" w:color="F1F2F2"/>
            </w:tcBorders>
            <w:shd w:val="clear" w:color="auto" w:fill="F1F2F2"/>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Borders>
              <w:bottom w:val="single" w:sz="8" w:color="F1F2F2"/>
            </w:tcBorders>
            <w:shd w:val="clear" w:color="auto" w:fill="F1F2F2"/>
          </w:tcPr>
          <w:p>
            <w:pPr>
              <w:jc w:val="right"/>
              <w:ind w:right="41"/>
              <w:spacing w:after="0"/>
              <w:rPr>
                <w:sz w:val="20"/>
                <w:szCs w:val="20"/>
                <w:color w:val="auto"/>
              </w:rPr>
            </w:pPr>
            <w:r>
              <w:rPr>
                <w:rFonts w:ascii="Arial" w:cs="Arial" w:eastAsia="Arial" w:hAnsi="Arial"/>
                <w:sz w:val="16"/>
                <w:szCs w:val="16"/>
                <w:color w:val="auto"/>
              </w:rPr>
              <w:t>91,332</w:t>
            </w:r>
          </w:p>
        </w:tc>
        <w:tc>
          <w:tcPr>
            <w:tcW w:w="220" w:type="dxa"/>
            <w:vAlign w:val="bottom"/>
            <w:tcBorders>
              <w:bottom w:val="single" w:sz="8" w:color="F1F2F2"/>
            </w:tcBorders>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Borders>
              <w:bottom w:val="single" w:sz="8" w:color="F1F2F2"/>
            </w:tcBorders>
            <w:shd w:val="clear" w:color="auto" w:fill="F1F2F2"/>
          </w:tcPr>
          <w:p>
            <w:pPr>
              <w:jc w:val="right"/>
              <w:ind w:right="16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tcBorders>
              <w:bottom w:val="single" w:sz="8" w:color="ACABC0"/>
            </w:tcBorders>
            <w:shd w:val="clear" w:color="auto" w:fill="ACABC0"/>
          </w:tcPr>
          <w:p>
            <w:pPr>
              <w:ind w:left="140"/>
              <w:spacing w:after="0"/>
              <w:rPr>
                <w:sz w:val="20"/>
                <w:szCs w:val="20"/>
                <w:color w:val="auto"/>
              </w:rPr>
            </w:pPr>
            <w:r>
              <w:rPr>
                <w:rFonts w:ascii="Arial" w:cs="Arial" w:eastAsia="Arial" w:hAnsi="Arial"/>
                <w:sz w:val="16"/>
                <w:szCs w:val="16"/>
                <w:color w:val="auto"/>
              </w:rPr>
              <w:t>Sir Richard Dearlove</w:t>
            </w:r>
          </w:p>
        </w:tc>
        <w:tc>
          <w:tcPr>
            <w:tcW w:w="440" w:type="dxa"/>
            <w:vAlign w:val="bottom"/>
            <w:tcBorders>
              <w:bottom w:val="single" w:sz="8" w:color="ACABC0"/>
            </w:tcBorders>
            <w:shd w:val="clear" w:color="auto" w:fill="ACABC0"/>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Borders>
              <w:bottom w:val="single" w:sz="8" w:color="ACABC0"/>
            </w:tcBorders>
            <w:shd w:val="clear" w:color="auto" w:fill="ACABC0"/>
          </w:tcPr>
          <w:p>
            <w:pPr>
              <w:jc w:val="right"/>
              <w:ind w:right="61"/>
              <w:spacing w:after="0"/>
              <w:rPr>
                <w:sz w:val="20"/>
                <w:szCs w:val="20"/>
                <w:color w:val="auto"/>
              </w:rPr>
            </w:pPr>
            <w:r>
              <w:rPr>
                <w:rFonts w:ascii="Arial" w:cs="Arial" w:eastAsia="Arial" w:hAnsi="Arial"/>
                <w:sz w:val="16"/>
                <w:szCs w:val="16"/>
                <w:color w:val="auto"/>
              </w:rPr>
              <w:t>203,223</w:t>
            </w:r>
          </w:p>
        </w:tc>
        <w:tc>
          <w:tcPr>
            <w:tcW w:w="220" w:type="dxa"/>
            <w:vAlign w:val="bottom"/>
            <w:tcBorders>
              <w:bottom w:val="single" w:sz="8" w:color="ACABC0"/>
            </w:tcBorders>
            <w:shd w:val="clear" w:color="auto" w:fill="ACABC0"/>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Borders>
              <w:bottom w:val="single" w:sz="8" w:color="ACABC0"/>
            </w:tcBorders>
            <w:shd w:val="clear" w:color="auto" w:fill="ACABC0"/>
          </w:tcPr>
          <w:p>
            <w:pPr>
              <w:jc w:val="right"/>
              <w:ind w:right="16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6"/>
                <w:szCs w:val="16"/>
                <w:color w:val="auto"/>
              </w:rPr>
              <w:t>Roy A. Franklin</w:t>
            </w:r>
          </w:p>
        </w:tc>
        <w:tc>
          <w:tcPr>
            <w:tcW w:w="440" w:type="dxa"/>
            <w:vAlign w:val="bottom"/>
            <w:tcBorders>
              <w:bottom w:val="single" w:sz="8" w:color="F1F2F2"/>
            </w:tcBorders>
            <w:shd w:val="clear" w:color="auto" w:fill="F1F2F2"/>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Borders>
              <w:bottom w:val="single" w:sz="8" w:color="F1F2F2"/>
            </w:tcBorders>
            <w:shd w:val="clear" w:color="auto" w:fill="F1F2F2"/>
          </w:tcPr>
          <w:p>
            <w:pPr>
              <w:jc w:val="right"/>
              <w:ind w:right="41"/>
              <w:spacing w:after="0"/>
              <w:rPr>
                <w:sz w:val="20"/>
                <w:szCs w:val="20"/>
                <w:color w:val="auto"/>
              </w:rPr>
            </w:pPr>
            <w:r>
              <w:rPr>
                <w:rFonts w:ascii="Arial" w:cs="Arial" w:eastAsia="Arial" w:hAnsi="Arial"/>
                <w:sz w:val="16"/>
                <w:szCs w:val="16"/>
                <w:color w:val="auto"/>
              </w:rPr>
              <w:t>0</w:t>
            </w:r>
          </w:p>
        </w:tc>
        <w:tc>
          <w:tcPr>
            <w:tcW w:w="220" w:type="dxa"/>
            <w:vAlign w:val="bottom"/>
            <w:tcBorders>
              <w:bottom w:val="single" w:sz="8" w:color="F1F2F2"/>
            </w:tcBorders>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Borders>
              <w:bottom w:val="single" w:sz="8" w:color="F1F2F2"/>
            </w:tcBorders>
            <w:shd w:val="clear" w:color="auto" w:fill="F1F2F2"/>
          </w:tcPr>
          <w:p>
            <w:pPr>
              <w:jc w:val="right"/>
              <w:ind w:right="16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tcBorders>
              <w:bottom w:val="single" w:sz="8" w:color="ACABC0"/>
            </w:tcBorders>
            <w:shd w:val="clear" w:color="auto" w:fill="ACABC0"/>
          </w:tcPr>
          <w:p>
            <w:pPr>
              <w:ind w:left="140"/>
              <w:spacing w:after="0"/>
              <w:rPr>
                <w:sz w:val="20"/>
                <w:szCs w:val="20"/>
                <w:color w:val="auto"/>
              </w:rPr>
            </w:pPr>
            <w:r>
              <w:rPr>
                <w:rFonts w:ascii="Arial" w:cs="Arial" w:eastAsia="Arial" w:hAnsi="Arial"/>
                <w:sz w:val="16"/>
                <w:szCs w:val="16"/>
                <w:color w:val="auto"/>
              </w:rPr>
              <w:t>Deanna L. Goodwin</w:t>
            </w:r>
          </w:p>
        </w:tc>
        <w:tc>
          <w:tcPr>
            <w:tcW w:w="440" w:type="dxa"/>
            <w:vAlign w:val="bottom"/>
            <w:tcBorders>
              <w:bottom w:val="single" w:sz="8" w:color="ACABC0"/>
            </w:tcBorders>
            <w:shd w:val="clear" w:color="auto" w:fill="ACABC0"/>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Borders>
              <w:bottom w:val="single" w:sz="8" w:color="ACABC0"/>
            </w:tcBorders>
            <w:shd w:val="clear" w:color="auto" w:fill="ACABC0"/>
          </w:tcPr>
          <w:p>
            <w:pPr>
              <w:jc w:val="right"/>
              <w:ind w:right="41"/>
              <w:spacing w:after="0"/>
              <w:rPr>
                <w:sz w:val="20"/>
                <w:szCs w:val="20"/>
                <w:color w:val="auto"/>
              </w:rPr>
            </w:pPr>
            <w:r>
              <w:rPr>
                <w:rFonts w:ascii="Arial" w:cs="Arial" w:eastAsia="Arial" w:hAnsi="Arial"/>
                <w:sz w:val="16"/>
                <w:szCs w:val="16"/>
                <w:color w:val="auto"/>
              </w:rPr>
              <w:t>113,827</w:t>
            </w:r>
          </w:p>
        </w:tc>
        <w:tc>
          <w:tcPr>
            <w:tcW w:w="220" w:type="dxa"/>
            <w:vAlign w:val="bottom"/>
            <w:tcBorders>
              <w:bottom w:val="single" w:sz="8" w:color="ACABC0"/>
            </w:tcBorders>
            <w:shd w:val="clear" w:color="auto" w:fill="ACABC0"/>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Borders>
              <w:bottom w:val="single" w:sz="8" w:color="ACABC0"/>
            </w:tcBorders>
            <w:shd w:val="clear" w:color="auto" w:fill="ACABC0"/>
          </w:tcPr>
          <w:p>
            <w:pPr>
              <w:jc w:val="right"/>
              <w:ind w:right="16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6"/>
                <w:szCs w:val="16"/>
                <w:color w:val="auto"/>
              </w:rPr>
              <w:t>Adebayo O. Ogunlesi</w:t>
            </w:r>
          </w:p>
        </w:tc>
        <w:tc>
          <w:tcPr>
            <w:tcW w:w="440" w:type="dxa"/>
            <w:vAlign w:val="bottom"/>
            <w:tcBorders>
              <w:bottom w:val="single" w:sz="8" w:color="F1F2F2"/>
            </w:tcBorders>
            <w:shd w:val="clear" w:color="auto" w:fill="F1F2F2"/>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Borders>
              <w:bottom w:val="single" w:sz="8" w:color="F1F2F2"/>
            </w:tcBorders>
            <w:shd w:val="clear" w:color="auto" w:fill="F1F2F2"/>
          </w:tcPr>
          <w:p>
            <w:pPr>
              <w:jc w:val="right"/>
              <w:ind w:right="61"/>
              <w:spacing w:after="0"/>
              <w:rPr>
                <w:sz w:val="20"/>
                <w:szCs w:val="20"/>
                <w:color w:val="auto"/>
              </w:rPr>
            </w:pPr>
            <w:r>
              <w:rPr>
                <w:rFonts w:ascii="Arial" w:cs="Arial" w:eastAsia="Arial" w:hAnsi="Arial"/>
                <w:sz w:val="16"/>
                <w:szCs w:val="16"/>
                <w:color w:val="auto"/>
              </w:rPr>
              <w:t>1,573,824</w:t>
            </w:r>
          </w:p>
        </w:tc>
        <w:tc>
          <w:tcPr>
            <w:tcW w:w="220" w:type="dxa"/>
            <w:vAlign w:val="bottom"/>
            <w:tcBorders>
              <w:bottom w:val="single" w:sz="8" w:color="F1F2F2"/>
            </w:tcBorders>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Borders>
              <w:bottom w:val="single" w:sz="8" w:color="F1F2F2"/>
            </w:tcBorders>
            <w:shd w:val="clear" w:color="auto" w:fill="F1F2F2"/>
          </w:tcPr>
          <w:p>
            <w:pPr>
              <w:jc w:val="right"/>
              <w:ind w:right="16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tcBorders>
              <w:bottom w:val="single" w:sz="8" w:color="ACABC0"/>
            </w:tcBorders>
            <w:shd w:val="clear" w:color="auto" w:fill="ACABC0"/>
          </w:tcPr>
          <w:p>
            <w:pPr>
              <w:ind w:left="140"/>
              <w:spacing w:after="0"/>
              <w:rPr>
                <w:sz w:val="20"/>
                <w:szCs w:val="20"/>
                <w:color w:val="auto"/>
              </w:rPr>
            </w:pPr>
            <w:r>
              <w:rPr>
                <w:rFonts w:ascii="Arial" w:cs="Arial" w:eastAsia="Arial" w:hAnsi="Arial"/>
                <w:sz w:val="16"/>
                <w:szCs w:val="16"/>
                <w:color w:val="auto"/>
              </w:rPr>
              <w:t>Steven M. Sterin</w:t>
            </w:r>
          </w:p>
        </w:tc>
        <w:tc>
          <w:tcPr>
            <w:tcW w:w="440" w:type="dxa"/>
            <w:vAlign w:val="bottom"/>
            <w:tcBorders>
              <w:bottom w:val="single" w:sz="8" w:color="ACABC0"/>
            </w:tcBorders>
            <w:shd w:val="clear" w:color="auto" w:fill="ACABC0"/>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Borders>
              <w:bottom w:val="single" w:sz="8" w:color="ACABC0"/>
            </w:tcBorders>
            <w:shd w:val="clear" w:color="auto" w:fill="ACABC0"/>
          </w:tcPr>
          <w:p>
            <w:pPr>
              <w:jc w:val="right"/>
              <w:ind w:right="41"/>
              <w:spacing w:after="0"/>
              <w:rPr>
                <w:sz w:val="20"/>
                <w:szCs w:val="20"/>
                <w:color w:val="auto"/>
              </w:rPr>
            </w:pPr>
            <w:r>
              <w:rPr>
                <w:rFonts w:ascii="Arial" w:cs="Arial" w:eastAsia="Arial" w:hAnsi="Arial"/>
                <w:sz w:val="16"/>
                <w:szCs w:val="16"/>
                <w:color w:val="auto"/>
              </w:rPr>
              <w:t>145,439</w:t>
            </w:r>
          </w:p>
        </w:tc>
        <w:tc>
          <w:tcPr>
            <w:tcW w:w="220" w:type="dxa"/>
            <w:vAlign w:val="bottom"/>
            <w:tcBorders>
              <w:bottom w:val="single" w:sz="8" w:color="ACABC0"/>
            </w:tcBorders>
            <w:shd w:val="clear" w:color="auto" w:fill="ACABC0"/>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Borders>
              <w:bottom w:val="single" w:sz="8" w:color="ACABC0"/>
            </w:tcBorders>
            <w:shd w:val="clear" w:color="auto" w:fill="ACABC0"/>
          </w:tcPr>
          <w:p>
            <w:pPr>
              <w:jc w:val="right"/>
              <w:ind w:right="16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6"/>
                <w:szCs w:val="16"/>
                <w:color w:val="auto"/>
              </w:rPr>
              <w:t>All directors, nominees and executive officers as a group (11 individuals)</w:t>
            </w:r>
          </w:p>
        </w:tc>
        <w:tc>
          <w:tcPr>
            <w:tcW w:w="440" w:type="dxa"/>
            <w:vAlign w:val="bottom"/>
            <w:tcBorders>
              <w:bottom w:val="single" w:sz="8" w:color="F1F2F2"/>
            </w:tcBorders>
            <w:shd w:val="clear" w:color="auto" w:fill="F1F2F2"/>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Borders>
              <w:bottom w:val="single" w:sz="8" w:color="F1F2F2"/>
            </w:tcBorders>
            <w:shd w:val="clear" w:color="auto" w:fill="F1F2F2"/>
          </w:tcPr>
          <w:p>
            <w:pPr>
              <w:jc w:val="right"/>
              <w:ind w:right="61"/>
              <w:spacing w:after="0"/>
              <w:rPr>
                <w:sz w:val="20"/>
                <w:szCs w:val="20"/>
                <w:color w:val="auto"/>
              </w:rPr>
            </w:pPr>
            <w:r>
              <w:rPr>
                <w:rFonts w:ascii="Arial" w:cs="Arial" w:eastAsia="Arial" w:hAnsi="Arial"/>
                <w:sz w:val="16"/>
                <w:szCs w:val="16"/>
                <w:color w:val="auto"/>
              </w:rPr>
              <w:t>7,584,726</w:t>
            </w:r>
          </w:p>
        </w:tc>
        <w:tc>
          <w:tcPr>
            <w:tcW w:w="220" w:type="dxa"/>
            <w:vAlign w:val="bottom"/>
            <w:tcBorders>
              <w:bottom w:val="single" w:sz="8" w:color="F1F2F2"/>
            </w:tcBorders>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Borders>
              <w:bottom w:val="single" w:sz="8" w:color="F1F2F2"/>
            </w:tcBorders>
            <w:shd w:val="clear" w:color="auto" w:fill="F1F2F2"/>
          </w:tcPr>
          <w:p>
            <w:pPr>
              <w:jc w:val="right"/>
              <w:ind w:right="61"/>
              <w:spacing w:after="0"/>
              <w:rPr>
                <w:sz w:val="20"/>
                <w:szCs w:val="20"/>
                <w:color w:val="auto"/>
              </w:rPr>
            </w:pPr>
            <w:r>
              <w:rPr>
                <w:rFonts w:ascii="Arial" w:cs="Arial" w:eastAsia="Arial" w:hAnsi="Arial"/>
                <w:sz w:val="16"/>
                <w:szCs w:val="16"/>
                <w:color w:val="auto"/>
              </w:rPr>
              <w:t>1.67%</w:t>
            </w:r>
          </w:p>
        </w:tc>
        <w:tc>
          <w:tcPr>
            <w:tcW w:w="14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tcBorders>
              <w:bottom w:val="single" w:sz="8" w:color="ACABC0"/>
            </w:tcBorders>
            <w:shd w:val="clear" w:color="auto" w:fill="ACABC0"/>
          </w:tcPr>
          <w:p>
            <w:pPr>
              <w:ind w:left="140"/>
              <w:spacing w:after="0"/>
              <w:rPr>
                <w:sz w:val="20"/>
                <w:szCs w:val="20"/>
                <w:color w:val="auto"/>
              </w:rPr>
            </w:pPr>
            <w:r>
              <w:rPr>
                <w:rFonts w:ascii="Arial" w:cs="Arial" w:eastAsia="Arial" w:hAnsi="Arial"/>
                <w:sz w:val="16"/>
                <w:szCs w:val="16"/>
                <w:b w:val="1"/>
                <w:bCs w:val="1"/>
                <w:i w:val="1"/>
                <w:iCs w:val="1"/>
                <w:color w:val="auto"/>
              </w:rPr>
              <w:t>Five Percent Stockholders</w:t>
            </w:r>
          </w:p>
        </w:tc>
        <w:tc>
          <w:tcPr>
            <w:tcW w:w="440" w:type="dxa"/>
            <w:vAlign w:val="bottom"/>
            <w:tcBorders>
              <w:bottom w:val="single" w:sz="8" w:color="ACABC0"/>
            </w:tcBorders>
            <w:shd w:val="clear" w:color="auto" w:fill="ACABC0"/>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Borders>
              <w:bottom w:val="single" w:sz="8" w:color="ACABC0"/>
            </w:tcBorders>
            <w:shd w:val="clear" w:color="auto" w:fill="ACABC0"/>
          </w:tcPr>
          <w:p>
            <w:pPr>
              <w:spacing w:after="0"/>
              <w:rPr>
                <w:sz w:val="23"/>
                <w:szCs w:val="23"/>
                <w:color w:val="auto"/>
              </w:rPr>
            </w:pPr>
          </w:p>
        </w:tc>
        <w:tc>
          <w:tcPr>
            <w:tcW w:w="220" w:type="dxa"/>
            <w:vAlign w:val="bottom"/>
            <w:tcBorders>
              <w:bottom w:val="single" w:sz="8" w:color="ACABC0"/>
            </w:tcBorders>
            <w:shd w:val="clear" w:color="auto" w:fill="ACABC0"/>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Borders>
              <w:bottom w:val="single" w:sz="8" w:color="ACABC0"/>
            </w:tcBorders>
            <w:shd w:val="clear" w:color="auto" w:fill="ACABC0"/>
          </w:tcPr>
          <w:p>
            <w:pPr>
              <w:spacing w:after="0"/>
              <w:rPr>
                <w:sz w:val="23"/>
                <w:szCs w:val="23"/>
                <w:color w:val="auto"/>
              </w:rPr>
            </w:pPr>
          </w:p>
        </w:tc>
        <w:tc>
          <w:tcPr>
            <w:tcW w:w="14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9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shd w:val="clear" w:color="auto" w:fill="F1F2F2"/>
          </w:tcPr>
          <w:p>
            <w:pPr>
              <w:ind w:left="140"/>
              <w:spacing w:after="0" w:line="295" w:lineRule="exact"/>
              <w:rPr>
                <w:sz w:val="20"/>
                <w:szCs w:val="20"/>
                <w:color w:val="auto"/>
              </w:rPr>
            </w:pPr>
            <w:r>
              <w:rPr>
                <w:rFonts w:ascii="Arial" w:cs="Arial" w:eastAsia="Arial" w:hAnsi="Arial"/>
                <w:sz w:val="16"/>
                <w:szCs w:val="16"/>
                <w:color w:val="auto"/>
              </w:rPr>
              <w:t>FMR LLC</w:t>
            </w:r>
            <w:r>
              <w:rPr>
                <w:rFonts w:ascii="Arial" w:cs="Arial" w:eastAsia="Arial" w:hAnsi="Arial"/>
                <w:sz w:val="26"/>
                <w:szCs w:val="26"/>
                <w:color w:val="auto"/>
                <w:vertAlign w:val="superscript"/>
              </w:rPr>
              <w:t>(2)</w:t>
            </w:r>
          </w:p>
        </w:tc>
        <w:tc>
          <w:tcPr>
            <w:tcW w:w="440" w:type="dxa"/>
            <w:vAlign w:val="bottom"/>
            <w:shd w:val="clear" w:color="auto" w:fill="F1F2F2"/>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shd w:val="clear" w:color="auto" w:fill="F1F2F2"/>
          </w:tcPr>
          <w:p>
            <w:pPr>
              <w:jc w:val="right"/>
              <w:ind w:right="41"/>
              <w:spacing w:after="0"/>
              <w:rPr>
                <w:sz w:val="20"/>
                <w:szCs w:val="20"/>
                <w:color w:val="auto"/>
              </w:rPr>
            </w:pPr>
            <w:r>
              <w:rPr>
                <w:rFonts w:ascii="Arial" w:cs="Arial" w:eastAsia="Arial" w:hAnsi="Arial"/>
                <w:sz w:val="16"/>
                <w:szCs w:val="16"/>
                <w:color w:val="auto"/>
              </w:rPr>
              <w:t>48,577,680</w:t>
            </w:r>
          </w:p>
        </w:tc>
        <w:tc>
          <w:tcPr>
            <w:tcW w:w="220" w:type="dxa"/>
            <w:vAlign w:val="bottom"/>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shd w:val="clear" w:color="auto" w:fill="F1F2F2"/>
          </w:tcPr>
          <w:p>
            <w:pPr>
              <w:jc w:val="right"/>
              <w:ind w:right="81"/>
              <w:spacing w:after="0"/>
              <w:rPr>
                <w:sz w:val="20"/>
                <w:szCs w:val="20"/>
                <w:color w:val="auto"/>
              </w:rPr>
            </w:pPr>
            <w:r>
              <w:rPr>
                <w:rFonts w:ascii="Arial" w:cs="Arial" w:eastAsia="Arial" w:hAnsi="Arial"/>
                <w:sz w:val="16"/>
                <w:szCs w:val="16"/>
                <w:color w:val="auto"/>
              </w:rPr>
              <w:t>10.67%</w:t>
            </w: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9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shd w:val="clear" w:color="auto" w:fill="ACABC0"/>
          </w:tcPr>
          <w:p>
            <w:pPr>
              <w:ind w:left="140"/>
              <w:spacing w:after="0" w:line="295" w:lineRule="exact"/>
              <w:rPr>
                <w:sz w:val="20"/>
                <w:szCs w:val="20"/>
                <w:color w:val="auto"/>
              </w:rPr>
            </w:pPr>
            <w:r>
              <w:rPr>
                <w:rFonts w:ascii="Arial" w:cs="Arial" w:eastAsia="Arial" w:hAnsi="Arial"/>
                <w:sz w:val="16"/>
                <w:szCs w:val="16"/>
                <w:color w:val="auto"/>
              </w:rPr>
              <w:t>BlackRock, Inc.</w:t>
            </w:r>
            <w:r>
              <w:rPr>
                <w:rFonts w:ascii="Arial" w:cs="Arial" w:eastAsia="Arial" w:hAnsi="Arial"/>
                <w:sz w:val="26"/>
                <w:szCs w:val="26"/>
                <w:color w:val="auto"/>
                <w:vertAlign w:val="superscript"/>
              </w:rPr>
              <w:t>(3)</w:t>
            </w:r>
          </w:p>
        </w:tc>
        <w:tc>
          <w:tcPr>
            <w:tcW w:w="440" w:type="dxa"/>
            <w:vAlign w:val="bottom"/>
            <w:shd w:val="clear" w:color="auto" w:fill="ACABC0"/>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shd w:val="clear" w:color="auto" w:fill="ACABC0"/>
          </w:tcPr>
          <w:p>
            <w:pPr>
              <w:jc w:val="right"/>
              <w:ind w:right="41"/>
              <w:spacing w:after="0"/>
              <w:rPr>
                <w:sz w:val="20"/>
                <w:szCs w:val="20"/>
                <w:color w:val="auto"/>
              </w:rPr>
            </w:pPr>
            <w:r>
              <w:rPr>
                <w:rFonts w:ascii="Arial" w:cs="Arial" w:eastAsia="Arial" w:hAnsi="Arial"/>
                <w:sz w:val="16"/>
                <w:szCs w:val="16"/>
                <w:color w:val="auto"/>
              </w:rPr>
              <w:t>41,696,773</w:t>
            </w:r>
          </w:p>
        </w:tc>
        <w:tc>
          <w:tcPr>
            <w:tcW w:w="220" w:type="dxa"/>
            <w:vAlign w:val="bottom"/>
            <w:shd w:val="clear" w:color="auto" w:fill="ACABC0"/>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shd w:val="clear" w:color="auto" w:fill="ACABC0"/>
          </w:tcPr>
          <w:p>
            <w:pPr>
              <w:jc w:val="right"/>
              <w:ind w:right="81"/>
              <w:spacing w:after="0"/>
              <w:rPr>
                <w:sz w:val="20"/>
                <w:szCs w:val="20"/>
                <w:color w:val="auto"/>
              </w:rPr>
            </w:pPr>
            <w:r>
              <w:rPr>
                <w:rFonts w:ascii="Arial" w:cs="Arial" w:eastAsia="Arial" w:hAnsi="Arial"/>
                <w:sz w:val="16"/>
                <w:szCs w:val="16"/>
                <w:color w:val="auto"/>
              </w:rPr>
              <w:t>9.16%</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9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shd w:val="clear" w:color="auto" w:fill="F1F2F2"/>
          </w:tcPr>
          <w:p>
            <w:pPr>
              <w:ind w:left="140"/>
              <w:spacing w:after="0" w:line="295" w:lineRule="exact"/>
              <w:rPr>
                <w:sz w:val="20"/>
                <w:szCs w:val="20"/>
                <w:color w:val="auto"/>
              </w:rPr>
            </w:pPr>
            <w:r>
              <w:rPr>
                <w:rFonts w:ascii="Arial" w:cs="Arial" w:eastAsia="Arial" w:hAnsi="Arial"/>
                <w:sz w:val="16"/>
                <w:szCs w:val="16"/>
                <w:color w:val="auto"/>
              </w:rPr>
              <w:t xml:space="preserve">Vaughan Nelson Investment Management, L.P. </w:t>
            </w:r>
            <w:r>
              <w:rPr>
                <w:rFonts w:ascii="Arial" w:cs="Arial" w:eastAsia="Arial" w:hAnsi="Arial"/>
                <w:sz w:val="26"/>
                <w:szCs w:val="26"/>
                <w:color w:val="auto"/>
                <w:vertAlign w:val="superscript"/>
              </w:rPr>
              <w:t>(4)</w:t>
            </w:r>
          </w:p>
        </w:tc>
        <w:tc>
          <w:tcPr>
            <w:tcW w:w="440" w:type="dxa"/>
            <w:vAlign w:val="bottom"/>
            <w:shd w:val="clear" w:color="auto" w:fill="F1F2F2"/>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shd w:val="clear" w:color="auto" w:fill="F1F2F2"/>
          </w:tcPr>
          <w:p>
            <w:pPr>
              <w:jc w:val="right"/>
              <w:ind w:right="41"/>
              <w:spacing w:after="0"/>
              <w:rPr>
                <w:sz w:val="20"/>
                <w:szCs w:val="20"/>
                <w:color w:val="auto"/>
              </w:rPr>
            </w:pPr>
            <w:r>
              <w:rPr>
                <w:rFonts w:ascii="Arial" w:cs="Arial" w:eastAsia="Arial" w:hAnsi="Arial"/>
                <w:sz w:val="16"/>
                <w:szCs w:val="16"/>
                <w:color w:val="auto"/>
              </w:rPr>
              <w:t>33,587,481</w:t>
            </w:r>
          </w:p>
        </w:tc>
        <w:tc>
          <w:tcPr>
            <w:tcW w:w="220" w:type="dxa"/>
            <w:vAlign w:val="bottom"/>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shd w:val="clear" w:color="auto" w:fill="F1F2F2"/>
          </w:tcPr>
          <w:p>
            <w:pPr>
              <w:jc w:val="right"/>
              <w:ind w:right="81"/>
              <w:spacing w:after="0"/>
              <w:rPr>
                <w:sz w:val="20"/>
                <w:szCs w:val="20"/>
                <w:color w:val="auto"/>
              </w:rPr>
            </w:pPr>
            <w:r>
              <w:rPr>
                <w:rFonts w:ascii="Arial" w:cs="Arial" w:eastAsia="Arial" w:hAnsi="Arial"/>
                <w:sz w:val="16"/>
                <w:szCs w:val="16"/>
                <w:color w:val="auto"/>
              </w:rPr>
              <w:t>7.38%</w:t>
            </w: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9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shd w:val="clear" w:color="auto" w:fill="ACABC0"/>
          </w:tcPr>
          <w:p>
            <w:pPr>
              <w:ind w:left="140"/>
              <w:spacing w:after="0" w:line="295" w:lineRule="exact"/>
              <w:rPr>
                <w:sz w:val="20"/>
                <w:szCs w:val="20"/>
                <w:color w:val="auto"/>
              </w:rPr>
            </w:pPr>
            <w:r>
              <w:rPr>
                <w:rFonts w:ascii="Arial" w:cs="Arial" w:eastAsia="Arial" w:hAnsi="Arial"/>
                <w:sz w:val="16"/>
                <w:szCs w:val="16"/>
                <w:color w:val="auto"/>
              </w:rPr>
              <w:t xml:space="preserve">Grantham, Mayo, Van Otterloo &amp; Co. LLC </w:t>
            </w:r>
            <w:r>
              <w:rPr>
                <w:rFonts w:ascii="Arial" w:cs="Arial" w:eastAsia="Arial" w:hAnsi="Arial"/>
                <w:sz w:val="26"/>
                <w:szCs w:val="26"/>
                <w:color w:val="auto"/>
                <w:vertAlign w:val="superscript"/>
              </w:rPr>
              <w:t>(5)</w:t>
            </w:r>
          </w:p>
        </w:tc>
        <w:tc>
          <w:tcPr>
            <w:tcW w:w="440" w:type="dxa"/>
            <w:vAlign w:val="bottom"/>
            <w:shd w:val="clear" w:color="auto" w:fill="ACABC0"/>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shd w:val="clear" w:color="auto" w:fill="ACABC0"/>
          </w:tcPr>
          <w:p>
            <w:pPr>
              <w:jc w:val="right"/>
              <w:ind w:right="41"/>
              <w:spacing w:after="0"/>
              <w:rPr>
                <w:sz w:val="20"/>
                <w:szCs w:val="20"/>
                <w:color w:val="auto"/>
              </w:rPr>
            </w:pPr>
            <w:r>
              <w:rPr>
                <w:rFonts w:ascii="Arial" w:cs="Arial" w:eastAsia="Arial" w:hAnsi="Arial"/>
                <w:sz w:val="16"/>
                <w:szCs w:val="16"/>
                <w:color w:val="auto"/>
              </w:rPr>
              <w:t>28,126,664</w:t>
            </w:r>
          </w:p>
        </w:tc>
        <w:tc>
          <w:tcPr>
            <w:tcW w:w="220" w:type="dxa"/>
            <w:vAlign w:val="bottom"/>
            <w:shd w:val="clear" w:color="auto" w:fill="ACABC0"/>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shd w:val="clear" w:color="auto" w:fill="ACABC0"/>
          </w:tcPr>
          <w:p>
            <w:pPr>
              <w:jc w:val="right"/>
              <w:ind w:right="81"/>
              <w:spacing w:after="0"/>
              <w:rPr>
                <w:sz w:val="20"/>
                <w:szCs w:val="20"/>
                <w:color w:val="auto"/>
              </w:rPr>
            </w:pPr>
            <w:r>
              <w:rPr>
                <w:rFonts w:ascii="Arial" w:cs="Arial" w:eastAsia="Arial" w:hAnsi="Arial"/>
                <w:sz w:val="16"/>
                <w:szCs w:val="16"/>
                <w:color w:val="auto"/>
              </w:rPr>
              <w:t>6.18%</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6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5520" w:type="dxa"/>
            <w:vAlign w:val="bottom"/>
            <w:shd w:val="clear" w:color="auto" w:fill="F1F2F2"/>
          </w:tcPr>
          <w:p>
            <w:pPr>
              <w:ind w:left="140"/>
              <w:spacing w:after="0" w:line="267" w:lineRule="exact"/>
              <w:rPr>
                <w:sz w:val="20"/>
                <w:szCs w:val="20"/>
                <w:color w:val="auto"/>
              </w:rPr>
            </w:pPr>
            <w:r>
              <w:rPr>
                <w:rFonts w:ascii="Arial" w:cs="Arial" w:eastAsia="Arial" w:hAnsi="Arial"/>
                <w:sz w:val="16"/>
                <w:szCs w:val="16"/>
                <w:color w:val="auto"/>
              </w:rPr>
              <w:t xml:space="preserve">Hotchkis &amp; Wiley Capital Management, LLC </w:t>
            </w:r>
            <w:r>
              <w:rPr>
                <w:rFonts w:ascii="Arial" w:cs="Arial" w:eastAsia="Arial" w:hAnsi="Arial"/>
                <w:sz w:val="26"/>
                <w:szCs w:val="26"/>
                <w:color w:val="auto"/>
                <w:vertAlign w:val="superscript"/>
              </w:rPr>
              <w:t>(6)</w:t>
            </w:r>
          </w:p>
        </w:tc>
        <w:tc>
          <w:tcPr>
            <w:tcW w:w="440" w:type="dxa"/>
            <w:vAlign w:val="bottom"/>
            <w:shd w:val="clear" w:color="auto" w:fill="F1F2F2"/>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shd w:val="clear" w:color="auto" w:fill="F1F2F2"/>
          </w:tcPr>
          <w:p>
            <w:pPr>
              <w:jc w:val="right"/>
              <w:ind w:right="41"/>
              <w:spacing w:after="0"/>
              <w:rPr>
                <w:sz w:val="20"/>
                <w:szCs w:val="20"/>
                <w:color w:val="auto"/>
              </w:rPr>
            </w:pPr>
            <w:r>
              <w:rPr>
                <w:rFonts w:ascii="Arial" w:cs="Arial" w:eastAsia="Arial" w:hAnsi="Arial"/>
                <w:sz w:val="16"/>
                <w:szCs w:val="16"/>
                <w:color w:val="auto"/>
              </w:rPr>
              <w:t>23,299,644</w:t>
            </w:r>
          </w:p>
        </w:tc>
        <w:tc>
          <w:tcPr>
            <w:tcW w:w="220" w:type="dxa"/>
            <w:vAlign w:val="bottom"/>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shd w:val="clear" w:color="auto" w:fill="F1F2F2"/>
          </w:tcPr>
          <w:p>
            <w:pPr>
              <w:jc w:val="right"/>
              <w:ind w:right="81"/>
              <w:spacing w:after="0"/>
              <w:rPr>
                <w:sz w:val="20"/>
                <w:szCs w:val="20"/>
                <w:color w:val="auto"/>
              </w:rPr>
            </w:pPr>
            <w:r>
              <w:rPr>
                <w:rFonts w:ascii="Arial" w:cs="Arial" w:eastAsia="Arial" w:hAnsi="Arial"/>
                <w:sz w:val="16"/>
                <w:szCs w:val="16"/>
                <w:color w:val="auto"/>
              </w:rPr>
              <w:t>5.12%</w:t>
            </w: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118745</wp:posOffset>
            </wp:positionV>
            <wp:extent cx="8159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217" w:lineRule="exact"/>
        <w:rPr>
          <w:sz w:val="20"/>
          <w:szCs w:val="20"/>
          <w:color w:val="auto"/>
        </w:rPr>
      </w:pPr>
    </w:p>
    <w:p>
      <w:pPr>
        <w:ind w:left="320" w:right="519"/>
        <w:spacing w:after="0" w:line="260" w:lineRule="auto"/>
        <w:rPr>
          <w:sz w:val="20"/>
          <w:szCs w:val="20"/>
          <w:color w:val="auto"/>
        </w:rPr>
      </w:pPr>
      <w:r>
        <w:rPr>
          <w:rFonts w:ascii="Arial" w:cs="Arial" w:eastAsia="Arial" w:hAnsi="Arial"/>
          <w:sz w:val="15"/>
          <w:szCs w:val="15"/>
          <w:color w:val="auto"/>
        </w:rPr>
        <w:t>The percentage of shares beneficially owned is based on 455,265,466 of our common shares outstanding as of March 10, 2022.</w:t>
      </w:r>
    </w:p>
    <w:p>
      <w:pPr>
        <w:spacing w:after="0" w:line="1" w:lineRule="exact"/>
        <w:rPr>
          <w:sz w:val="20"/>
          <w:szCs w:val="20"/>
          <w:color w:val="auto"/>
        </w:rPr>
      </w:pPr>
    </w:p>
    <w:p>
      <w:pPr>
        <w:ind w:left="680" w:hanging="354"/>
        <w:spacing w:after="0"/>
        <w:tabs>
          <w:tab w:leader="none" w:pos="6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Less than one percent.</w:t>
      </w:r>
    </w:p>
    <w:p>
      <w:pPr>
        <w:spacing w:after="0" w:line="42" w:lineRule="exact"/>
        <w:rPr>
          <w:sz w:val="20"/>
          <w:szCs w:val="20"/>
          <w:color w:val="auto"/>
        </w:rPr>
      </w:pPr>
    </w:p>
    <w:p>
      <w:pPr>
        <w:ind w:left="680" w:right="719" w:hanging="354"/>
        <w:spacing w:after="0" w:line="260" w:lineRule="auto"/>
        <w:tabs>
          <w:tab w:leader="none" w:pos="6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Excludes restricted share units held by each of our executive officers (including our named executive officers) and directors.</w:t>
      </w:r>
    </w:p>
    <w:p>
      <w:pPr>
        <w:spacing w:after="0" w:line="1" w:lineRule="exact"/>
        <w:rPr>
          <w:rFonts w:ascii="Arial" w:cs="Arial" w:eastAsia="Arial" w:hAnsi="Arial"/>
          <w:sz w:val="15"/>
          <w:szCs w:val="15"/>
          <w:color w:val="auto"/>
        </w:rPr>
      </w:pPr>
    </w:p>
    <w:p>
      <w:pPr>
        <w:ind w:left="680" w:right="379" w:hanging="354"/>
        <w:spacing w:after="0" w:line="232" w:lineRule="auto"/>
        <w:tabs>
          <w:tab w:leader="none" w:pos="6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a Schedule 13G/A filed on January 10, 2022, FMR LLC (“FMR”) exercises sole voting power over 4,577,808 shares and sole dispositive power over 48,577,680 shares. FMR’s beneficial ownership reflects the securities beneficially owned, or that may be deemed to be beneficially owned, by FMR, certain of its subsidiaries and affiliates, and other companies, including FIAM LLC, Fidelity Institutional Asset Management Trust Company, Fidelity Management &amp; Research Company LLC, FMR Investment Management (UK) Limited and Strategic Advisers LLC. The address for FMR is 245 Summer Street, Boston, Massachusetts 02210.</w:t>
      </w:r>
    </w:p>
    <w:p>
      <w:pPr>
        <w:spacing w:after="0" w:line="17" w:lineRule="exact"/>
        <w:rPr>
          <w:rFonts w:ascii="Arial" w:cs="Arial" w:eastAsia="Arial" w:hAnsi="Arial"/>
          <w:sz w:val="15"/>
          <w:szCs w:val="15"/>
          <w:color w:val="auto"/>
        </w:rPr>
      </w:pPr>
    </w:p>
    <w:p>
      <w:pPr>
        <w:ind w:left="680" w:right="359" w:hanging="354"/>
        <w:spacing w:after="0" w:line="242" w:lineRule="auto"/>
        <w:tabs>
          <w:tab w:leader="none" w:pos="6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a Schedule 13G/A filed on February 3, 2022, BlackRock, Inc. (“BlackRock”) exercises sole voting power over 41,276,237 shares and sole dispositive power over 41,696,773 shares. The address for BlackRock is 55 East 52nd Street, New York, New York 10055.</w:t>
      </w:r>
    </w:p>
    <w:p>
      <w:pPr>
        <w:spacing w:after="0" w:line="13" w:lineRule="exact"/>
        <w:rPr>
          <w:rFonts w:ascii="Arial" w:cs="Arial" w:eastAsia="Arial" w:hAnsi="Arial"/>
          <w:sz w:val="15"/>
          <w:szCs w:val="15"/>
          <w:color w:val="auto"/>
        </w:rPr>
      </w:pPr>
    </w:p>
    <w:p>
      <w:pPr>
        <w:ind w:left="680" w:right="1459" w:hanging="354"/>
        <w:spacing w:after="0" w:line="233" w:lineRule="auto"/>
        <w:tabs>
          <w:tab w:leader="none" w:pos="6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a Schedule 13G/A filed on February 9, 2022, Vaughan Nelson Investment Management, L.P. (“Vaughan Nelson”) exercises sole voting power over 16,077,295 shares, sole dispositive power over</w:t>
      </w:r>
    </w:p>
    <w:p>
      <w:pPr>
        <w:ind w:left="680" w:right="399"/>
        <w:spacing w:after="0" w:line="232" w:lineRule="auto"/>
        <w:rPr>
          <w:rFonts w:ascii="Arial" w:cs="Arial" w:eastAsia="Arial" w:hAnsi="Arial"/>
          <w:sz w:val="15"/>
          <w:szCs w:val="15"/>
          <w:color w:val="auto"/>
        </w:rPr>
      </w:pPr>
      <w:r>
        <w:rPr>
          <w:rFonts w:ascii="Arial" w:cs="Arial" w:eastAsia="Arial" w:hAnsi="Arial"/>
          <w:sz w:val="15"/>
          <w:szCs w:val="15"/>
          <w:color w:val="auto"/>
        </w:rPr>
        <w:t>27,001,577 shares and shared dispositive power over 6,585,904 shares. Vaughan Nelson’s beneficial ownership reflects securities beneficially owned, or that may be deemed to be beneficially owned, by Vaughan Nelson Investment Management, Inc., as general partner of Vaughan Nelson. The address for Vaughan Nelson is 600 Travis Street, Suite 3800, Houston, Texas 77002.</w:t>
      </w:r>
    </w:p>
    <w:p>
      <w:pPr>
        <w:spacing w:after="0" w:line="15" w:lineRule="exact"/>
        <w:rPr>
          <w:rFonts w:ascii="Arial" w:cs="Arial" w:eastAsia="Arial" w:hAnsi="Arial"/>
          <w:sz w:val="15"/>
          <w:szCs w:val="15"/>
          <w:color w:val="auto"/>
        </w:rPr>
      </w:pPr>
    </w:p>
    <w:p>
      <w:pPr>
        <w:ind w:left="680" w:right="419" w:hanging="354"/>
        <w:spacing w:after="0" w:line="242" w:lineRule="auto"/>
        <w:tabs>
          <w:tab w:leader="none" w:pos="6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a Schedule 13G filed on February 11, 2022, Grantham, Mayo, Van Otterloo &amp; Co. LLC (“GMVO”) exercises sole voting power over 28,126,664 shares and sole dispositive power over 28,126,664 shares. The address for GMVO is 40 Rowes Wharf, Boston, MA 02110.</w:t>
      </w:r>
    </w:p>
    <w:p>
      <w:pPr>
        <w:spacing w:after="0" w:line="13" w:lineRule="exact"/>
        <w:rPr>
          <w:rFonts w:ascii="Arial" w:cs="Arial" w:eastAsia="Arial" w:hAnsi="Arial"/>
          <w:sz w:val="15"/>
          <w:szCs w:val="15"/>
          <w:color w:val="auto"/>
        </w:rPr>
      </w:pPr>
    </w:p>
    <w:p>
      <w:pPr>
        <w:ind w:left="680" w:right="439" w:hanging="354"/>
        <w:spacing w:after="0" w:line="234" w:lineRule="auto"/>
        <w:tabs>
          <w:tab w:leader="none" w:pos="6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a Schedule 13G filed on February 11, 2022, Hotchkis &amp; Wiley Capital Management, LLC (“HWCM”) exercises sole voting power over 21,708,244 shares and sole dispositive power over 23,299,644 shares. According to the Schedule 13G, certain of HWCM’s clients have retained voting power over the common shares that they beneficially own. Accordingly, HWCM has the power to dispose of more common shares than it can vote. The address for HWCM is 725 S. Figueroa Street 39th Floor, Los Angeles, California 90017.</w:t>
      </w:r>
    </w:p>
    <w:p>
      <w:pPr>
        <w:spacing w:after="0" w:line="93"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24</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920" w:type="dxa"/>
            <w:vAlign w:val="bottom"/>
            <w:vMerge w:val="continue"/>
          </w:tcPr>
          <w:p>
            <w:pPr>
              <w:spacing w:after="0"/>
              <w:rPr>
                <w:sz w:val="23"/>
                <w:szCs w:val="23"/>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9" w:name="page30"/>
    <w:bookmarkEnd w:id="29"/>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92075</wp:posOffset>
            </wp:positionV>
            <wp:extent cx="530542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43"/>
          <w:szCs w:val="43"/>
          <w:color w:val="2A3D6C"/>
        </w:rPr>
        <w:t>PROPOSAL 2</w:t>
      </w:r>
    </w:p>
    <w:p>
      <w:pPr>
        <w:spacing w:after="0" w:line="130" w:lineRule="exact"/>
        <w:rPr>
          <w:sz w:val="20"/>
          <w:szCs w:val="20"/>
          <w:color w:val="auto"/>
        </w:rPr>
      </w:pPr>
    </w:p>
    <w:p>
      <w:pPr>
        <w:ind w:left="320" w:right="639"/>
        <w:spacing w:after="0" w:line="271" w:lineRule="auto"/>
        <w:rPr>
          <w:sz w:val="20"/>
          <w:szCs w:val="20"/>
          <w:color w:val="auto"/>
        </w:rPr>
      </w:pPr>
      <w:r>
        <w:rPr>
          <w:rFonts w:ascii="Arial" w:cs="Arial" w:eastAsia="Arial" w:hAnsi="Arial"/>
          <w:sz w:val="23"/>
          <w:szCs w:val="23"/>
          <w:b w:val="1"/>
          <w:bCs w:val="1"/>
          <w:color w:val="595959"/>
        </w:rPr>
        <w:t>To ratify the appointment of Ernst &amp; Young LLP as our independent registered public accounting firm for the fiscal year ending December 31, 2022 and to authorize the Company’s Audit Committee of the Board of Directors to determine their remuneration</w:t>
      </w:r>
    </w:p>
    <w:p>
      <w:pPr>
        <w:spacing w:after="0" w:line="43" w:lineRule="exact"/>
        <w:rPr>
          <w:sz w:val="20"/>
          <w:szCs w:val="20"/>
          <w:color w:val="auto"/>
        </w:rPr>
      </w:pPr>
    </w:p>
    <w:p>
      <w:pPr>
        <w:ind w:left="320" w:right="799"/>
        <w:spacing w:after="0" w:line="263" w:lineRule="auto"/>
        <w:rPr>
          <w:sz w:val="20"/>
          <w:szCs w:val="20"/>
          <w:color w:val="auto"/>
        </w:rPr>
      </w:pPr>
      <w:r>
        <w:rPr>
          <w:rFonts w:ascii="Arial" w:cs="Arial" w:eastAsia="Arial" w:hAnsi="Arial"/>
          <w:sz w:val="16"/>
          <w:szCs w:val="16"/>
          <w:color w:val="auto"/>
        </w:rPr>
        <w:t>Ernst &amp; Young LLP has served as our independent registered public accounting firm since 2011 and of our predecessor, Kosmos Energy Holdings, since 2003, and has provided to us certain audit services, audit-related services and tax services during that time.</w:t>
      </w:r>
    </w:p>
    <w:p>
      <w:pPr>
        <w:spacing w:after="0" w:line="65" w:lineRule="exact"/>
        <w:rPr>
          <w:sz w:val="20"/>
          <w:szCs w:val="20"/>
          <w:color w:val="auto"/>
        </w:rPr>
      </w:pPr>
    </w:p>
    <w:p>
      <w:pPr>
        <w:ind w:left="320" w:right="339"/>
        <w:spacing w:after="0" w:line="248" w:lineRule="auto"/>
        <w:rPr>
          <w:sz w:val="20"/>
          <w:szCs w:val="20"/>
          <w:color w:val="auto"/>
        </w:rPr>
      </w:pPr>
      <w:r>
        <w:rPr>
          <w:rFonts w:ascii="Arial" w:cs="Arial" w:eastAsia="Arial" w:hAnsi="Arial"/>
          <w:sz w:val="16"/>
          <w:szCs w:val="16"/>
          <w:color w:val="auto"/>
        </w:rPr>
        <w:t>The Audit Committee has recommended reappointment of Ernst &amp; Young LLP to serve as the Company’s independent registered public accounting firm for the year ending December 31, 2022. The Board is asking stockholders to approve such appointment and the authority of the Audit Committee to determine their remuneration. Stockholder ratification of the appointment of Ernst &amp; Young LLP as the Company’s independent registered public accounting firm is not required. The Board of Directors, however, is submitting the appointment of the stockholders for ratification as a matter of good corporate governance practice. If an auditor is not appointed by stockholders at the annual stockholders meeting, Ernst &amp; Young LLP, as the incumbent independent registered public accounting firm, will continue in office until a successor is appointed in accordance with Delaware law and the Company’s Bylaws. The affirmative vote of the holders of a majority of the votes cast at the annual stockholders meeting, at which a quorum is present, is required to approve the appointment and the authorization of the Audit Committee to set their remuneration.</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Representatives of Ernst &amp; Young LLP will not be present at the annual stockholders meeting.</w:t>
      </w:r>
    </w:p>
    <w:p>
      <w:pPr>
        <w:spacing w:after="0" w:line="212" w:lineRule="exact"/>
        <w:rPr>
          <w:sz w:val="20"/>
          <w:szCs w:val="20"/>
          <w:color w:val="auto"/>
        </w:rPr>
      </w:pPr>
    </w:p>
    <w:p>
      <w:pPr>
        <w:ind w:left="320" w:right="1079"/>
        <w:spacing w:after="0" w:line="305" w:lineRule="auto"/>
        <w:rPr>
          <w:sz w:val="20"/>
          <w:szCs w:val="20"/>
          <w:color w:val="auto"/>
        </w:rPr>
      </w:pPr>
      <w:r>
        <w:rPr>
          <w:rFonts w:ascii="Arial" w:cs="Arial" w:eastAsia="Arial" w:hAnsi="Arial"/>
          <w:sz w:val="23"/>
          <w:szCs w:val="23"/>
          <w:b w:val="1"/>
          <w:bCs w:val="1"/>
          <w:color w:val="595959"/>
        </w:rPr>
        <w:t>Changes in and Disagreements with Accountants on Accounting and Financial Disclosure</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None.</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Fees Paid to Independent Auditors</w:t>
      </w:r>
    </w:p>
    <w:p>
      <w:pPr>
        <w:spacing w:after="0" w:line="129" w:lineRule="exact"/>
        <w:rPr>
          <w:sz w:val="20"/>
          <w:szCs w:val="20"/>
          <w:color w:val="auto"/>
        </w:rPr>
      </w:pPr>
    </w:p>
    <w:p>
      <w:pPr>
        <w:ind w:left="320" w:right="879"/>
        <w:spacing w:after="0" w:line="282" w:lineRule="auto"/>
        <w:rPr>
          <w:sz w:val="20"/>
          <w:szCs w:val="20"/>
          <w:color w:val="auto"/>
        </w:rPr>
      </w:pPr>
      <w:r>
        <w:rPr>
          <w:rFonts w:ascii="Arial" w:cs="Arial" w:eastAsia="Arial" w:hAnsi="Arial"/>
          <w:sz w:val="16"/>
          <w:szCs w:val="16"/>
          <w:color w:val="auto"/>
        </w:rPr>
        <w:t>The following table presents aggregate fees billed to us for the years ended December 31, 2021 and 2020, for professional services rendered by Ernst &amp; Young LLP, our principal accountant:</w:t>
      </w:r>
    </w:p>
    <w:p>
      <w:pPr>
        <w:spacing w:after="0" w:line="24"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540" w:type="dxa"/>
            <w:vAlign w:val="bottom"/>
            <w:shd w:val="clear" w:color="auto" w:fill="717295"/>
          </w:tcPr>
          <w:p>
            <w:pPr>
              <w:spacing w:after="0"/>
              <w:rPr>
                <w:sz w:val="17"/>
                <w:szCs w:val="17"/>
                <w:color w:val="auto"/>
              </w:rPr>
            </w:pPr>
          </w:p>
        </w:tc>
        <w:tc>
          <w:tcPr>
            <w:tcW w:w="2260" w:type="dxa"/>
            <w:vAlign w:val="bottom"/>
            <w:shd w:val="clear" w:color="auto" w:fill="717295"/>
          </w:tcPr>
          <w:p>
            <w:pPr>
              <w:ind w:left="2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717295"/>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717295"/>
          </w:tcPr>
          <w:p>
            <w:pPr>
              <w:spacing w:after="0"/>
              <w:rPr>
                <w:sz w:val="17"/>
                <w:szCs w:val="17"/>
                <w:color w:val="auto"/>
              </w:rPr>
            </w:pPr>
          </w:p>
        </w:tc>
        <w:tc>
          <w:tcPr>
            <w:tcW w:w="720" w:type="dxa"/>
            <w:vAlign w:val="bottom"/>
            <w:vMerge w:val="restart"/>
            <w:shd w:val="clear" w:color="auto" w:fill="717295"/>
          </w:tcPr>
          <w:p>
            <w:pPr>
              <w:jc w:val="right"/>
              <w:ind w:right="161"/>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717295"/>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shd w:val="clear" w:color="auto" w:fill="717295"/>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717295"/>
          </w:tcPr>
          <w:p>
            <w:pPr>
              <w:spacing w:after="0"/>
              <w:rPr>
                <w:sz w:val="17"/>
                <w:szCs w:val="17"/>
                <w:color w:val="auto"/>
              </w:rPr>
            </w:pPr>
          </w:p>
        </w:tc>
        <w:tc>
          <w:tcPr>
            <w:tcW w:w="720" w:type="dxa"/>
            <w:vAlign w:val="bottom"/>
            <w:vMerge w:val="restart"/>
            <w:shd w:val="clear" w:color="auto" w:fill="717295"/>
          </w:tcPr>
          <w:p>
            <w:pPr>
              <w:jc w:val="right"/>
              <w:ind w:right="161"/>
              <w:spacing w:after="0"/>
              <w:rPr>
                <w:sz w:val="20"/>
                <w:szCs w:val="20"/>
                <w:color w:val="auto"/>
              </w:rPr>
            </w:pPr>
            <w:r>
              <w:rPr>
                <w:rFonts w:ascii="Arial" w:cs="Arial" w:eastAsia="Arial" w:hAnsi="Arial"/>
                <w:sz w:val="14"/>
                <w:szCs w:val="14"/>
                <w:b w:val="1"/>
                <w:bCs w:val="1"/>
                <w:color w:val="FFFFFF"/>
              </w:rPr>
              <w:t>2021</w:t>
            </w:r>
          </w:p>
        </w:tc>
        <w:tc>
          <w:tcPr>
            <w:tcW w:w="120" w:type="dxa"/>
            <w:vAlign w:val="bottom"/>
            <w:shd w:val="clear" w:color="auto" w:fill="717295"/>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540" w:type="dxa"/>
            <w:vAlign w:val="bottom"/>
            <w:tcBorders>
              <w:bottom w:val="single" w:sz="8" w:color="717295"/>
            </w:tcBorders>
            <w:shd w:val="clear" w:color="auto" w:fill="717295"/>
          </w:tcPr>
          <w:p>
            <w:pPr>
              <w:spacing w:after="0"/>
              <w:rPr>
                <w:sz w:val="9"/>
                <w:szCs w:val="9"/>
                <w:color w:val="auto"/>
              </w:rPr>
            </w:pPr>
          </w:p>
        </w:tc>
        <w:tc>
          <w:tcPr>
            <w:tcW w:w="2260" w:type="dxa"/>
            <w:vAlign w:val="bottom"/>
            <w:tcBorders>
              <w:bottom w:val="single" w:sz="8" w:color="717295"/>
            </w:tcBorders>
            <w:shd w:val="clear" w:color="auto" w:fill="717295"/>
          </w:tcPr>
          <w:p>
            <w:pPr>
              <w:spacing w:after="0"/>
              <w:rPr>
                <w:sz w:val="9"/>
                <w:szCs w:val="9"/>
                <w:color w:val="auto"/>
              </w:rPr>
            </w:pPr>
          </w:p>
        </w:tc>
        <w:tc>
          <w:tcPr>
            <w:tcW w:w="220" w:type="dxa"/>
            <w:vAlign w:val="bottom"/>
            <w:tcBorders>
              <w:bottom w:val="single" w:sz="8" w:color="717295"/>
            </w:tcBorders>
            <w:shd w:val="clear" w:color="auto" w:fill="717295"/>
          </w:tcPr>
          <w:p>
            <w:pPr>
              <w:spacing w:after="0"/>
              <w:rPr>
                <w:sz w:val="9"/>
                <w:szCs w:val="9"/>
                <w:color w:val="auto"/>
              </w:rPr>
            </w:pPr>
          </w:p>
        </w:tc>
        <w:tc>
          <w:tcPr>
            <w:tcW w:w="200" w:type="dxa"/>
            <w:vAlign w:val="bottom"/>
            <w:tcBorders>
              <w:bottom w:val="single" w:sz="8" w:color="717295"/>
            </w:tcBorders>
            <w:shd w:val="clear" w:color="auto" w:fill="717295"/>
          </w:tcPr>
          <w:p>
            <w:pPr>
              <w:spacing w:after="0"/>
              <w:rPr>
                <w:sz w:val="9"/>
                <w:szCs w:val="9"/>
                <w:color w:val="auto"/>
              </w:rPr>
            </w:pPr>
          </w:p>
        </w:tc>
        <w:tc>
          <w:tcPr>
            <w:tcW w:w="720" w:type="dxa"/>
            <w:vAlign w:val="bottom"/>
            <w:tcBorders>
              <w:bottom w:val="single" w:sz="8" w:color="717295"/>
            </w:tcBorders>
            <w:vMerge w:val="continue"/>
            <w:shd w:val="clear" w:color="auto" w:fill="717295"/>
          </w:tcPr>
          <w:p>
            <w:pPr>
              <w:spacing w:after="0"/>
              <w:rPr>
                <w:sz w:val="9"/>
                <w:szCs w:val="9"/>
                <w:color w:val="auto"/>
              </w:rPr>
            </w:pPr>
          </w:p>
        </w:tc>
        <w:tc>
          <w:tcPr>
            <w:tcW w:w="120" w:type="dxa"/>
            <w:vAlign w:val="bottom"/>
            <w:tcBorders>
              <w:bottom w:val="single" w:sz="8" w:color="717295"/>
            </w:tcBorders>
            <w:shd w:val="clear" w:color="auto" w:fill="717295"/>
          </w:tcPr>
          <w:p>
            <w:pPr>
              <w:spacing w:after="0"/>
              <w:rPr>
                <w:sz w:val="9"/>
                <w:szCs w:val="9"/>
                <w:color w:val="auto"/>
              </w:rPr>
            </w:pPr>
          </w:p>
        </w:tc>
        <w:tc>
          <w:tcPr>
            <w:tcW w:w="240" w:type="dxa"/>
            <w:vAlign w:val="bottom"/>
            <w:tcBorders>
              <w:bottom w:val="single" w:sz="8" w:color="717295"/>
            </w:tcBorders>
            <w:shd w:val="clear" w:color="auto" w:fill="717295"/>
          </w:tcPr>
          <w:p>
            <w:pPr>
              <w:spacing w:after="0"/>
              <w:rPr>
                <w:sz w:val="9"/>
                <w:szCs w:val="9"/>
                <w:color w:val="auto"/>
              </w:rPr>
            </w:pPr>
          </w:p>
        </w:tc>
        <w:tc>
          <w:tcPr>
            <w:tcW w:w="200" w:type="dxa"/>
            <w:vAlign w:val="bottom"/>
            <w:tcBorders>
              <w:bottom w:val="single" w:sz="8" w:color="717295"/>
            </w:tcBorders>
            <w:shd w:val="clear" w:color="auto" w:fill="717295"/>
          </w:tcPr>
          <w:p>
            <w:pPr>
              <w:spacing w:after="0"/>
              <w:rPr>
                <w:sz w:val="9"/>
                <w:szCs w:val="9"/>
                <w:color w:val="auto"/>
              </w:rPr>
            </w:pPr>
          </w:p>
        </w:tc>
        <w:tc>
          <w:tcPr>
            <w:tcW w:w="720" w:type="dxa"/>
            <w:vAlign w:val="bottom"/>
            <w:tcBorders>
              <w:bottom w:val="single" w:sz="8" w:color="717295"/>
            </w:tcBorders>
            <w:vMerge w:val="continue"/>
            <w:shd w:val="clear" w:color="auto" w:fill="717295"/>
          </w:tcPr>
          <w:p>
            <w:pPr>
              <w:spacing w:after="0"/>
              <w:rPr>
                <w:sz w:val="9"/>
                <w:szCs w:val="9"/>
                <w:color w:val="auto"/>
              </w:rPr>
            </w:pPr>
          </w:p>
        </w:tc>
        <w:tc>
          <w:tcPr>
            <w:tcW w:w="120" w:type="dxa"/>
            <w:vAlign w:val="bottom"/>
            <w:tcBorders>
              <w:bottom w:val="single" w:sz="8" w:color="717295"/>
            </w:tcBorders>
            <w:shd w:val="clear" w:color="auto" w:fill="717295"/>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540" w:type="dxa"/>
            <w:vAlign w:val="bottom"/>
            <w:tcBorders>
              <w:bottom w:val="single" w:sz="8" w:color="ACABC0"/>
            </w:tcBorders>
            <w:shd w:val="clear" w:color="auto" w:fill="ACABC0"/>
          </w:tcPr>
          <w:p>
            <w:pPr>
              <w:ind w:left="140"/>
              <w:spacing w:after="0"/>
              <w:rPr>
                <w:sz w:val="20"/>
                <w:szCs w:val="20"/>
                <w:color w:val="auto"/>
              </w:rPr>
            </w:pPr>
            <w:r>
              <w:rPr>
                <w:rFonts w:ascii="Arial" w:cs="Arial" w:eastAsia="Arial" w:hAnsi="Arial"/>
                <w:sz w:val="16"/>
                <w:szCs w:val="16"/>
                <w:color w:val="auto"/>
              </w:rPr>
              <w:t>Audit fees</w:t>
            </w:r>
          </w:p>
        </w:tc>
        <w:tc>
          <w:tcPr>
            <w:tcW w:w="2260" w:type="dxa"/>
            <w:vAlign w:val="bottom"/>
            <w:tcBorders>
              <w:bottom w:val="single" w:sz="8" w:color="ACABC0"/>
            </w:tcBorders>
            <w:shd w:val="clear" w:color="auto" w:fill="ACABC0"/>
          </w:tcPr>
          <w:p>
            <w:pPr>
              <w:ind w:left="2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CABC0"/>
            </w:tcBorders>
            <w:shd w:val="clear" w:color="auto" w:fill="ACABC0"/>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ACABC0"/>
            </w:tcBorders>
            <w:shd w:val="clear" w:color="auto" w:fill="ACABC0"/>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6"/>
                <w:szCs w:val="16"/>
                <w:color w:val="auto"/>
                <w:w w:val="98"/>
              </w:rPr>
              <w:t>2,020,533</w:t>
            </w:r>
          </w:p>
        </w:tc>
        <w:tc>
          <w:tcPr>
            <w:tcW w:w="120" w:type="dxa"/>
            <w:vAlign w:val="bottom"/>
            <w:tcBorders>
              <w:bottom w:val="single" w:sz="8" w:color="ACABC0"/>
            </w:tcBorders>
            <w:shd w:val="clear" w:color="auto" w:fill="ACABC0"/>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Borders>
              <w:bottom w:val="single" w:sz="8" w:color="ACABC0"/>
            </w:tcBorders>
            <w:shd w:val="clear" w:color="auto" w:fill="ACABC0"/>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CABC0"/>
            </w:tcBorders>
            <w:gridSpan w:val="2"/>
            <w:shd w:val="clear" w:color="auto" w:fill="ACABC0"/>
          </w:tcPr>
          <w:p>
            <w:pPr>
              <w:jc w:val="right"/>
              <w:ind w:right="91"/>
              <w:spacing w:after="0"/>
              <w:rPr>
                <w:sz w:val="20"/>
                <w:szCs w:val="20"/>
                <w:color w:val="auto"/>
              </w:rPr>
            </w:pPr>
            <w:r>
              <w:rPr>
                <w:rFonts w:ascii="Arial" w:cs="Arial" w:eastAsia="Arial" w:hAnsi="Arial"/>
                <w:sz w:val="16"/>
                <w:szCs w:val="16"/>
                <w:color w:val="auto"/>
                <w:w w:val="95"/>
              </w:rPr>
              <w:t xml:space="preserve">1,922,985 </w:t>
            </w:r>
            <w:r>
              <w:rPr>
                <w:rFonts w:ascii="Times New Roman" w:cs="Times New Roman" w:eastAsia="Times New Roman" w:hAnsi="Times New Roman"/>
                <w:sz w:val="3"/>
                <w:szCs w:val="3"/>
                <w:color w:val="auto"/>
                <w:w w:val="95"/>
              </w:rPr>
              <w: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54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6"/>
                <w:szCs w:val="16"/>
                <w:color w:val="auto"/>
              </w:rPr>
              <w:t>Audit-related fees</w:t>
            </w:r>
          </w:p>
        </w:tc>
        <w:tc>
          <w:tcPr>
            <w:tcW w:w="2260" w:type="dxa"/>
            <w:vAlign w:val="bottom"/>
            <w:tcBorders>
              <w:bottom w:val="single" w:sz="8" w:color="F1F2F2"/>
            </w:tcBorders>
            <w:shd w:val="clear" w:color="auto" w:fill="F1F2F2"/>
          </w:tcPr>
          <w:p>
            <w:pPr>
              <w:ind w:left="2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F1F2F2"/>
            </w:tcBorders>
            <w:shd w:val="clear" w:color="auto" w:fill="F1F2F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F1F2F2"/>
            </w:tcBorders>
            <w:shd w:val="clear" w:color="auto" w:fill="F1F2F2"/>
          </w:tcPr>
          <w:p>
            <w:pPr>
              <w:ind w:left="12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F1F2F2"/>
            </w:tcBorders>
            <w:gridSpan w:val="2"/>
            <w:shd w:val="clear" w:color="auto" w:fill="F1F2F2"/>
          </w:tcPr>
          <w:p>
            <w:pPr>
              <w:jc w:val="right"/>
              <w:ind w:right="91"/>
              <w:spacing w:after="0"/>
              <w:rPr>
                <w:sz w:val="20"/>
                <w:szCs w:val="20"/>
                <w:color w:val="auto"/>
              </w:rPr>
            </w:pPr>
            <w:r>
              <w:rPr>
                <w:rFonts w:ascii="Arial" w:cs="Arial" w:eastAsia="Arial" w:hAnsi="Arial"/>
                <w:sz w:val="16"/>
                <w:szCs w:val="16"/>
                <w:color w:val="auto"/>
              </w:rPr>
              <w:t xml:space="preserve">13,000 </w:t>
            </w:r>
            <w:r>
              <w:rPr>
                <w:rFonts w:ascii="Times New Roman" w:cs="Times New Roman" w:eastAsia="Times New Roman" w:hAnsi="Times New Roman"/>
                <w:sz w:val="3"/>
                <w:szCs w:val="3"/>
                <w:color w:val="auto"/>
              </w:rPr>
              <w:t>​</w:t>
            </w:r>
          </w:p>
        </w:tc>
        <w:tc>
          <w:tcPr>
            <w:tcW w:w="240" w:type="dxa"/>
            <w:vAlign w:val="bottom"/>
            <w:tcBorders>
              <w:bottom w:val="single" w:sz="8" w:color="F1F2F2"/>
            </w:tcBorders>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F1F2F2"/>
            </w:tcBorders>
            <w:shd w:val="clear" w:color="auto" w:fill="F1F2F2"/>
          </w:tcPr>
          <w:p>
            <w:pPr>
              <w:ind w:left="120"/>
              <w:spacing w:after="0"/>
              <w:rPr>
                <w:sz w:val="20"/>
                <w:szCs w:val="20"/>
                <w:color w:val="auto"/>
              </w:rPr>
            </w:pPr>
            <w:r>
              <w:rPr>
                <w:rFonts w:ascii="Arial" w:cs="Arial" w:eastAsia="Arial" w:hAnsi="Arial"/>
                <w:sz w:val="16"/>
                <w:szCs w:val="16"/>
                <w:color w:val="auto"/>
              </w:rPr>
              <w:t>263,150​</w:t>
            </w:r>
          </w:p>
        </w:tc>
        <w:tc>
          <w:tcPr>
            <w:tcW w:w="120" w:type="dxa"/>
            <w:vAlign w:val="bottom"/>
            <w:tcBorders>
              <w:bottom w:val="single" w:sz="8" w:color="F1F2F2"/>
            </w:tcBorders>
            <w:shd w:val="clear" w:color="auto" w:fill="F1F2F2"/>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540" w:type="dxa"/>
            <w:vAlign w:val="bottom"/>
            <w:tcBorders>
              <w:bottom w:val="single" w:sz="8" w:color="ACABC0"/>
            </w:tcBorders>
            <w:shd w:val="clear" w:color="auto" w:fill="ACABC0"/>
          </w:tcPr>
          <w:p>
            <w:pPr>
              <w:ind w:left="140"/>
              <w:spacing w:after="0"/>
              <w:rPr>
                <w:sz w:val="20"/>
                <w:szCs w:val="20"/>
                <w:color w:val="auto"/>
              </w:rPr>
            </w:pPr>
            <w:r>
              <w:rPr>
                <w:rFonts w:ascii="Arial" w:cs="Arial" w:eastAsia="Arial" w:hAnsi="Arial"/>
                <w:sz w:val="16"/>
                <w:szCs w:val="16"/>
                <w:color w:val="auto"/>
              </w:rPr>
              <w:t>Tax fees</w:t>
            </w:r>
          </w:p>
        </w:tc>
        <w:tc>
          <w:tcPr>
            <w:tcW w:w="2260" w:type="dxa"/>
            <w:vAlign w:val="bottom"/>
            <w:tcBorders>
              <w:bottom w:val="single" w:sz="8" w:color="ACABC0"/>
            </w:tcBorders>
            <w:shd w:val="clear" w:color="auto" w:fill="ACABC0"/>
          </w:tcPr>
          <w:p>
            <w:pPr>
              <w:ind w:left="2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CABC0"/>
            </w:tcBorders>
            <w:shd w:val="clear" w:color="auto" w:fill="ACABC0"/>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ACABC0"/>
            </w:tcBorders>
            <w:shd w:val="clear" w:color="auto" w:fill="ACABC0"/>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6"/>
                <w:szCs w:val="16"/>
                <w:color w:val="auto"/>
              </w:rPr>
              <w:t>181,364</w:t>
            </w:r>
          </w:p>
        </w:tc>
        <w:tc>
          <w:tcPr>
            <w:tcW w:w="120" w:type="dxa"/>
            <w:vAlign w:val="bottom"/>
            <w:tcBorders>
              <w:bottom w:val="single" w:sz="8" w:color="ACABC0"/>
            </w:tcBorders>
            <w:shd w:val="clear" w:color="auto" w:fill="ACABC0"/>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Borders>
              <w:bottom w:val="single" w:sz="8" w:color="ACABC0"/>
            </w:tcBorders>
            <w:shd w:val="clear" w:color="auto" w:fill="ACABC0"/>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CABC0"/>
            </w:tcBorders>
            <w:shd w:val="clear" w:color="auto" w:fill="ACABC0"/>
          </w:tcPr>
          <w:p>
            <w:pPr>
              <w:ind w:left="120"/>
              <w:spacing w:after="0"/>
              <w:rPr>
                <w:sz w:val="20"/>
                <w:szCs w:val="20"/>
                <w:color w:val="auto"/>
              </w:rPr>
            </w:pPr>
            <w:r>
              <w:rPr>
                <w:rFonts w:ascii="Arial" w:cs="Arial" w:eastAsia="Arial" w:hAnsi="Arial"/>
                <w:sz w:val="16"/>
                <w:szCs w:val="16"/>
                <w:color w:val="auto"/>
              </w:rPr>
              <w:t>135,428​</w:t>
            </w:r>
          </w:p>
        </w:tc>
        <w:tc>
          <w:tcPr>
            <w:tcW w:w="120" w:type="dxa"/>
            <w:vAlign w:val="bottom"/>
            <w:tcBorders>
              <w:bottom w:val="single" w:sz="8" w:color="ACABC0"/>
            </w:tcBorders>
            <w:shd w:val="clear" w:color="auto" w:fill="ACABC0"/>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54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6"/>
                <w:szCs w:val="16"/>
                <w:color w:val="auto"/>
              </w:rPr>
              <w:t>All other fees</w:t>
            </w:r>
          </w:p>
        </w:tc>
        <w:tc>
          <w:tcPr>
            <w:tcW w:w="2260" w:type="dxa"/>
            <w:vAlign w:val="bottom"/>
            <w:tcBorders>
              <w:bottom w:val="single" w:sz="8" w:color="F1F2F2"/>
            </w:tcBorders>
            <w:shd w:val="clear" w:color="auto" w:fill="F1F2F2"/>
          </w:tcPr>
          <w:p>
            <w:pPr>
              <w:ind w:left="2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F1F2F2"/>
            </w:tcBorders>
            <w:shd w:val="clear" w:color="auto" w:fill="F1F2F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F1F2F2"/>
            </w:tcBorders>
            <w:shd w:val="clear" w:color="auto" w:fill="F1F2F2"/>
          </w:tcPr>
          <w:p>
            <w:pPr>
              <w:ind w:left="12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F1F2F2"/>
            </w:tcBorders>
            <w:gridSpan w:val="2"/>
            <w:shd w:val="clear" w:color="auto" w:fill="F1F2F2"/>
          </w:tcPr>
          <w:p>
            <w:pPr>
              <w:jc w:val="right"/>
              <w:ind w:right="91"/>
              <w:spacing w:after="0"/>
              <w:rPr>
                <w:sz w:val="20"/>
                <w:szCs w:val="20"/>
                <w:color w:val="auto"/>
              </w:rPr>
            </w:pPr>
            <w:r>
              <w:rPr>
                <w:rFonts w:ascii="Arial" w:cs="Arial" w:eastAsia="Arial" w:hAnsi="Arial"/>
                <w:sz w:val="16"/>
                <w:szCs w:val="16"/>
                <w:color w:val="auto"/>
              </w:rPr>
              <w:t>9,819</w:t>
            </w:r>
            <w:r>
              <w:rPr>
                <w:rFonts w:ascii="Times New Roman" w:cs="Times New Roman" w:eastAsia="Times New Roman" w:hAnsi="Times New Roman"/>
                <w:sz w:val="3"/>
                <w:szCs w:val="3"/>
                <w:color w:val="auto"/>
              </w:rPr>
              <w:t>​</w:t>
            </w:r>
          </w:p>
        </w:tc>
        <w:tc>
          <w:tcPr>
            <w:tcW w:w="240" w:type="dxa"/>
            <w:vAlign w:val="bottom"/>
            <w:tcBorders>
              <w:bottom w:val="single" w:sz="8" w:color="F1F2F2"/>
            </w:tcBorders>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F1F2F2"/>
            </w:tcBorders>
            <w:shd w:val="clear" w:color="auto" w:fill="F1F2F2"/>
          </w:tcPr>
          <w:p>
            <w:pPr>
              <w:ind w:left="120"/>
              <w:spacing w:after="0"/>
              <w:rPr>
                <w:sz w:val="20"/>
                <w:szCs w:val="20"/>
                <w:color w:val="auto"/>
              </w:rPr>
            </w:pPr>
            <w:r>
              <w:rPr>
                <w:rFonts w:ascii="Arial" w:cs="Arial" w:eastAsia="Arial" w:hAnsi="Arial"/>
                <w:sz w:val="16"/>
                <w:szCs w:val="16"/>
                <w:color w:val="auto"/>
              </w:rPr>
              <w:t>323,317​</w:t>
            </w:r>
          </w:p>
        </w:tc>
        <w:tc>
          <w:tcPr>
            <w:tcW w:w="120" w:type="dxa"/>
            <w:vAlign w:val="bottom"/>
            <w:tcBorders>
              <w:bottom w:val="single" w:sz="8" w:color="F1F2F2"/>
            </w:tcBorders>
            <w:shd w:val="clear" w:color="auto" w:fill="F1F2F2"/>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540" w:type="dxa"/>
            <w:vAlign w:val="bottom"/>
            <w:shd w:val="clear" w:color="auto" w:fill="ACABC0"/>
          </w:tcPr>
          <w:p>
            <w:pPr>
              <w:ind w:left="140"/>
              <w:spacing w:after="0"/>
              <w:rPr>
                <w:sz w:val="20"/>
                <w:szCs w:val="20"/>
                <w:color w:val="auto"/>
              </w:rPr>
            </w:pPr>
            <w:r>
              <w:rPr>
                <w:rFonts w:ascii="Arial" w:cs="Arial" w:eastAsia="Arial" w:hAnsi="Arial"/>
                <w:sz w:val="16"/>
                <w:szCs w:val="16"/>
                <w:color w:val="auto"/>
              </w:rPr>
              <w:t>Total fees</w:t>
            </w:r>
          </w:p>
        </w:tc>
        <w:tc>
          <w:tcPr>
            <w:tcW w:w="2260" w:type="dxa"/>
            <w:vAlign w:val="bottom"/>
            <w:shd w:val="clear" w:color="auto" w:fill="ACABC0"/>
          </w:tcPr>
          <w:p>
            <w:pPr>
              <w:ind w:left="2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ACABC0"/>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shd w:val="clear" w:color="auto" w:fill="ACABC0"/>
          </w:tcPr>
          <w:p>
            <w:pPr>
              <w:ind w:left="120"/>
              <w:spacing w:after="0"/>
              <w:rPr>
                <w:sz w:val="20"/>
                <w:szCs w:val="20"/>
                <w:color w:val="auto"/>
              </w:rPr>
            </w:pPr>
            <w:r>
              <w:rPr>
                <w:rFonts w:ascii="Arial" w:cs="Arial" w:eastAsia="Arial" w:hAnsi="Arial"/>
                <w:sz w:val="16"/>
                <w:szCs w:val="16"/>
                <w:color w:val="auto"/>
                <w:w w:val="97"/>
              </w:rPr>
              <w:t>$2,224,716</w:t>
            </w:r>
          </w:p>
        </w:tc>
        <w:tc>
          <w:tcPr>
            <w:tcW w:w="120" w:type="dxa"/>
            <w:vAlign w:val="bottom"/>
            <w:shd w:val="clear" w:color="auto" w:fill="ACABC0"/>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shd w:val="clear" w:color="auto" w:fill="ACABC0"/>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ACABC0"/>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ACABC0"/>
          </w:tcPr>
          <w:p>
            <w:pPr>
              <w:jc w:val="right"/>
              <w:ind w:right="91"/>
              <w:spacing w:after="0"/>
              <w:rPr>
                <w:sz w:val="20"/>
                <w:szCs w:val="20"/>
                <w:color w:val="auto"/>
              </w:rPr>
            </w:pPr>
            <w:r>
              <w:rPr>
                <w:rFonts w:ascii="Arial" w:cs="Arial" w:eastAsia="Arial" w:hAnsi="Arial"/>
                <w:sz w:val="16"/>
                <w:szCs w:val="16"/>
                <w:color w:val="auto"/>
                <w:w w:val="95"/>
              </w:rPr>
              <w:t xml:space="preserve">2,644,879 </w:t>
            </w:r>
            <w:r>
              <w:rPr>
                <w:rFonts w:ascii="Times New Roman" w:cs="Times New Roman" w:eastAsia="Times New Roman" w:hAnsi="Times New Roman"/>
                <w:sz w:val="3"/>
                <w:szCs w:val="3"/>
                <w:color w:val="auto"/>
                <w:w w:val="95"/>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sectPr>
          <w:pgSz w:w="11900" w:h="16838" w:orient="portrait"/>
          <w:cols w:equalWidth="0" w:num="1">
            <w:col w:w="9019"/>
          </w:cols>
          <w:pgMar w:left="1440" w:top="262" w:right="1440" w:bottom="1440" w:gutter="0" w:footer="0" w:header="0"/>
        </w:sectPr>
      </w:pPr>
    </w:p>
    <w:p>
      <w:pPr>
        <w:ind w:left="320"/>
        <w:spacing w:after="0" w:line="250"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Audit fees consisted of fees billed by Ernst &amp;</w:t>
      </w:r>
      <w:r>
        <w:rPr>
          <w:rFonts w:ascii="Arial" w:cs="Arial" w:eastAsia="Arial" w:hAnsi="Arial"/>
          <w:sz w:val="16"/>
          <w:szCs w:val="16"/>
          <w:i w:val="1"/>
          <w:iCs w:val="1"/>
          <w:color w:val="auto"/>
        </w:rPr>
        <w:t xml:space="preserve"> </w:t>
      </w:r>
      <w:r>
        <w:rPr>
          <w:rFonts w:ascii="Arial" w:cs="Arial" w:eastAsia="Arial" w:hAnsi="Arial"/>
          <w:sz w:val="16"/>
          <w:szCs w:val="16"/>
          <w:color w:val="auto"/>
        </w:rPr>
        <w:t>Young LLP for professional services rendered in connection with audits of the Company’s and certain of its subsidiaries’ financial statements and internal controls over financial reporting, quarterly reviews of our consolidated financial statements, as well as certain audit-related accounting consultations.</w:t>
      </w:r>
    </w:p>
    <w:p>
      <w:pPr>
        <w:spacing w:after="0" w:line="78" w:lineRule="exact"/>
        <w:rPr>
          <w:sz w:val="20"/>
          <w:szCs w:val="20"/>
          <w:color w:val="auto"/>
        </w:rPr>
      </w:pPr>
    </w:p>
    <w:p>
      <w:pPr>
        <w:jc w:val="both"/>
        <w:ind w:left="320"/>
        <w:spacing w:after="0" w:line="263"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Audit-related fees consisted of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related to SEC-related accounting consultations and certain attestation and agreed upon procedures.</w:t>
      </w:r>
    </w:p>
    <w:p>
      <w:pPr>
        <w:spacing w:after="0" w:line="20" w:lineRule="exact"/>
        <w:rPr>
          <w:sz w:val="20"/>
          <w:szCs w:val="20"/>
          <w:color w:val="auto"/>
        </w:rPr>
      </w:pPr>
      <w:r>
        <w:rPr>
          <w:sz w:val="20"/>
          <w:szCs w:val="20"/>
          <w:color w:val="auto"/>
        </w:rPr>
        <w:br w:type="column"/>
      </w:r>
    </w:p>
    <w:p>
      <w:pPr>
        <w:jc w:val="both"/>
        <w:ind w:right="359"/>
        <w:spacing w:after="0" w:line="263"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Tax fees consisted of costs incurred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tax compliance services and consultations on various tax issues.</w:t>
      </w:r>
    </w:p>
    <w:p>
      <w:pPr>
        <w:spacing w:after="0" w:line="65" w:lineRule="exact"/>
        <w:rPr>
          <w:sz w:val="20"/>
          <w:szCs w:val="20"/>
          <w:color w:val="auto"/>
        </w:rPr>
      </w:pPr>
    </w:p>
    <w:p>
      <w:pPr>
        <w:ind w:right="379"/>
        <w:spacing w:after="0" w:line="275" w:lineRule="auto"/>
        <w:rPr>
          <w:sz w:val="20"/>
          <w:szCs w:val="20"/>
          <w:color w:val="auto"/>
        </w:rPr>
      </w:pPr>
      <w:r>
        <w:rPr>
          <w:rFonts w:ascii="Arial" w:cs="Arial" w:eastAsia="Arial" w:hAnsi="Arial"/>
          <w:sz w:val="15"/>
          <w:szCs w:val="15"/>
          <w:i w:val="1"/>
          <w:iCs w:val="1"/>
          <w:color w:val="auto"/>
        </w:rPr>
        <w:t>All Other Fees</w:t>
      </w:r>
      <w:r>
        <w:rPr>
          <w:rFonts w:ascii="Arial" w:cs="Arial" w:eastAsia="Arial" w:hAnsi="Arial"/>
          <w:sz w:val="15"/>
          <w:szCs w:val="15"/>
          <w:color w:val="auto"/>
        </w:rPr>
        <w:t>. For 2021 and 2020, all other fees</w:t>
      </w:r>
      <w:r>
        <w:rPr>
          <w:rFonts w:ascii="Arial" w:cs="Arial" w:eastAsia="Arial" w:hAnsi="Arial"/>
          <w:sz w:val="15"/>
          <w:szCs w:val="15"/>
          <w:i w:val="1"/>
          <w:iCs w:val="1"/>
          <w:color w:val="auto"/>
        </w:rPr>
        <w:t xml:space="preserve"> </w:t>
      </w:r>
      <w:r>
        <w:rPr>
          <w:rFonts w:ascii="Arial" w:cs="Arial" w:eastAsia="Arial" w:hAnsi="Arial"/>
          <w:sz w:val="15"/>
          <w:szCs w:val="15"/>
          <w:color w:val="auto"/>
        </w:rPr>
        <w:t>consisted of costs incurred related to access to Ernst &amp; Young LLP’s online research services, and for 2021 only, Ernst &amp; Young LLP’s independent review of the data included in the Company’s latest Sustainability Report.</w:t>
      </w:r>
    </w:p>
    <w:p>
      <w:pPr>
        <w:spacing w:after="0" w:line="423" w:lineRule="exact"/>
        <w:rPr>
          <w:sz w:val="20"/>
          <w:szCs w:val="20"/>
          <w:color w:val="auto"/>
        </w:rPr>
      </w:pPr>
    </w:p>
    <w:p>
      <w:pPr>
        <w:sectPr>
          <w:pgSz w:w="11900" w:h="16838" w:orient="portrait"/>
          <w:cols w:equalWidth="0" w:num="2">
            <w:col w:w="4380" w:space="240"/>
            <w:col w:w="4399"/>
          </w:cols>
          <w:pgMar w:left="1440" w:top="262" w:right="1440" w:bottom="1440" w:gutter="0" w:footer="0" w:header="0"/>
          <w:type w:val="continuous"/>
        </w:sectPr>
      </w:pPr>
    </w:p>
    <w:p>
      <w:pPr>
        <w:ind w:left="640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130175</wp:posOffset>
            </wp:positionV>
            <wp:extent cx="693801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-149860</wp:posOffset>
            </wp:positionV>
            <wp:extent cx="594995" cy="170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30" w:name="page31"/>
    <w:bookmarkEnd w:id="30"/>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92075</wp:posOffset>
            </wp:positionV>
            <wp:extent cx="53054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93" w:lineRule="exact"/>
        <w:rPr>
          <w:sz w:val="20"/>
          <w:szCs w:val="20"/>
          <w:color w:val="auto"/>
        </w:rPr>
      </w:pPr>
    </w:p>
    <w:p>
      <w:pPr>
        <w:ind w:left="1280"/>
        <w:spacing w:after="0"/>
        <w:rPr>
          <w:sz w:val="20"/>
          <w:szCs w:val="20"/>
          <w:color w:val="auto"/>
        </w:rPr>
      </w:pPr>
      <w:r>
        <w:rPr>
          <w:rFonts w:ascii="Arial" w:cs="Arial" w:eastAsia="Arial" w:hAnsi="Arial"/>
          <w:sz w:val="23"/>
          <w:szCs w:val="23"/>
          <w:b w:val="1"/>
          <w:bCs w:val="1"/>
          <w:color w:val="595959"/>
        </w:rPr>
        <w:t>Pre-Approval Policies and Procedures</w:t>
      </w:r>
    </w:p>
    <w:p>
      <w:pPr>
        <w:sectPr>
          <w:pgSz w:w="11900" w:h="16838" w:orient="portrait"/>
          <w:cols w:equalWidth="0" w:num="1">
            <w:col w:w="10940"/>
          </w:cols>
          <w:pgMar w:left="480" w:top="262" w:right="479" w:bottom="1440" w:gutter="0" w:footer="0" w:header="0"/>
        </w:sectPr>
      </w:pPr>
    </w:p>
    <w:p>
      <w:pPr>
        <w:spacing w:after="0" w:line="129" w:lineRule="exact"/>
        <w:rPr>
          <w:sz w:val="20"/>
          <w:szCs w:val="20"/>
          <w:color w:val="auto"/>
        </w:rPr>
      </w:pPr>
    </w:p>
    <w:p>
      <w:pPr>
        <w:ind w:left="1280"/>
        <w:spacing w:after="0" w:line="250" w:lineRule="auto"/>
        <w:rPr>
          <w:sz w:val="20"/>
          <w:szCs w:val="20"/>
          <w:color w:val="auto"/>
        </w:rPr>
      </w:pPr>
      <w:r>
        <w:rPr>
          <w:rFonts w:ascii="Arial" w:cs="Arial" w:eastAsia="Arial" w:hAnsi="Arial"/>
          <w:sz w:val="16"/>
          <w:szCs w:val="16"/>
          <w:color w:val="auto"/>
        </w:rPr>
        <w:t>Our Audit Committee has established procedures for pre-approval of audit and non-audit services as set forth in the Audit Committee charter, subject to stockholder approval if necessary, under Delaware law. The Audit Committee’s charter is available under the Corporate Governance link on the Investors’ page of our website at www.kosmosenergy.com. The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1360"/>
        <w:spacing w:after="0" w:line="250" w:lineRule="auto"/>
        <w:rPr>
          <w:sz w:val="20"/>
          <w:szCs w:val="20"/>
          <w:color w:val="auto"/>
        </w:rPr>
      </w:pPr>
      <w:r>
        <w:rPr>
          <w:rFonts w:ascii="Arial" w:cs="Arial" w:eastAsia="Arial" w:hAnsi="Arial"/>
          <w:sz w:val="16"/>
          <w:szCs w:val="16"/>
          <w:color w:val="auto"/>
        </w:rPr>
        <w:t>information on our website is not incorporated by reference into this Proxy Statement. The Audit Committee pre-approves all services performed by Ernst &amp;Young LLP and discloses such fees above. The Audit Committee considers whether the provision of the services disclosed above is compatible with maintaining Ernst &amp; Young LLP’s independence.</w:t>
      </w:r>
    </w:p>
    <w:p>
      <w:pPr>
        <w:spacing w:after="0" w:line="126" w:lineRule="exact"/>
        <w:rPr>
          <w:sz w:val="20"/>
          <w:szCs w:val="20"/>
          <w:color w:val="auto"/>
        </w:rPr>
      </w:pPr>
    </w:p>
    <w:p>
      <w:pPr>
        <w:sectPr>
          <w:pgSz w:w="11900" w:h="16838" w:orient="portrait"/>
          <w:cols w:equalWidth="0" w:num="2">
            <w:col w:w="5300" w:space="280"/>
            <w:col w:w="5360"/>
          </w:cols>
          <w:pgMar w:left="480" w:top="262" w:right="479" w:bottom="1440" w:gutter="0" w:footer="0" w:header="0"/>
          <w:type w:val="continuous"/>
        </w:sectPr>
      </w:pPr>
    </w:p>
    <w:p>
      <w:pPr>
        <w:ind w:left="1280"/>
        <w:spacing w:after="0"/>
        <w:rPr>
          <w:sz w:val="20"/>
          <w:szCs w:val="20"/>
          <w:color w:val="auto"/>
        </w:rPr>
      </w:pPr>
      <w:r>
        <w:rPr>
          <w:rFonts w:ascii="Arial" w:cs="Arial" w:eastAsia="Arial" w:hAnsi="Arial"/>
          <w:sz w:val="23"/>
          <w:szCs w:val="23"/>
          <w:b w:val="1"/>
          <w:bCs w:val="1"/>
          <w:color w:val="595959"/>
        </w:rPr>
        <w:t>Vote Required</w:t>
      </w:r>
    </w:p>
    <w:p>
      <w:pPr>
        <w:spacing w:after="0" w:line="129" w:lineRule="exact"/>
        <w:rPr>
          <w:sz w:val="20"/>
          <w:szCs w:val="20"/>
          <w:color w:val="auto"/>
        </w:rPr>
      </w:pPr>
    </w:p>
    <w:p>
      <w:pPr>
        <w:ind w:left="1280" w:right="1380"/>
        <w:spacing w:after="0" w:line="263" w:lineRule="auto"/>
        <w:rPr>
          <w:sz w:val="20"/>
          <w:szCs w:val="20"/>
          <w:color w:val="auto"/>
        </w:rPr>
      </w:pPr>
      <w:r>
        <w:rPr>
          <w:rFonts w:ascii="Arial" w:cs="Arial" w:eastAsia="Arial" w:hAnsi="Arial"/>
          <w:sz w:val="16"/>
          <w:szCs w:val="16"/>
          <w:color w:val="auto"/>
        </w:rPr>
        <w:t>The affirmative vote of a majority of the votes cast at the annual stockholders meeting, at which a quorum is present, is required to approve Proposal 2. Abstentions shall not be treated as votes cast, although they will be counted for purposes of determining whether a quorum is present.</w:t>
      </w:r>
    </w:p>
    <w:p>
      <w:pPr>
        <w:spacing w:after="0" w:line="11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Stockholders are being asked to vote on the following resolution:</w:t>
      </w:r>
    </w:p>
    <w:p>
      <w:pPr>
        <w:spacing w:after="0" w:line="111" w:lineRule="exact"/>
        <w:rPr>
          <w:sz w:val="20"/>
          <w:szCs w:val="20"/>
          <w:color w:val="auto"/>
        </w:rPr>
      </w:pPr>
    </w:p>
    <w:p>
      <w:pPr>
        <w:ind w:left="1280" w:right="1460"/>
        <w:spacing w:after="0" w:line="263" w:lineRule="auto"/>
        <w:rPr>
          <w:sz w:val="20"/>
          <w:szCs w:val="20"/>
          <w:color w:val="auto"/>
        </w:rPr>
      </w:pPr>
      <w:r>
        <w:rPr>
          <w:rFonts w:ascii="Arial" w:cs="Arial" w:eastAsia="Arial" w:hAnsi="Arial"/>
          <w:sz w:val="16"/>
          <w:szCs w:val="16"/>
          <w:color w:val="auto"/>
        </w:rPr>
        <w:t>“RESOLVED, that the Company’s stockholders ratify the appointment of Ernst &amp; Young LLP as the Company’s independent registered public accounting firm for the fiscal year ending December 31, 2022 and authorize the Audit Committee of the Company to determine their remuneration.”</w:t>
      </w:r>
    </w:p>
    <w:p>
      <w:pPr>
        <w:spacing w:after="0" w:line="340" w:lineRule="exact"/>
        <w:rPr>
          <w:sz w:val="20"/>
          <w:szCs w:val="20"/>
          <w:color w:val="auto"/>
        </w:rPr>
      </w:pPr>
    </w:p>
    <w:p>
      <w:pPr>
        <w:ind w:left="1280"/>
        <w:spacing w:after="0"/>
        <w:rPr>
          <w:sz w:val="20"/>
          <w:szCs w:val="20"/>
          <w:color w:val="auto"/>
        </w:rPr>
      </w:pPr>
      <w:r>
        <w:rPr>
          <w:rFonts w:ascii="Arial" w:cs="Arial" w:eastAsia="Arial" w:hAnsi="Arial"/>
          <w:sz w:val="23"/>
          <w:szCs w:val="23"/>
          <w:b w:val="1"/>
          <w:bCs w:val="1"/>
          <w:color w:val="595959"/>
        </w:rPr>
        <w:t>Recommendation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1300" w:type="dxa"/>
            <w:vAlign w:val="bottom"/>
          </w:tcPr>
          <w:p>
            <w:pPr>
              <w:spacing w:after="0"/>
              <w:rPr>
                <w:sz w:val="24"/>
                <w:szCs w:val="24"/>
                <w:color w:val="auto"/>
              </w:rPr>
            </w:pPr>
          </w:p>
        </w:tc>
        <w:tc>
          <w:tcPr>
            <w:tcW w:w="0" w:type="dxa"/>
            <w:vAlign w:val="bottom"/>
            <w:tcBorders>
              <w:top w:val="single" w:sz="8" w:color="2A3D6C"/>
            </w:tcBorders>
            <w:shd w:val="clear" w:color="auto" w:fill="2A3D6C"/>
          </w:tcPr>
          <w:p>
            <w:pPr>
              <w:spacing w:after="0"/>
              <w:rPr>
                <w:sz w:val="24"/>
                <w:szCs w:val="24"/>
                <w:color w:val="auto"/>
              </w:rPr>
            </w:pPr>
          </w:p>
        </w:tc>
        <w:tc>
          <w:tcPr>
            <w:tcW w:w="900" w:type="dxa"/>
            <w:vAlign w:val="bottom"/>
            <w:tcBorders>
              <w:top w:val="single" w:sz="8" w:color="2A3D6C"/>
            </w:tcBorders>
            <w:vMerge w:val="restart"/>
            <w:shd w:val="clear" w:color="auto" w:fill="2A3D6C"/>
          </w:tcPr>
          <w:p>
            <w:pPr>
              <w:ind w:left="120"/>
              <w:spacing w:after="0"/>
              <w:rPr>
                <w:sz w:val="20"/>
                <w:szCs w:val="20"/>
                <w:color w:val="auto"/>
              </w:rPr>
            </w:pPr>
            <w:r>
              <w:rPr>
                <w:rFonts w:ascii="Arial" w:cs="Arial" w:eastAsia="Arial" w:hAnsi="Arial"/>
                <w:sz w:val="29"/>
                <w:szCs w:val="29"/>
                <w:b w:val="1"/>
                <w:bCs w:val="1"/>
                <w:color w:val="FFFFFF"/>
              </w:rPr>
              <w:t xml:space="preserve">FOR </w:t>
            </w:r>
            <w:r>
              <w:rPr>
                <w:rFonts w:ascii="Times New Roman" w:cs="Times New Roman" w:eastAsia="Times New Roman" w:hAnsi="Times New Roman"/>
                <w:sz w:val="7"/>
                <w:szCs w:val="7"/>
                <w:color w:val="000000"/>
                <w:vertAlign w:val="subscript"/>
              </w:rPr>
              <w:t>​</w:t>
            </w:r>
          </w:p>
        </w:tc>
        <w:tc>
          <w:tcPr>
            <w:tcW w:w="0" w:type="dxa"/>
            <w:vAlign w:val="bottom"/>
            <w:tcBorders>
              <w:top w:val="single" w:sz="8" w:color="2A3D6C"/>
            </w:tcBorders>
            <w:shd w:val="clear" w:color="auto" w:fill="2A3D6C"/>
          </w:tcPr>
          <w:p>
            <w:pPr>
              <w:spacing w:after="0"/>
              <w:rPr>
                <w:sz w:val="24"/>
                <w:szCs w:val="24"/>
                <w:color w:val="auto"/>
              </w:rPr>
            </w:pPr>
          </w:p>
        </w:tc>
        <w:tc>
          <w:tcPr>
            <w:tcW w:w="7300" w:type="dxa"/>
            <w:vAlign w:val="bottom"/>
            <w:tcBorders>
              <w:top w:val="single" w:sz="8" w:color="2A3D6C"/>
            </w:tcBorders>
          </w:tcPr>
          <w:p>
            <w:pPr>
              <w:ind w:left="100"/>
              <w:spacing w:after="0"/>
              <w:rPr>
                <w:sz w:val="20"/>
                <w:szCs w:val="20"/>
                <w:color w:val="auto"/>
              </w:rPr>
            </w:pPr>
            <w:r>
              <w:rPr>
                <w:rFonts w:ascii="Arial" w:cs="Arial" w:eastAsia="Arial" w:hAnsi="Arial"/>
                <w:sz w:val="18"/>
                <w:szCs w:val="18"/>
                <w:b w:val="1"/>
                <w:bCs w:val="1"/>
                <w:color w:val="auto"/>
              </w:rPr>
              <w:t>The Board recommends a vote “FOR” the ratification of the appointment of Ernst &amp;</w:t>
            </w:r>
          </w:p>
        </w:tc>
        <w:tc>
          <w:tcPr>
            <w:tcW w:w="160" w:type="dxa"/>
            <w:vAlign w:val="bottom"/>
            <w:tcBorders>
              <w:top w:val="single" w:sz="8" w:color="2A3D6C"/>
              <w:right w:val="single" w:sz="8" w:color="2A3D6C"/>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00" w:type="dxa"/>
            <w:vAlign w:val="bottom"/>
          </w:tcPr>
          <w:p>
            <w:pPr>
              <w:spacing w:after="0"/>
              <w:rPr>
                <w:sz w:val="19"/>
                <w:szCs w:val="19"/>
                <w:color w:val="auto"/>
              </w:rPr>
            </w:pPr>
          </w:p>
        </w:tc>
        <w:tc>
          <w:tcPr>
            <w:tcW w:w="0" w:type="dxa"/>
            <w:vAlign w:val="bottom"/>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vMerge w:val="continue"/>
            <w:shd w:val="clear" w:color="auto" w:fill="2A3D6C"/>
          </w:tcPr>
          <w:p>
            <w:pPr>
              <w:spacing w:after="0"/>
              <w:rPr>
                <w:sz w:val="19"/>
                <w:szCs w:val="19"/>
                <w:color w:val="auto"/>
              </w:rPr>
            </w:pPr>
          </w:p>
        </w:tc>
        <w:tc>
          <w:tcPr>
            <w:tcW w:w="0" w:type="dxa"/>
            <w:vAlign w:val="bottom"/>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7300" w:type="dxa"/>
            <w:vAlign w:val="bottom"/>
          </w:tcPr>
          <w:p>
            <w:pPr>
              <w:ind w:left="100"/>
              <w:spacing w:after="0"/>
              <w:rPr>
                <w:sz w:val="20"/>
                <w:szCs w:val="20"/>
                <w:color w:val="auto"/>
              </w:rPr>
            </w:pPr>
            <w:r>
              <w:rPr>
                <w:rFonts w:ascii="Arial" w:cs="Arial" w:eastAsia="Arial" w:hAnsi="Arial"/>
                <w:sz w:val="18"/>
                <w:szCs w:val="18"/>
                <w:b w:val="1"/>
                <w:bCs w:val="1"/>
                <w:color w:val="auto"/>
              </w:rPr>
              <w:t>Young LLP to serve as our independent registered public accounting firm for the</w:t>
            </w:r>
          </w:p>
        </w:tc>
        <w:tc>
          <w:tcPr>
            <w:tcW w:w="160" w:type="dxa"/>
            <w:vAlign w:val="bottom"/>
            <w:tcBorders>
              <w:right w:val="single" w:sz="8" w:color="2A3D6C"/>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0" w:type="dxa"/>
            <w:vAlign w:val="bottom"/>
            <w:shd w:val="clear" w:color="auto" w:fill="2A3D6C"/>
          </w:tcPr>
          <w:p>
            <w:pPr>
              <w:spacing w:after="0"/>
              <w:rPr>
                <w:sz w:val="15"/>
                <w:szCs w:val="15"/>
                <w:color w:val="auto"/>
              </w:rPr>
            </w:pPr>
          </w:p>
        </w:tc>
        <w:tc>
          <w:tcPr>
            <w:tcW w:w="900" w:type="dxa"/>
            <w:vAlign w:val="bottom"/>
            <w:shd w:val="clear" w:color="auto" w:fill="2A3D6C"/>
          </w:tcPr>
          <w:p>
            <w:pPr>
              <w:spacing w:after="0"/>
              <w:rPr>
                <w:sz w:val="15"/>
                <w:szCs w:val="15"/>
                <w:color w:val="auto"/>
              </w:rPr>
            </w:pPr>
          </w:p>
        </w:tc>
        <w:tc>
          <w:tcPr>
            <w:tcW w:w="0" w:type="dxa"/>
            <w:vAlign w:val="bottom"/>
            <w:shd w:val="clear" w:color="auto" w:fill="2A3D6C"/>
          </w:tcPr>
          <w:p>
            <w:pPr>
              <w:spacing w:after="0"/>
              <w:rPr>
                <w:sz w:val="15"/>
                <w:szCs w:val="15"/>
                <w:color w:val="auto"/>
              </w:rPr>
            </w:pPr>
          </w:p>
        </w:tc>
        <w:tc>
          <w:tcPr>
            <w:tcW w:w="7300" w:type="dxa"/>
            <w:vAlign w:val="bottom"/>
          </w:tcPr>
          <w:p>
            <w:pPr>
              <w:ind w:left="100"/>
              <w:spacing w:after="0" w:line="183" w:lineRule="exact"/>
              <w:rPr>
                <w:sz w:val="20"/>
                <w:szCs w:val="20"/>
                <w:color w:val="auto"/>
              </w:rPr>
            </w:pPr>
            <w:r>
              <w:rPr>
                <w:rFonts w:ascii="Arial" w:cs="Arial" w:eastAsia="Arial" w:hAnsi="Arial"/>
                <w:sz w:val="18"/>
                <w:szCs w:val="18"/>
                <w:b w:val="1"/>
                <w:bCs w:val="1"/>
                <w:color w:val="auto"/>
              </w:rPr>
              <w:t>fiscal year ending December 31, 2022 and to authorize the Audit Committee to</w:t>
            </w:r>
          </w:p>
        </w:tc>
        <w:tc>
          <w:tcPr>
            <w:tcW w:w="160" w:type="dxa"/>
            <w:vAlign w:val="bottom"/>
            <w:tcBorders>
              <w:right w:val="single" w:sz="8" w:color="2A3D6C"/>
            </w:tcBorders>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0" w:type="dxa"/>
            <w:vAlign w:val="bottom"/>
            <w:shd w:val="clear" w:color="auto" w:fill="2A3D6C"/>
          </w:tcPr>
          <w:p>
            <w:pPr>
              <w:spacing w:after="0"/>
              <w:rPr>
                <w:sz w:val="17"/>
                <w:szCs w:val="17"/>
                <w:color w:val="auto"/>
              </w:rPr>
            </w:pPr>
          </w:p>
        </w:tc>
        <w:tc>
          <w:tcPr>
            <w:tcW w:w="900" w:type="dxa"/>
            <w:vAlign w:val="bottom"/>
            <w:shd w:val="clear" w:color="auto" w:fill="2A3D6C"/>
          </w:tcPr>
          <w:p>
            <w:pPr>
              <w:spacing w:after="0"/>
              <w:rPr>
                <w:sz w:val="17"/>
                <w:szCs w:val="17"/>
                <w:color w:val="auto"/>
              </w:rPr>
            </w:pPr>
          </w:p>
        </w:tc>
        <w:tc>
          <w:tcPr>
            <w:tcW w:w="0" w:type="dxa"/>
            <w:vAlign w:val="bottom"/>
            <w:shd w:val="clear" w:color="auto" w:fill="2A3D6C"/>
          </w:tcPr>
          <w:p>
            <w:pPr>
              <w:spacing w:after="0"/>
              <w:rPr>
                <w:sz w:val="17"/>
                <w:szCs w:val="17"/>
                <w:color w:val="auto"/>
              </w:rPr>
            </w:pPr>
          </w:p>
        </w:tc>
        <w:tc>
          <w:tcPr>
            <w:tcW w:w="7300" w:type="dxa"/>
            <w:vAlign w:val="bottom"/>
          </w:tcPr>
          <w:p>
            <w:pPr>
              <w:ind w:left="100"/>
              <w:spacing w:after="0" w:line="201" w:lineRule="exact"/>
              <w:rPr>
                <w:sz w:val="20"/>
                <w:szCs w:val="20"/>
                <w:color w:val="auto"/>
              </w:rPr>
            </w:pPr>
            <w:r>
              <w:rPr>
                <w:rFonts w:ascii="Arial" w:cs="Arial" w:eastAsia="Arial" w:hAnsi="Arial"/>
                <w:sz w:val="18"/>
                <w:szCs w:val="18"/>
                <w:b w:val="1"/>
                <w:bCs w:val="1"/>
                <w:color w:val="auto"/>
                <w:w w:val="99"/>
              </w:rPr>
              <w:t>determine their remuneration. If not otherwise specified, proxies will be voted “FOR”</w:t>
            </w:r>
          </w:p>
        </w:tc>
        <w:tc>
          <w:tcPr>
            <w:tcW w:w="160" w:type="dxa"/>
            <w:vAlign w:val="bottom"/>
            <w:tcBorders>
              <w:right w:val="single" w:sz="8" w:color="2A3D6C"/>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1"/>
                <w:szCs w:val="21"/>
                <w:color w:val="auto"/>
              </w:rPr>
            </w:pPr>
          </w:p>
        </w:tc>
        <w:tc>
          <w:tcPr>
            <w:tcW w:w="0" w:type="dxa"/>
            <w:vAlign w:val="bottom"/>
            <w:shd w:val="clear" w:color="auto" w:fill="2A3D6C"/>
          </w:tcPr>
          <w:p>
            <w:pPr>
              <w:spacing w:after="0"/>
              <w:rPr>
                <w:sz w:val="21"/>
                <w:szCs w:val="21"/>
                <w:color w:val="auto"/>
              </w:rPr>
            </w:pPr>
          </w:p>
        </w:tc>
        <w:tc>
          <w:tcPr>
            <w:tcW w:w="900" w:type="dxa"/>
            <w:vAlign w:val="bottom"/>
            <w:shd w:val="clear" w:color="auto" w:fill="2A3D6C"/>
          </w:tcPr>
          <w:p>
            <w:pPr>
              <w:spacing w:after="0"/>
              <w:rPr>
                <w:sz w:val="21"/>
                <w:szCs w:val="21"/>
                <w:color w:val="auto"/>
              </w:rPr>
            </w:pPr>
          </w:p>
        </w:tc>
        <w:tc>
          <w:tcPr>
            <w:tcW w:w="0" w:type="dxa"/>
            <w:vAlign w:val="bottom"/>
            <w:shd w:val="clear" w:color="auto" w:fill="2A3D6C"/>
          </w:tcPr>
          <w:p>
            <w:pPr>
              <w:spacing w:after="0"/>
              <w:rPr>
                <w:sz w:val="21"/>
                <w:szCs w:val="21"/>
                <w:color w:val="auto"/>
              </w:rPr>
            </w:pPr>
          </w:p>
        </w:tc>
        <w:tc>
          <w:tcPr>
            <w:tcW w:w="7300" w:type="dxa"/>
            <w:vAlign w:val="bottom"/>
          </w:tcPr>
          <w:p>
            <w:pPr>
              <w:ind w:left="100"/>
              <w:spacing w:after="0"/>
              <w:rPr>
                <w:sz w:val="20"/>
                <w:szCs w:val="20"/>
                <w:color w:val="auto"/>
              </w:rPr>
            </w:pPr>
            <w:r>
              <w:rPr>
                <w:rFonts w:ascii="Arial" w:cs="Arial" w:eastAsia="Arial" w:hAnsi="Arial"/>
                <w:sz w:val="18"/>
                <w:szCs w:val="18"/>
                <w:b w:val="1"/>
                <w:bCs w:val="1"/>
                <w:color w:val="auto"/>
              </w:rPr>
              <w:t>Proposal 2.</w:t>
            </w:r>
          </w:p>
        </w:tc>
        <w:tc>
          <w:tcPr>
            <w:tcW w:w="160" w:type="dxa"/>
            <w:vAlign w:val="bottom"/>
            <w:tcBorders>
              <w:right w:val="single" w:sz="8" w:color="2A3D6C"/>
            </w:tcBorders>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1300" w:type="dxa"/>
            <w:vAlign w:val="bottom"/>
          </w:tcPr>
          <w:p>
            <w:pPr>
              <w:spacing w:after="0"/>
              <w:rPr>
                <w:sz w:val="2"/>
                <w:szCs w:val="2"/>
                <w:color w:val="auto"/>
              </w:rPr>
            </w:pPr>
          </w:p>
        </w:tc>
        <w:tc>
          <w:tcPr>
            <w:tcW w:w="0" w:type="dxa"/>
            <w:vAlign w:val="bottom"/>
            <w:tcBorders>
              <w:bottom w:val="single" w:sz="8" w:color="2A3D6C"/>
            </w:tcBorders>
            <w:shd w:val="clear" w:color="auto" w:fill="2A3D6C"/>
          </w:tcPr>
          <w:p>
            <w:pPr>
              <w:spacing w:after="0"/>
              <w:rPr>
                <w:sz w:val="2"/>
                <w:szCs w:val="2"/>
                <w:color w:val="auto"/>
              </w:rPr>
            </w:pPr>
          </w:p>
        </w:tc>
        <w:tc>
          <w:tcPr>
            <w:tcW w:w="900" w:type="dxa"/>
            <w:vAlign w:val="bottom"/>
            <w:tcBorders>
              <w:bottom w:val="single" w:sz="8" w:color="2A3D6C"/>
            </w:tcBorders>
            <w:shd w:val="clear" w:color="auto" w:fill="2A3D6C"/>
          </w:tcPr>
          <w:p>
            <w:pPr>
              <w:spacing w:after="0"/>
              <w:rPr>
                <w:sz w:val="2"/>
                <w:szCs w:val="2"/>
                <w:color w:val="auto"/>
              </w:rPr>
            </w:pPr>
          </w:p>
        </w:tc>
        <w:tc>
          <w:tcPr>
            <w:tcW w:w="0" w:type="dxa"/>
            <w:vAlign w:val="bottom"/>
            <w:tcBorders>
              <w:bottom w:val="single" w:sz="8" w:color="2A3D6C"/>
            </w:tcBorders>
            <w:shd w:val="clear" w:color="auto" w:fill="2A3D6C"/>
          </w:tcPr>
          <w:p>
            <w:pPr>
              <w:spacing w:after="0"/>
              <w:rPr>
                <w:sz w:val="2"/>
                <w:szCs w:val="2"/>
                <w:color w:val="auto"/>
              </w:rPr>
            </w:pPr>
          </w:p>
        </w:tc>
        <w:tc>
          <w:tcPr>
            <w:tcW w:w="7300" w:type="dxa"/>
            <w:vAlign w:val="bottom"/>
            <w:tcBorders>
              <w:bottom w:val="single" w:sz="8" w:color="2A3D6C"/>
            </w:tcBorders>
          </w:tcPr>
          <w:p>
            <w:pPr>
              <w:spacing w:after="0"/>
              <w:rPr>
                <w:sz w:val="2"/>
                <w:szCs w:val="2"/>
                <w:color w:val="auto"/>
              </w:rPr>
            </w:pPr>
          </w:p>
        </w:tc>
        <w:tc>
          <w:tcPr>
            <w:tcW w:w="160" w:type="dxa"/>
            <w:vAlign w:val="bottom"/>
            <w:tcBorders>
              <w:bottom w:val="single" w:sz="8" w:color="2A3D6C"/>
              <w:right w:val="single" w:sz="8" w:color="2A3D6C"/>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4"/>
        </w:trPr>
        <w:tc>
          <w:tcPr>
            <w:tcW w:w="2200" w:type="dxa"/>
            <w:vAlign w:val="bottom"/>
            <w:gridSpan w:val="3"/>
            <w:vMerge w:val="restart"/>
          </w:tcPr>
          <w:p>
            <w:pPr>
              <w:ind w:left="1280"/>
              <w:spacing w:after="0"/>
              <w:rPr>
                <w:sz w:val="20"/>
                <w:szCs w:val="20"/>
                <w:color w:val="auto"/>
              </w:rPr>
            </w:pPr>
            <w:r>
              <w:rPr>
                <w:rFonts w:ascii="Arial" w:cs="Arial" w:eastAsia="Arial" w:hAnsi="Arial"/>
                <w:sz w:val="16"/>
                <w:szCs w:val="16"/>
                <w:b w:val="1"/>
                <w:bCs w:val="1"/>
                <w:color w:val="auto"/>
              </w:rPr>
              <w:t>26</w:t>
            </w:r>
            <w:r>
              <w:rPr>
                <w:rFonts w:ascii="Arial" w:cs="Arial" w:eastAsia="Arial" w:hAnsi="Arial"/>
                <w:sz w:val="24"/>
                <w:szCs w:val="24"/>
                <w:b w:val="1"/>
                <w:bCs w:val="1"/>
                <w:color w:val="2A3D6C"/>
              </w:rPr>
              <w:t xml:space="preserve">  |</w:t>
            </w:r>
          </w:p>
        </w:tc>
        <w:tc>
          <w:tcPr>
            <w:tcW w:w="0" w:type="dxa"/>
            <w:vAlign w:val="bottom"/>
          </w:tcPr>
          <w:p>
            <w:pPr>
              <w:spacing w:after="0"/>
              <w:rPr>
                <w:sz w:val="24"/>
                <w:szCs w:val="24"/>
                <w:color w:val="auto"/>
              </w:rPr>
            </w:pPr>
          </w:p>
        </w:tc>
        <w:tc>
          <w:tcPr>
            <w:tcW w:w="730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200" w:type="dxa"/>
            <w:vAlign w:val="bottom"/>
            <w:gridSpan w:val="3"/>
            <w:vMerge w:val="continue"/>
          </w:tcPr>
          <w:p>
            <w:pPr>
              <w:spacing w:after="0"/>
              <w:rPr>
                <w:sz w:val="24"/>
                <w:szCs w:val="24"/>
                <w:color w:val="auto"/>
              </w:rPr>
            </w:pPr>
          </w:p>
        </w:tc>
        <w:tc>
          <w:tcPr>
            <w:tcW w:w="0" w:type="dxa"/>
            <w:vAlign w:val="bottom"/>
          </w:tcPr>
          <w:p>
            <w:pPr>
              <w:spacing w:after="0"/>
              <w:rPr>
                <w:sz w:val="24"/>
                <w:szCs w:val="24"/>
                <w:color w:val="auto"/>
              </w:rPr>
            </w:pPr>
          </w:p>
        </w:tc>
        <w:tc>
          <w:tcPr>
            <w:tcW w:w="7300" w:type="dxa"/>
            <w:vAlign w:val="bottom"/>
          </w:tcPr>
          <w:p>
            <w:pPr>
              <w:ind w:left="700"/>
              <w:spacing w:after="0"/>
              <w:rPr>
                <w:sz w:val="20"/>
                <w:szCs w:val="20"/>
                <w:color w:val="auto"/>
              </w:rPr>
            </w:pPr>
            <w:r>
              <w:rPr>
                <w:rFonts w:ascii="Arial" w:cs="Arial" w:eastAsia="Arial" w:hAnsi="Arial"/>
                <w:sz w:val="16"/>
                <w:szCs w:val="16"/>
                <w:color w:val="auto"/>
              </w:rPr>
              <w:t>  2022 Proxy Statement</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Borders>
              <w:bottom w:val="single" w:sz="8" w:color="auto"/>
            </w:tcBorders>
          </w:tcPr>
          <w:p>
            <w:pPr>
              <w:spacing w:after="0"/>
              <w:rPr>
                <w:sz w:val="13"/>
                <w:szCs w:val="13"/>
                <w:color w:val="auto"/>
              </w:rPr>
            </w:pPr>
          </w:p>
        </w:tc>
        <w:tc>
          <w:tcPr>
            <w:tcW w:w="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Borders>
              <w:bottom w:val="single" w:sz="8" w:color="auto"/>
            </w:tcBorders>
          </w:tcPr>
          <w:p>
            <w:pPr>
              <w:spacing w:after="0"/>
              <w:rPr>
                <w:sz w:val="13"/>
                <w:szCs w:val="13"/>
                <w:color w:val="auto"/>
              </w:rPr>
            </w:pPr>
          </w:p>
        </w:tc>
        <w:tc>
          <w:tcPr>
            <w:tcW w:w="7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-917575</wp:posOffset>
            </wp:positionV>
            <wp:extent cx="178435" cy="170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435" cy="170180"/>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-297180</wp:posOffset>
            </wp:positionV>
            <wp:extent cx="594995" cy="170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10940"/>
          </w:cols>
          <w:pgMar w:left="480" w:top="262" w:right="479" w:bottom="1440" w:gutter="0" w:footer="0" w:header="0"/>
          <w:type w:val="continuous"/>
        </w:sectPr>
      </w:pPr>
    </w:p>
    <w:bookmarkStart w:id="31" w:name="page32"/>
    <w:bookmarkEnd w:id="31"/>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92075</wp:posOffset>
            </wp:positionV>
            <wp:extent cx="53054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43"/>
          <w:szCs w:val="43"/>
          <w:color w:val="2A3D6C"/>
        </w:rPr>
        <w:t>AUDIT COMMITTEE REPORT</w:t>
      </w:r>
    </w:p>
    <w:p>
      <w:pPr>
        <w:spacing w:after="0" w:line="137" w:lineRule="exact"/>
        <w:rPr>
          <w:sz w:val="20"/>
          <w:szCs w:val="20"/>
          <w:color w:val="auto"/>
        </w:rPr>
      </w:pPr>
    </w:p>
    <w:p>
      <w:pPr>
        <w:ind w:left="320" w:right="399"/>
        <w:spacing w:after="0" w:line="252" w:lineRule="auto"/>
        <w:rPr>
          <w:sz w:val="20"/>
          <w:szCs w:val="20"/>
          <w:color w:val="auto"/>
        </w:rPr>
      </w:pPr>
      <w:r>
        <w:rPr>
          <w:rFonts w:ascii="Arial" w:cs="Arial" w:eastAsia="Arial" w:hAnsi="Arial"/>
          <w:sz w:val="16"/>
          <w:szCs w:val="16"/>
          <w:b w:val="1"/>
          <w:bCs w:val="1"/>
          <w:i w:val="1"/>
          <w:iCs w:val="1"/>
          <w:color w:val="auto"/>
        </w:rPr>
        <w:t>Notwithstanding anything to the contrary set forth in any of our filings under the Securities Act of 1933, as amended (“Securities Act”), or the Exchange Act, that might incorporate future filings, including this Proxy Statement, in whole or in part, the Compensation Committee Report herein and the Audit Committee Report included herein shall not be deemed to be “Soliciting Material,” are not deemed “filed” with the SEC and shall not be incorporated by reference into any filings under the Securities Act or Exchange Act whether made before or after the date of this Proxy Statement and irrespective of any general incorporation language in such filings.</w:t>
      </w:r>
    </w:p>
    <w:p>
      <w:pPr>
        <w:spacing w:after="0" w:line="65" w:lineRule="exact"/>
        <w:rPr>
          <w:sz w:val="20"/>
          <w:szCs w:val="20"/>
          <w:color w:val="auto"/>
        </w:rPr>
      </w:pPr>
    </w:p>
    <w:p>
      <w:pPr>
        <w:ind w:left="320" w:right="999"/>
        <w:spacing w:after="0" w:line="282" w:lineRule="auto"/>
        <w:rPr>
          <w:sz w:val="20"/>
          <w:szCs w:val="20"/>
          <w:color w:val="auto"/>
        </w:rPr>
      </w:pPr>
      <w:r>
        <w:rPr>
          <w:rFonts w:ascii="Arial" w:cs="Arial" w:eastAsia="Arial" w:hAnsi="Arial"/>
          <w:sz w:val="16"/>
          <w:szCs w:val="16"/>
          <w:color w:val="auto"/>
        </w:rPr>
        <w:t>The Audit Committee of the Board currently consists of four non-employee independent directors: Mr. Sterin, Mr. Franklin, Ms. Davis, and Ms. Goodwin.</w:t>
      </w:r>
    </w:p>
    <w:p>
      <w:pPr>
        <w:spacing w:after="0" w:line="50" w:lineRule="exact"/>
        <w:rPr>
          <w:sz w:val="20"/>
          <w:szCs w:val="20"/>
          <w:color w:val="auto"/>
        </w:rPr>
      </w:pPr>
    </w:p>
    <w:p>
      <w:pPr>
        <w:ind w:left="320" w:right="399"/>
        <w:spacing w:after="0" w:line="250" w:lineRule="auto"/>
        <w:rPr>
          <w:sz w:val="20"/>
          <w:szCs w:val="20"/>
          <w:color w:val="auto"/>
        </w:rPr>
      </w:pPr>
      <w:r>
        <w:rPr>
          <w:rFonts w:ascii="Arial" w:cs="Arial" w:eastAsia="Arial" w:hAnsi="Arial"/>
          <w:sz w:val="16"/>
          <w:szCs w:val="16"/>
          <w:color w:val="auto"/>
        </w:rPr>
        <w:t>Management is responsible for the Company’s system of internal controls and the financial reporting process. The independent accountants are responsible for performing an independent audit of the Company’s consolidated financial statements in accordance with auditing standards generally accepted in the United States of America and to issue a report thereon. The Audit Committee is responsible for monitoring (1) the integrity of the Company’s financial statements, (2) the Company’s compliance with legal and regulatory requirements, (3) the performance of the Company’s internal audit function and (4) the qualifications, independence and performance of the Company’s independent auditor.</w:t>
      </w:r>
    </w:p>
    <w:p>
      <w:pPr>
        <w:spacing w:after="0" w:line="78" w:lineRule="exact"/>
        <w:rPr>
          <w:sz w:val="20"/>
          <w:szCs w:val="20"/>
          <w:color w:val="auto"/>
        </w:rPr>
      </w:pPr>
    </w:p>
    <w:p>
      <w:pPr>
        <w:ind w:left="320" w:right="419"/>
        <w:spacing w:after="0" w:line="249" w:lineRule="auto"/>
        <w:rPr>
          <w:sz w:val="20"/>
          <w:szCs w:val="20"/>
          <w:color w:val="auto"/>
        </w:rPr>
      </w:pPr>
      <w:r>
        <w:rPr>
          <w:rFonts w:ascii="Arial" w:cs="Arial" w:eastAsia="Arial" w:hAnsi="Arial"/>
          <w:sz w:val="16"/>
          <w:szCs w:val="16"/>
          <w:color w:val="auto"/>
        </w:rPr>
        <w:t>The Audit Committee has reviewed and discussed with the Company’s management and the independent accountants the audited consolidated financial statements in the Company’s Annual Report on Form 10-K for the year ended December 31, 2021, including a discussion of the quality, not just the acceptability, of the accounting principles, the reasonableness of significant judgments and the clarity of disclosures in the consolidated financial statements. Management represented to the Audit Committee that the Company’s consolidated financial statements were prepared in accordance with accounting principles generally accepted in the United States of America. The Audit Committee discussed with the independent accountants matters required to be discussed by the Rules of the Public Company Accounting Oversight Board (“PCAOB”), including Auditing Standard No. 16, “</w:t>
      </w:r>
      <w:r>
        <w:rPr>
          <w:rFonts w:ascii="Arial" w:cs="Arial" w:eastAsia="Arial" w:hAnsi="Arial"/>
          <w:sz w:val="16"/>
          <w:szCs w:val="16"/>
          <w:i w:val="1"/>
          <w:iCs w:val="1"/>
          <w:color w:val="auto"/>
        </w:rPr>
        <w:t>Communications with</w:t>
      </w:r>
      <w:r>
        <w:rPr>
          <w:rFonts w:ascii="Arial" w:cs="Arial" w:eastAsia="Arial" w:hAnsi="Arial"/>
          <w:sz w:val="16"/>
          <w:szCs w:val="16"/>
          <w:color w:val="auto"/>
        </w:rPr>
        <w:t xml:space="preserve"> </w:t>
      </w:r>
      <w:r>
        <w:rPr>
          <w:rFonts w:ascii="Arial" w:cs="Arial" w:eastAsia="Arial" w:hAnsi="Arial"/>
          <w:sz w:val="16"/>
          <w:szCs w:val="16"/>
          <w:i w:val="1"/>
          <w:iCs w:val="1"/>
          <w:color w:val="auto"/>
        </w:rPr>
        <w:t>Audit Committees</w:t>
      </w:r>
      <w:r>
        <w:rPr>
          <w:rFonts w:ascii="Arial" w:cs="Arial" w:eastAsia="Arial" w:hAnsi="Arial"/>
          <w:sz w:val="16"/>
          <w:szCs w:val="16"/>
          <w:color w:val="auto"/>
        </w:rPr>
        <w:t>,” as amended.</w:t>
      </w:r>
    </w:p>
    <w:p>
      <w:pPr>
        <w:spacing w:after="0" w:line="76" w:lineRule="exact"/>
        <w:rPr>
          <w:sz w:val="20"/>
          <w:szCs w:val="20"/>
          <w:color w:val="auto"/>
        </w:rPr>
      </w:pPr>
    </w:p>
    <w:p>
      <w:pPr>
        <w:ind w:left="320" w:right="499"/>
        <w:spacing w:after="0" w:line="257" w:lineRule="auto"/>
        <w:rPr>
          <w:sz w:val="20"/>
          <w:szCs w:val="20"/>
          <w:color w:val="auto"/>
        </w:rPr>
      </w:pPr>
      <w:r>
        <w:rPr>
          <w:rFonts w:ascii="Arial" w:cs="Arial" w:eastAsia="Arial" w:hAnsi="Arial"/>
          <w:sz w:val="16"/>
          <w:szCs w:val="16"/>
          <w:color w:val="auto"/>
        </w:rPr>
        <w:t>The Company’s independent accountants also provided to the Audit Committee the written disclosure required by applicable requirements of the PCAOB regarding independent accountant’s communications with the Audit Committee concerning independence. The Audit Committee discussed with the independent accountants that firm’s independence.</w:t>
      </w:r>
    </w:p>
    <w:p>
      <w:pPr>
        <w:spacing w:after="0" w:line="69" w:lineRule="exact"/>
        <w:rPr>
          <w:sz w:val="20"/>
          <w:szCs w:val="20"/>
          <w:color w:val="auto"/>
        </w:rPr>
      </w:pPr>
    </w:p>
    <w:p>
      <w:pPr>
        <w:ind w:left="320" w:right="419"/>
        <w:spacing w:after="0" w:line="257" w:lineRule="auto"/>
        <w:rPr>
          <w:sz w:val="20"/>
          <w:szCs w:val="20"/>
          <w:color w:val="auto"/>
        </w:rPr>
      </w:pPr>
      <w:r>
        <w:rPr>
          <w:rFonts w:ascii="Arial" w:cs="Arial" w:eastAsia="Arial" w:hAnsi="Arial"/>
          <w:sz w:val="16"/>
          <w:szCs w:val="16"/>
          <w:color w:val="auto"/>
        </w:rPr>
        <w:t>Based on the Audit Committee’s discussions with management and the independent accountants, and the Audit Committee’s review of the representation of management and the report of the independent accountants to the Audit Committee, the Audit Committee recommended that the Board include the audited consolidated financial statements in the Company’s Annual Report on Form 10-K for the year ended December 31, 2021, filed with the SEC.</w:t>
      </w:r>
    </w:p>
    <w:p>
      <w:pPr>
        <w:spacing w:after="0" w:line="12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Respectfully submitted by the Audit Committee of the Board,</w:t>
      </w:r>
    </w:p>
    <w:p>
      <w:pPr>
        <w:spacing w:after="0" w:line="17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Steven M. Sterin, Chair</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Roy A. Franklin</w:t>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Lisa A. Davis</w:t>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Deanna L. Goodwin</w:t>
      </w:r>
    </w:p>
    <w:p>
      <w:pPr>
        <w:spacing w:after="0" w:line="87" w:lineRule="exact"/>
        <w:rPr>
          <w:sz w:val="20"/>
          <w:szCs w:val="20"/>
          <w:color w:val="auto"/>
        </w:rPr>
      </w:pPr>
    </w:p>
    <w:p>
      <w:pPr>
        <w:ind w:left="640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130175</wp:posOffset>
            </wp:positionV>
            <wp:extent cx="693801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-149860</wp:posOffset>
            </wp:positionV>
            <wp:extent cx="594995" cy="170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2" w:name="page33"/>
    <w:bookmarkEnd w:id="32"/>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245110</wp:posOffset>
            </wp:positionV>
            <wp:extent cx="530542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80"/>
        <w:spacing w:after="0"/>
        <w:rPr>
          <w:sz w:val="20"/>
          <w:szCs w:val="20"/>
          <w:color w:val="auto"/>
        </w:rPr>
      </w:pPr>
      <w:r>
        <w:rPr>
          <w:rFonts w:ascii="Arial" w:cs="Arial" w:eastAsia="Arial" w:hAnsi="Arial"/>
          <w:sz w:val="43"/>
          <w:szCs w:val="43"/>
          <w:color w:val="2A3D6C"/>
        </w:rPr>
        <w:t>PROPOSAL 3</w:t>
      </w:r>
    </w:p>
    <w:p>
      <w:pPr>
        <w:spacing w:after="0" w:line="130" w:lineRule="exact"/>
        <w:rPr>
          <w:sz w:val="20"/>
          <w:szCs w:val="20"/>
          <w:color w:val="auto"/>
        </w:rPr>
      </w:pPr>
    </w:p>
    <w:p>
      <w:pPr>
        <w:ind w:left="1280" w:right="1300"/>
        <w:spacing w:after="0" w:line="305" w:lineRule="auto"/>
        <w:rPr>
          <w:sz w:val="20"/>
          <w:szCs w:val="20"/>
          <w:color w:val="auto"/>
        </w:rPr>
      </w:pPr>
      <w:r>
        <w:rPr>
          <w:rFonts w:ascii="Arial" w:cs="Arial" w:eastAsia="Arial" w:hAnsi="Arial"/>
          <w:sz w:val="23"/>
          <w:szCs w:val="23"/>
          <w:b w:val="1"/>
          <w:bCs w:val="1"/>
          <w:color w:val="595959"/>
        </w:rPr>
        <w:t>To provide a non-binding, advisory vote to approve named executive officer compensation</w:t>
      </w:r>
    </w:p>
    <w:p>
      <w:pPr>
        <w:spacing w:after="0" w:line="3" w:lineRule="exact"/>
        <w:rPr>
          <w:sz w:val="20"/>
          <w:szCs w:val="20"/>
          <w:color w:val="auto"/>
        </w:rPr>
      </w:pPr>
    </w:p>
    <w:p>
      <w:pPr>
        <w:ind w:left="1280" w:right="1320"/>
        <w:spacing w:after="0" w:line="249" w:lineRule="auto"/>
        <w:rPr>
          <w:sz w:val="20"/>
          <w:szCs w:val="20"/>
          <w:color w:val="auto"/>
        </w:rPr>
      </w:pPr>
      <w:r>
        <w:rPr>
          <w:rFonts w:ascii="Arial" w:cs="Arial" w:eastAsia="Arial" w:hAnsi="Arial"/>
          <w:sz w:val="16"/>
          <w:szCs w:val="16"/>
          <w:color w:val="auto"/>
        </w:rPr>
        <w:t>At our 2018 annual stockholders meeting, a majority of our stockholders voted, on a non-binding, advisory basis, to hold a non-binding, advisory vote on named executive officer compensation every year. Consistent with this recommendation by our stockholders, the Company intends to submit an annual non-binding, advisory vote on the compensation of the Company’s named executive officers until the next vote on the frequency of the stockholder non-binding, advisory vote on named executive officer compensation. Accordingly, as required by Section 14A of the Exchange Act, we are providing our stockholders with the opportunity to cast a non-binding, advisory vote on the 2021 compensation of our named executive officers as disclosed in this Proxy Statement, including the Compensation Discussion and Analysis, the compensation tables and other narrative executive compensation disclosures.</w:t>
      </w:r>
    </w:p>
    <w:p>
      <w:pPr>
        <w:spacing w:after="0" w:line="76" w:lineRule="exact"/>
        <w:rPr>
          <w:sz w:val="20"/>
          <w:szCs w:val="20"/>
          <w:color w:val="auto"/>
        </w:rPr>
      </w:pPr>
    </w:p>
    <w:p>
      <w:pPr>
        <w:ind w:left="1280" w:right="1360"/>
        <w:spacing w:after="0" w:line="250" w:lineRule="auto"/>
        <w:rPr>
          <w:sz w:val="20"/>
          <w:szCs w:val="20"/>
          <w:color w:val="auto"/>
        </w:rPr>
      </w:pPr>
      <w:r>
        <w:rPr>
          <w:rFonts w:ascii="Arial" w:cs="Arial" w:eastAsia="Arial" w:hAnsi="Arial"/>
          <w:sz w:val="16"/>
          <w:szCs w:val="16"/>
          <w:color w:val="auto"/>
        </w:rPr>
        <w:t>As described in detail in this Proxy Statement under “Executive Compensation—Compensation Discussion and Analysis,” we seek to pay our named executive officers for performance, to closely align the interests of our named executive officers with the interests of our stockholders and to attract, retain and motivate top talent. Please refer to the Compensation Discussion and Analysis, the compensation tables and the other narrative compensation-related disclosures of this Proxy Statement for a detailed discussion of our executive compensation principles and practices and the 2021 compensation of our named executive officers. This vote is not intended to address any specific item of compensation, but rather our overall executive compensation principles and practices and the 2021 compensation of our named executive officers.</w:t>
      </w:r>
    </w:p>
    <w:p>
      <w:pPr>
        <w:spacing w:after="0" w:line="74" w:lineRule="exact"/>
        <w:rPr>
          <w:sz w:val="20"/>
          <w:szCs w:val="20"/>
          <w:color w:val="auto"/>
        </w:rPr>
      </w:pPr>
    </w:p>
    <w:p>
      <w:pPr>
        <w:ind w:left="1280" w:right="1420"/>
        <w:spacing w:after="0" w:line="257" w:lineRule="auto"/>
        <w:rPr>
          <w:sz w:val="20"/>
          <w:szCs w:val="20"/>
          <w:color w:val="auto"/>
        </w:rPr>
      </w:pPr>
      <w:r>
        <w:rPr>
          <w:rFonts w:ascii="Arial" w:cs="Arial" w:eastAsia="Arial" w:hAnsi="Arial"/>
          <w:sz w:val="16"/>
          <w:szCs w:val="16"/>
          <w:color w:val="auto"/>
        </w:rPr>
        <w:t>To help ensure that all stockholders views are well understood by the Board, we also encourage stockholders to use any of a number of direct communication mechanisms to effectively raise specific issues or concerns regarding our executive compensation principles and practices (see “Board of Directors, Board Meetings and Committees— Communications with the Board” above).</w:t>
      </w:r>
    </w:p>
    <w:p>
      <w:pPr>
        <w:spacing w:after="0" w:line="344" w:lineRule="exact"/>
        <w:rPr>
          <w:sz w:val="20"/>
          <w:szCs w:val="20"/>
          <w:color w:val="auto"/>
        </w:rPr>
      </w:pPr>
    </w:p>
    <w:p>
      <w:pPr>
        <w:ind w:left="1280"/>
        <w:spacing w:after="0"/>
        <w:rPr>
          <w:sz w:val="20"/>
          <w:szCs w:val="20"/>
          <w:color w:val="auto"/>
        </w:rPr>
      </w:pPr>
      <w:r>
        <w:rPr>
          <w:rFonts w:ascii="Arial" w:cs="Arial" w:eastAsia="Arial" w:hAnsi="Arial"/>
          <w:sz w:val="23"/>
          <w:szCs w:val="23"/>
          <w:b w:val="1"/>
          <w:bCs w:val="1"/>
          <w:color w:val="595959"/>
        </w:rPr>
        <w:t>Vote Required</w:t>
      </w:r>
    </w:p>
    <w:p>
      <w:pPr>
        <w:spacing w:after="0" w:line="129" w:lineRule="exact"/>
        <w:rPr>
          <w:sz w:val="20"/>
          <w:szCs w:val="20"/>
          <w:color w:val="auto"/>
        </w:rPr>
      </w:pPr>
    </w:p>
    <w:p>
      <w:pPr>
        <w:ind w:left="1280" w:right="1380"/>
        <w:spacing w:after="0" w:line="263" w:lineRule="auto"/>
        <w:rPr>
          <w:sz w:val="20"/>
          <w:szCs w:val="20"/>
          <w:color w:val="auto"/>
        </w:rPr>
      </w:pPr>
      <w:r>
        <w:rPr>
          <w:rFonts w:ascii="Arial" w:cs="Arial" w:eastAsia="Arial" w:hAnsi="Arial"/>
          <w:sz w:val="16"/>
          <w:szCs w:val="16"/>
          <w:color w:val="auto"/>
        </w:rPr>
        <w:t>The affirmative vote of a majority of the votes cast at the annual stockholders meeting, at which a quorum is present, is required to approve Proposal 3. Abstentions shall not be treated as votes cast, although they will be counted for purposes of determining whether a quorum is present.</w:t>
      </w:r>
    </w:p>
    <w:p>
      <w:pPr>
        <w:spacing w:after="0" w:line="11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Stockholders are being asked to vote on the following resolution:</w:t>
      </w:r>
    </w:p>
    <w:p>
      <w:pPr>
        <w:spacing w:after="0" w:line="111" w:lineRule="exact"/>
        <w:rPr>
          <w:sz w:val="20"/>
          <w:szCs w:val="20"/>
          <w:color w:val="auto"/>
        </w:rPr>
      </w:pPr>
    </w:p>
    <w:p>
      <w:pPr>
        <w:ind w:left="1280" w:right="1500"/>
        <w:spacing w:after="0" w:line="257" w:lineRule="auto"/>
        <w:rPr>
          <w:sz w:val="20"/>
          <w:szCs w:val="20"/>
          <w:color w:val="auto"/>
        </w:rPr>
      </w:pPr>
      <w:r>
        <w:rPr>
          <w:rFonts w:ascii="Arial" w:cs="Arial" w:eastAsia="Arial" w:hAnsi="Arial"/>
          <w:sz w:val="16"/>
          <w:szCs w:val="16"/>
          <w:color w:val="auto"/>
        </w:rPr>
        <w:t>“RESOLVED, that the Company’s stockholders approve, on a non-binding, advisory basis, the compensation of the Company’s executive officers named in the Summary Compensation Table, as disclosed pursuant to Item 402 of Regulation S-K (which disclosure includes the Compensation Discussion and Analysis, the accompanying compensation tables and related narrative).”</w:t>
      </w:r>
    </w:p>
    <w:p>
      <w:pPr>
        <w:spacing w:after="0" w:line="69" w:lineRule="exact"/>
        <w:rPr>
          <w:sz w:val="20"/>
          <w:szCs w:val="20"/>
          <w:color w:val="auto"/>
        </w:rPr>
      </w:pPr>
    </w:p>
    <w:p>
      <w:pPr>
        <w:ind w:left="1280" w:right="1380"/>
        <w:spacing w:after="0" w:line="263" w:lineRule="auto"/>
        <w:rPr>
          <w:sz w:val="20"/>
          <w:szCs w:val="20"/>
          <w:color w:val="auto"/>
        </w:rPr>
      </w:pPr>
      <w:r>
        <w:rPr>
          <w:rFonts w:ascii="Arial" w:cs="Arial" w:eastAsia="Arial" w:hAnsi="Arial"/>
          <w:sz w:val="16"/>
          <w:szCs w:val="16"/>
          <w:color w:val="auto"/>
        </w:rPr>
        <w:t>Although the vote on this proposal is advisory and, therefore, is not binding, the Compensation Committee will carefully consider the stockholder vote on this matter, including whether any actions will be necessary to address the concerns, if any, of our stockholders.</w:t>
      </w:r>
    </w:p>
    <w:p>
      <w:pPr>
        <w:spacing w:after="0" w:line="327" w:lineRule="exact"/>
        <w:rPr>
          <w:sz w:val="20"/>
          <w:szCs w:val="20"/>
          <w:color w:val="auto"/>
        </w:rPr>
      </w:pPr>
    </w:p>
    <w:p>
      <w:pPr>
        <w:ind w:left="1280"/>
        <w:spacing w:after="0"/>
        <w:rPr>
          <w:sz w:val="20"/>
          <w:szCs w:val="20"/>
          <w:color w:val="auto"/>
        </w:rPr>
      </w:pPr>
      <w:r>
        <w:rPr>
          <w:rFonts w:ascii="Arial" w:cs="Arial" w:eastAsia="Arial" w:hAnsi="Arial"/>
          <w:sz w:val="23"/>
          <w:szCs w:val="23"/>
          <w:b w:val="1"/>
          <w:bCs w:val="1"/>
          <w:color w:val="595959"/>
        </w:rPr>
        <w:t>Recommendation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300" w:type="dxa"/>
            <w:vAlign w:val="bottom"/>
          </w:tcPr>
          <w:p>
            <w:pPr>
              <w:spacing w:after="0"/>
              <w:rPr>
                <w:sz w:val="24"/>
                <w:szCs w:val="24"/>
                <w:color w:val="auto"/>
              </w:rPr>
            </w:pPr>
          </w:p>
        </w:tc>
        <w:tc>
          <w:tcPr>
            <w:tcW w:w="0" w:type="dxa"/>
            <w:vAlign w:val="bottom"/>
            <w:tcBorders>
              <w:top w:val="single" w:sz="8" w:color="2A3D6C"/>
            </w:tcBorders>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top w:val="single" w:sz="8" w:color="2A3D6C"/>
            </w:tcBorders>
            <w:shd w:val="clear" w:color="auto" w:fill="2A3D6C"/>
          </w:tcPr>
          <w:p>
            <w:pPr>
              <w:ind w:left="120"/>
              <w:spacing w:after="0" w:line="280" w:lineRule="exact"/>
              <w:rPr>
                <w:sz w:val="20"/>
                <w:szCs w:val="20"/>
                <w:color w:val="auto"/>
              </w:rPr>
            </w:pPr>
            <w:r>
              <w:rPr>
                <w:rFonts w:ascii="Arial" w:cs="Arial" w:eastAsia="Arial" w:hAnsi="Arial"/>
                <w:sz w:val="29"/>
                <w:szCs w:val="29"/>
                <w:b w:val="1"/>
                <w:bCs w:val="1"/>
                <w:color w:val="FFFFFF"/>
              </w:rPr>
              <w:t xml:space="preserve">FOR </w:t>
            </w:r>
            <w:r>
              <w:rPr>
                <w:rFonts w:ascii="Times New Roman" w:cs="Times New Roman" w:eastAsia="Times New Roman" w:hAnsi="Times New Roman"/>
                <w:sz w:val="7"/>
                <w:szCs w:val="7"/>
                <w:color w:val="000000"/>
                <w:vertAlign w:val="subscript"/>
              </w:rPr>
              <w:t>​</w:t>
            </w:r>
          </w:p>
        </w:tc>
        <w:tc>
          <w:tcPr>
            <w:tcW w:w="0" w:type="dxa"/>
            <w:vAlign w:val="bottom"/>
            <w:tcBorders>
              <w:top w:val="single" w:sz="8" w:color="2A3D6C"/>
            </w:tcBorders>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7080" w:type="dxa"/>
            <w:vAlign w:val="bottom"/>
            <w:tcBorders>
              <w:top w:val="single" w:sz="8" w:color="2A3D6C"/>
            </w:tcBorders>
          </w:tcPr>
          <w:p>
            <w:pPr>
              <w:ind w:left="100"/>
              <w:spacing w:after="0"/>
              <w:rPr>
                <w:sz w:val="20"/>
                <w:szCs w:val="20"/>
                <w:color w:val="auto"/>
              </w:rPr>
            </w:pPr>
            <w:r>
              <w:rPr>
                <w:rFonts w:ascii="Arial" w:cs="Arial" w:eastAsia="Arial" w:hAnsi="Arial"/>
                <w:sz w:val="18"/>
                <w:szCs w:val="18"/>
                <w:b w:val="1"/>
                <w:bCs w:val="1"/>
                <w:color w:val="auto"/>
              </w:rPr>
              <w:t>The Board recommends a vote “FOR” the approval of the compensation of our</w:t>
            </w:r>
          </w:p>
        </w:tc>
        <w:tc>
          <w:tcPr>
            <w:tcW w:w="380" w:type="dxa"/>
            <w:vAlign w:val="bottom"/>
            <w:tcBorders>
              <w:top w:val="single" w:sz="8" w:color="2A3D6C"/>
              <w:right w:val="single" w:sz="8" w:color="2A3D6C"/>
            </w:tcBorders>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0" w:type="dxa"/>
            <w:vAlign w:val="bottom"/>
            <w:shd w:val="clear" w:color="auto" w:fill="2A3D6C"/>
          </w:tcPr>
          <w:p>
            <w:pPr>
              <w:spacing w:after="0"/>
              <w:rPr>
                <w:sz w:val="15"/>
                <w:szCs w:val="15"/>
                <w:color w:val="auto"/>
              </w:rPr>
            </w:pPr>
          </w:p>
        </w:tc>
        <w:tc>
          <w:tcPr>
            <w:tcW w:w="900" w:type="dxa"/>
            <w:vAlign w:val="bottom"/>
            <w:shd w:val="clear" w:color="auto" w:fill="2A3D6C"/>
          </w:tcPr>
          <w:p>
            <w:pPr>
              <w:spacing w:after="0"/>
              <w:rPr>
                <w:sz w:val="15"/>
                <w:szCs w:val="15"/>
                <w:color w:val="auto"/>
              </w:rPr>
            </w:pPr>
          </w:p>
        </w:tc>
        <w:tc>
          <w:tcPr>
            <w:tcW w:w="0" w:type="dxa"/>
            <w:vAlign w:val="bottom"/>
            <w:shd w:val="clear" w:color="auto" w:fill="2A3D6C"/>
          </w:tcPr>
          <w:p>
            <w:pPr>
              <w:spacing w:after="0"/>
              <w:rPr>
                <w:sz w:val="15"/>
                <w:szCs w:val="15"/>
                <w:color w:val="auto"/>
              </w:rPr>
            </w:pPr>
          </w:p>
        </w:tc>
        <w:tc>
          <w:tcPr>
            <w:tcW w:w="7080" w:type="dxa"/>
            <w:vAlign w:val="bottom"/>
          </w:tcPr>
          <w:p>
            <w:pPr>
              <w:ind w:left="100"/>
              <w:spacing w:after="0" w:line="183" w:lineRule="exact"/>
              <w:rPr>
                <w:sz w:val="20"/>
                <w:szCs w:val="20"/>
                <w:color w:val="auto"/>
              </w:rPr>
            </w:pPr>
            <w:r>
              <w:rPr>
                <w:rFonts w:ascii="Arial" w:cs="Arial" w:eastAsia="Arial" w:hAnsi="Arial"/>
                <w:sz w:val="18"/>
                <w:szCs w:val="18"/>
                <w:b w:val="1"/>
                <w:bCs w:val="1"/>
                <w:color w:val="auto"/>
              </w:rPr>
              <w:t>named executive officers as disclosed in this Proxy Statement. If not otherwise</w:t>
            </w:r>
          </w:p>
        </w:tc>
        <w:tc>
          <w:tcPr>
            <w:tcW w:w="380" w:type="dxa"/>
            <w:vAlign w:val="bottom"/>
            <w:tcBorders>
              <w:right w:val="single" w:sz="8" w:color="2A3D6C"/>
            </w:tcBorders>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1"/>
                <w:szCs w:val="21"/>
                <w:color w:val="auto"/>
              </w:rPr>
            </w:pPr>
          </w:p>
        </w:tc>
        <w:tc>
          <w:tcPr>
            <w:tcW w:w="0" w:type="dxa"/>
            <w:vAlign w:val="bottom"/>
            <w:shd w:val="clear" w:color="auto" w:fill="2A3D6C"/>
          </w:tcPr>
          <w:p>
            <w:pPr>
              <w:spacing w:after="0"/>
              <w:rPr>
                <w:sz w:val="21"/>
                <w:szCs w:val="21"/>
                <w:color w:val="auto"/>
              </w:rPr>
            </w:pPr>
          </w:p>
        </w:tc>
        <w:tc>
          <w:tcPr>
            <w:tcW w:w="900" w:type="dxa"/>
            <w:vAlign w:val="bottom"/>
            <w:shd w:val="clear" w:color="auto" w:fill="2A3D6C"/>
          </w:tcPr>
          <w:p>
            <w:pPr>
              <w:spacing w:after="0"/>
              <w:rPr>
                <w:sz w:val="21"/>
                <w:szCs w:val="21"/>
                <w:color w:val="auto"/>
              </w:rPr>
            </w:pPr>
          </w:p>
        </w:tc>
        <w:tc>
          <w:tcPr>
            <w:tcW w:w="0" w:type="dxa"/>
            <w:vAlign w:val="bottom"/>
            <w:shd w:val="clear" w:color="auto" w:fill="2A3D6C"/>
          </w:tcPr>
          <w:p>
            <w:pPr>
              <w:spacing w:after="0"/>
              <w:rPr>
                <w:sz w:val="21"/>
                <w:szCs w:val="21"/>
                <w:color w:val="auto"/>
              </w:rPr>
            </w:pP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specified, proxies will be voted “FOR” Proposal 3.</w:t>
            </w:r>
          </w:p>
        </w:tc>
        <w:tc>
          <w:tcPr>
            <w:tcW w:w="380" w:type="dxa"/>
            <w:vAlign w:val="bottom"/>
            <w:tcBorders>
              <w:right w:val="single" w:sz="8" w:color="2A3D6C"/>
            </w:tcBorders>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1300" w:type="dxa"/>
            <w:vAlign w:val="bottom"/>
          </w:tcPr>
          <w:p>
            <w:pPr>
              <w:spacing w:after="0"/>
              <w:rPr>
                <w:sz w:val="2"/>
                <w:szCs w:val="2"/>
                <w:color w:val="auto"/>
              </w:rPr>
            </w:pPr>
          </w:p>
        </w:tc>
        <w:tc>
          <w:tcPr>
            <w:tcW w:w="0" w:type="dxa"/>
            <w:vAlign w:val="bottom"/>
            <w:tcBorders>
              <w:bottom w:val="single" w:sz="8" w:color="2A3D6C"/>
            </w:tcBorders>
            <w:shd w:val="clear" w:color="auto" w:fill="2A3D6C"/>
          </w:tcPr>
          <w:p>
            <w:pPr>
              <w:spacing w:after="0"/>
              <w:rPr>
                <w:sz w:val="2"/>
                <w:szCs w:val="2"/>
                <w:color w:val="auto"/>
              </w:rPr>
            </w:pPr>
          </w:p>
        </w:tc>
        <w:tc>
          <w:tcPr>
            <w:tcW w:w="900" w:type="dxa"/>
            <w:vAlign w:val="bottom"/>
            <w:tcBorders>
              <w:bottom w:val="single" w:sz="8" w:color="2A3D6C"/>
            </w:tcBorders>
            <w:shd w:val="clear" w:color="auto" w:fill="2A3D6C"/>
          </w:tcPr>
          <w:p>
            <w:pPr>
              <w:spacing w:after="0"/>
              <w:rPr>
                <w:sz w:val="2"/>
                <w:szCs w:val="2"/>
                <w:color w:val="auto"/>
              </w:rPr>
            </w:pPr>
          </w:p>
        </w:tc>
        <w:tc>
          <w:tcPr>
            <w:tcW w:w="0" w:type="dxa"/>
            <w:vAlign w:val="bottom"/>
            <w:tcBorders>
              <w:bottom w:val="single" w:sz="8" w:color="2A3D6C"/>
            </w:tcBorders>
            <w:shd w:val="clear" w:color="auto" w:fill="2A3D6C"/>
          </w:tcPr>
          <w:p>
            <w:pPr>
              <w:spacing w:after="0"/>
              <w:rPr>
                <w:sz w:val="2"/>
                <w:szCs w:val="2"/>
                <w:color w:val="auto"/>
              </w:rPr>
            </w:pPr>
          </w:p>
        </w:tc>
        <w:tc>
          <w:tcPr>
            <w:tcW w:w="7080" w:type="dxa"/>
            <w:vAlign w:val="bottom"/>
            <w:tcBorders>
              <w:bottom w:val="single" w:sz="8" w:color="2A3D6C"/>
            </w:tcBorders>
          </w:tcPr>
          <w:p>
            <w:pPr>
              <w:spacing w:after="0"/>
              <w:rPr>
                <w:sz w:val="2"/>
                <w:szCs w:val="2"/>
                <w:color w:val="auto"/>
              </w:rPr>
            </w:pPr>
          </w:p>
        </w:tc>
        <w:tc>
          <w:tcPr>
            <w:tcW w:w="380" w:type="dxa"/>
            <w:vAlign w:val="bottom"/>
            <w:tcBorders>
              <w:bottom w:val="single" w:sz="8" w:color="2A3D6C"/>
              <w:right w:val="single" w:sz="8" w:color="2A3D6C"/>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4"/>
        </w:trPr>
        <w:tc>
          <w:tcPr>
            <w:tcW w:w="2200" w:type="dxa"/>
            <w:vAlign w:val="bottom"/>
            <w:gridSpan w:val="3"/>
            <w:vMerge w:val="restart"/>
          </w:tcPr>
          <w:p>
            <w:pPr>
              <w:ind w:left="1280"/>
              <w:spacing w:after="0"/>
              <w:rPr>
                <w:sz w:val="20"/>
                <w:szCs w:val="20"/>
                <w:color w:val="auto"/>
              </w:rPr>
            </w:pPr>
            <w:r>
              <w:rPr>
                <w:rFonts w:ascii="Arial" w:cs="Arial" w:eastAsia="Arial" w:hAnsi="Arial"/>
                <w:sz w:val="16"/>
                <w:szCs w:val="16"/>
                <w:b w:val="1"/>
                <w:bCs w:val="1"/>
                <w:color w:val="auto"/>
              </w:rPr>
              <w:t>28</w:t>
            </w:r>
            <w:r>
              <w:rPr>
                <w:rFonts w:ascii="Arial" w:cs="Arial" w:eastAsia="Arial" w:hAnsi="Arial"/>
                <w:sz w:val="24"/>
                <w:szCs w:val="24"/>
                <w:b w:val="1"/>
                <w:bCs w:val="1"/>
                <w:color w:val="2A3D6C"/>
              </w:rPr>
              <w:t xml:space="preserve">  |</w:t>
            </w:r>
          </w:p>
        </w:tc>
        <w:tc>
          <w:tcPr>
            <w:tcW w:w="0" w:type="dxa"/>
            <w:vAlign w:val="bottom"/>
          </w:tcPr>
          <w:p>
            <w:pPr>
              <w:spacing w:after="0"/>
              <w:rPr>
                <w:sz w:val="24"/>
                <w:szCs w:val="24"/>
                <w:color w:val="auto"/>
              </w:rPr>
            </w:pPr>
          </w:p>
        </w:tc>
        <w:tc>
          <w:tcPr>
            <w:tcW w:w="70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200" w:type="dxa"/>
            <w:vAlign w:val="bottom"/>
            <w:gridSpan w:val="3"/>
            <w:vMerge w:val="continue"/>
          </w:tcPr>
          <w:p>
            <w:pPr>
              <w:spacing w:after="0"/>
              <w:rPr>
                <w:sz w:val="23"/>
                <w:szCs w:val="23"/>
                <w:color w:val="auto"/>
              </w:rPr>
            </w:pPr>
          </w:p>
        </w:tc>
        <w:tc>
          <w:tcPr>
            <w:tcW w:w="0" w:type="dxa"/>
            <w:vAlign w:val="bottom"/>
          </w:tcPr>
          <w:p>
            <w:pPr>
              <w:spacing w:after="0"/>
              <w:rPr>
                <w:sz w:val="23"/>
                <w:szCs w:val="23"/>
                <w:color w:val="auto"/>
              </w:rPr>
            </w:pPr>
          </w:p>
        </w:tc>
        <w:tc>
          <w:tcPr>
            <w:tcW w:w="7080" w:type="dxa"/>
            <w:vAlign w:val="bottom"/>
          </w:tcPr>
          <w:p>
            <w:pPr>
              <w:ind w:left="700"/>
              <w:spacing w:after="0"/>
              <w:rPr>
                <w:sz w:val="20"/>
                <w:szCs w:val="20"/>
                <w:color w:val="auto"/>
              </w:rPr>
            </w:pPr>
            <w:r>
              <w:rPr>
                <w:rFonts w:ascii="Arial" w:cs="Arial" w:eastAsia="Arial" w:hAnsi="Arial"/>
                <w:sz w:val="16"/>
                <w:szCs w:val="16"/>
                <w:color w:val="auto"/>
              </w:rPr>
              <w:t>  2022 Proxy Statement</w:t>
            </w: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1300" w:type="dxa"/>
            <w:vAlign w:val="bottom"/>
            <w:tcBorders>
              <w:bottom w:val="single" w:sz="8" w:color="auto"/>
            </w:tcBorders>
          </w:tcPr>
          <w:p>
            <w:pPr>
              <w:spacing w:after="0"/>
              <w:rPr>
                <w:sz w:val="13"/>
                <w:szCs w:val="13"/>
                <w:color w:val="auto"/>
              </w:rPr>
            </w:pPr>
          </w:p>
        </w:tc>
        <w:tc>
          <w:tcPr>
            <w:tcW w:w="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Borders>
              <w:bottom w:val="single" w:sz="8" w:color="auto"/>
            </w:tcBorders>
          </w:tcPr>
          <w:p>
            <w:pPr>
              <w:spacing w:after="0"/>
              <w:rPr>
                <w:sz w:val="13"/>
                <w:szCs w:val="13"/>
                <w:color w:val="auto"/>
              </w:rPr>
            </w:pPr>
          </w:p>
        </w:tc>
        <w:tc>
          <w:tcPr>
            <w:tcW w:w="70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-781685</wp:posOffset>
            </wp:positionV>
            <wp:extent cx="178435" cy="170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8435" cy="170180"/>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-297180</wp:posOffset>
            </wp:positionV>
            <wp:extent cx="594995" cy="170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10940"/>
          </w:cols>
          <w:pgMar w:left="480" w:top="262" w:right="479"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7540"/>
        <w:spacing w:after="0"/>
        <w:rPr>
          <w:sz w:val="20"/>
          <w:szCs w:val="20"/>
          <w:color w:val="auto"/>
        </w:rPr>
      </w:pPr>
      <w:r>
        <w:rPr>
          <w:rFonts w:ascii="Arial" w:cs="Arial" w:eastAsia="Arial" w:hAnsi="Arial"/>
          <w:sz w:val="17"/>
          <w:szCs w:val="17"/>
          <w:b w:val="1"/>
          <w:bCs w:val="1"/>
          <w:color w:val="2A3D6C"/>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57785</wp:posOffset>
            </wp:positionV>
            <wp:extent cx="530542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EXECUTIVE OFFICERS</w:t>
      </w:r>
    </w:p>
    <w:p>
      <w:pPr>
        <w:spacing w:after="0" w:line="129" w:lineRule="exact"/>
        <w:rPr>
          <w:sz w:val="20"/>
          <w:szCs w:val="20"/>
          <w:color w:val="auto"/>
        </w:rPr>
      </w:pPr>
    </w:p>
    <w:p>
      <w:pPr>
        <w:ind w:left="320" w:right="379"/>
        <w:spacing w:after="0" w:line="282" w:lineRule="auto"/>
        <w:rPr>
          <w:sz w:val="20"/>
          <w:szCs w:val="20"/>
          <w:color w:val="auto"/>
        </w:rPr>
      </w:pPr>
      <w:r>
        <w:rPr>
          <w:rFonts w:ascii="Arial" w:cs="Arial" w:eastAsia="Arial" w:hAnsi="Arial"/>
          <w:sz w:val="16"/>
          <w:szCs w:val="16"/>
          <w:color w:val="auto"/>
        </w:rPr>
        <w:t>Our executive officers are designated by, and serve at the discretion of, our Board of Directors. Our executive officers are as follows: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Andrew G. Inglis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87630</wp:posOffset>
            </wp:positionV>
            <wp:extent cx="53054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05425" cy="8255"/>
                    </a:xfrm>
                    <a:prstGeom prst="rect">
                      <a:avLst/>
                    </a:prstGeom>
                    <a:noFill/>
                  </pic:spPr>
                </pic:pic>
              </a:graphicData>
            </a:graphic>
          </wp:anchor>
        </w:drawing>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Chairman and Chief Executive Officer</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0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   Mr. Inglis has served as our Chairman and Chief Executive Officer since</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March 1, 2014. Mr. Inglis joined Kosmos from Petrofac Ltd., a leading provider</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of oilfield services to the international oil and gas industry, principally engaged</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in the design of oil and gas infrastructure, the operation, maintenance and</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management of oil and gas assets and the training of personnel on a</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worldwide basis. At Petrofac, Mr. Inglis held the position of Chief Executive,</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Integrated Energy Services and was a member of the Petrofac board of</w:t>
            </w:r>
          </w:p>
        </w:tc>
        <w:tc>
          <w:tcPr>
            <w:tcW w:w="0" w:type="dxa"/>
            <w:vAlign w:val="bottom"/>
          </w:tcPr>
          <w:p>
            <w:pPr>
              <w:spacing w:after="0"/>
              <w:rPr>
                <w:sz w:val="1"/>
                <w:szCs w:val="1"/>
                <w:color w:val="auto"/>
              </w:rPr>
            </w:pPr>
          </w:p>
        </w:tc>
      </w:tr>
      <w:tr>
        <w:trPr>
          <w:trHeight w:val="187"/>
        </w:trPr>
        <w:tc>
          <w:tcPr>
            <w:tcW w:w="1780" w:type="dxa"/>
            <w:vAlign w:val="bottom"/>
          </w:tcPr>
          <w:p>
            <w:pPr>
              <w:ind w:left="17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80" w:type="dxa"/>
            <w:vAlign w:val="bottom"/>
          </w:tcPr>
          <w:p>
            <w:pPr>
              <w:ind w:left="40"/>
              <w:spacing w:after="0"/>
              <w:rPr>
                <w:sz w:val="20"/>
                <w:szCs w:val="20"/>
                <w:color w:val="auto"/>
              </w:rPr>
            </w:pPr>
            <w:r>
              <w:rPr>
                <w:rFonts w:ascii="Arial" w:cs="Arial" w:eastAsia="Arial" w:hAnsi="Arial"/>
                <w:sz w:val="16"/>
                <w:szCs w:val="16"/>
                <w:color w:val="auto"/>
              </w:rPr>
              <w:t>directors. Prior to joining Petrofac in January 2011, Mr. Inglis served BP p.l.c</w:t>
            </w:r>
          </w:p>
        </w:tc>
        <w:tc>
          <w:tcPr>
            <w:tcW w:w="0" w:type="dxa"/>
            <w:vAlign w:val="bottom"/>
          </w:tcPr>
          <w:p>
            <w:pPr>
              <w:spacing w:after="0"/>
              <w:rPr>
                <w:sz w:val="1"/>
                <w:szCs w:val="1"/>
                <w:color w:val="auto"/>
              </w:rPr>
            </w:pPr>
          </w:p>
        </w:tc>
      </w:tr>
      <w:tr>
        <w:trPr>
          <w:trHeight w:val="187"/>
        </w:trPr>
        <w:tc>
          <w:tcPr>
            <w:tcW w:w="1780" w:type="dxa"/>
            <w:vAlign w:val="bottom"/>
            <w:vMerge w:val="restart"/>
          </w:tcPr>
          <w:p>
            <w:pPr>
              <w:spacing w:after="0"/>
              <w:rPr>
                <w:sz w:val="20"/>
                <w:szCs w:val="20"/>
                <w:color w:val="auto"/>
              </w:rPr>
            </w:pPr>
            <w:r>
              <w:rPr>
                <w:rFonts w:ascii="Arial" w:cs="Arial" w:eastAsia="Arial" w:hAnsi="Arial"/>
                <w:sz w:val="16"/>
                <w:szCs w:val="16"/>
                <w:b w:val="1"/>
                <w:bCs w:val="1"/>
                <w:color w:val="auto"/>
              </w:rPr>
              <w:t> </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for 30 years in a number of positions, including most recently as Executive</w:t>
            </w:r>
          </w:p>
        </w:tc>
        <w:tc>
          <w:tcPr>
            <w:tcW w:w="0" w:type="dxa"/>
            <w:vAlign w:val="bottom"/>
          </w:tcPr>
          <w:p>
            <w:pPr>
              <w:spacing w:after="0"/>
              <w:rPr>
                <w:sz w:val="1"/>
                <w:szCs w:val="1"/>
                <w:color w:val="auto"/>
              </w:rPr>
            </w:pPr>
          </w:p>
        </w:tc>
      </w:tr>
      <w:tr>
        <w:trPr>
          <w:trHeight w:val="141"/>
        </w:trPr>
        <w:tc>
          <w:tcPr>
            <w:tcW w:w="1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80" w:type="dxa"/>
            <w:vAlign w:val="bottom"/>
            <w:vMerge w:val="restart"/>
          </w:tcPr>
          <w:p>
            <w:pPr>
              <w:ind w:left="40"/>
              <w:spacing w:after="0"/>
              <w:rPr>
                <w:sz w:val="20"/>
                <w:szCs w:val="20"/>
                <w:color w:val="auto"/>
              </w:rPr>
            </w:pPr>
            <w:r>
              <w:rPr>
                <w:rFonts w:ascii="Arial" w:cs="Arial" w:eastAsia="Arial" w:hAnsi="Arial"/>
                <w:sz w:val="16"/>
                <w:szCs w:val="16"/>
                <w:color w:val="auto"/>
              </w:rPr>
              <w:t>Director on the BP board of directors from 2007 to 2010 and as Executive Vice</w:t>
            </w:r>
          </w:p>
        </w:tc>
        <w:tc>
          <w:tcPr>
            <w:tcW w:w="0" w:type="dxa"/>
            <w:vAlign w:val="bottom"/>
          </w:tcPr>
          <w:p>
            <w:pPr>
              <w:spacing w:after="0"/>
              <w:rPr>
                <w:sz w:val="1"/>
                <w:szCs w:val="1"/>
                <w:color w:val="auto"/>
              </w:rPr>
            </w:pPr>
          </w:p>
        </w:tc>
      </w:tr>
      <w:tr>
        <w:trPr>
          <w:trHeight w:val="46"/>
        </w:trPr>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President and Deputy Chief Executive of exploration and production from 2004</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to 2007. Mr. Inglis received a Master’s degree in Engineering from Pembroke</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College, Cambridge University. He is a Chartered Mechanical Engineer, a</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Fellow of the Institution of Mechanical Engineers and a Fellow of the Royal</w:t>
            </w: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Academy of Engineering.</w:t>
            </w:r>
          </w:p>
        </w:tc>
        <w:tc>
          <w:tcPr>
            <w:tcW w:w="0" w:type="dxa"/>
            <w:vAlign w:val="bottom"/>
          </w:tcPr>
          <w:p>
            <w:pPr>
              <w:spacing w:after="0"/>
              <w:rPr>
                <w:sz w:val="1"/>
                <w:szCs w:val="1"/>
                <w:color w:val="auto"/>
              </w:rPr>
            </w:pPr>
          </w:p>
        </w:tc>
      </w:tr>
      <w:tr>
        <w:trPr>
          <w:trHeight w:val="436"/>
        </w:trPr>
        <w:tc>
          <w:tcPr>
            <w:tcW w:w="1780" w:type="dxa"/>
            <w:vAlign w:val="bottom"/>
          </w:tcPr>
          <w:p>
            <w:pPr>
              <w:spacing w:after="0"/>
              <w:rPr>
                <w:sz w:val="20"/>
                <w:szCs w:val="20"/>
                <w:color w:val="auto"/>
              </w:rPr>
            </w:pPr>
            <w:r>
              <w:rPr>
                <w:rFonts w:ascii="Arial" w:cs="Arial" w:eastAsia="Arial" w:hAnsi="Arial"/>
                <w:sz w:val="16"/>
                <w:szCs w:val="16"/>
                <w:b w:val="1"/>
                <w:bCs w:val="1"/>
                <w:color w:val="auto"/>
              </w:rPr>
              <w:t>Neal D. Shah</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360" w:type="dxa"/>
            <w:vAlign w:val="bottom"/>
            <w:tcBorders>
              <w:bottom w:val="single" w:sz="8" w:color="auto"/>
            </w:tcBorders>
            <w:gridSpan w:val="5"/>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8360" w:type="dxa"/>
            <w:vAlign w:val="bottom"/>
            <w:gridSpan w:val="5"/>
          </w:tcPr>
          <w:p>
            <w:pPr>
              <w:spacing w:after="0"/>
              <w:rPr>
                <w:sz w:val="20"/>
                <w:szCs w:val="20"/>
                <w:color w:val="auto"/>
              </w:rPr>
            </w:pPr>
            <w:r>
              <w:rPr>
                <w:rFonts w:ascii="Arial" w:cs="Arial" w:eastAsia="Arial" w:hAnsi="Arial"/>
                <w:sz w:val="16"/>
                <w:szCs w:val="16"/>
                <w:b w:val="1"/>
                <w:bCs w:val="1"/>
                <w:color w:val="auto"/>
              </w:rPr>
              <w:t>Senior Vice President and Chief Financial Officer</w:t>
            </w:r>
          </w:p>
        </w:tc>
        <w:tc>
          <w:tcPr>
            <w:tcW w:w="0" w:type="dxa"/>
            <w:vAlign w:val="bottom"/>
          </w:tcPr>
          <w:p>
            <w:pPr>
              <w:spacing w:after="0"/>
              <w:rPr>
                <w:sz w:val="1"/>
                <w:szCs w:val="1"/>
                <w:color w:val="auto"/>
              </w:rPr>
            </w:pPr>
          </w:p>
        </w:tc>
      </w:tr>
      <w:tr>
        <w:trPr>
          <w:trHeight w:val="368"/>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37   Mr. Shah became Chief Financial Officer in May 2020. As Deputy Chief</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Financial Officer from November 2019 to May 2020, Mr. Shah led finance,</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treasury, investor relations, information technology and internal audit for the</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Company. He joined Kosmos in 2010, serving in a series of roles of increasing</w:t>
            </w:r>
          </w:p>
        </w:tc>
        <w:tc>
          <w:tcPr>
            <w:tcW w:w="0" w:type="dxa"/>
            <w:vAlign w:val="bottom"/>
          </w:tcPr>
          <w:p>
            <w:pPr>
              <w:spacing w:after="0"/>
              <w:rPr>
                <w:sz w:val="1"/>
                <w:szCs w:val="1"/>
                <w:color w:val="auto"/>
              </w:rPr>
            </w:pPr>
          </w:p>
        </w:tc>
      </w:tr>
      <w:tr>
        <w:trPr>
          <w:trHeight w:val="187"/>
        </w:trPr>
        <w:tc>
          <w:tcPr>
            <w:tcW w:w="1780" w:type="dxa"/>
            <w:vAlign w:val="bottom"/>
          </w:tcPr>
          <w:p>
            <w:pPr>
              <w:ind w:left="17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80" w:type="dxa"/>
            <w:vAlign w:val="bottom"/>
          </w:tcPr>
          <w:p>
            <w:pPr>
              <w:ind w:left="40"/>
              <w:spacing w:after="0"/>
              <w:rPr>
                <w:sz w:val="20"/>
                <w:szCs w:val="20"/>
                <w:color w:val="auto"/>
              </w:rPr>
            </w:pPr>
            <w:r>
              <w:rPr>
                <w:rFonts w:ascii="Arial" w:cs="Arial" w:eastAsia="Arial" w:hAnsi="Arial"/>
                <w:sz w:val="16"/>
                <w:szCs w:val="16"/>
                <w:color w:val="auto"/>
              </w:rPr>
              <w:t>responsibility in finance, treasury, investor relations and international</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operations as head of the Equatorial Guinea business unit. Before Kosmos,</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Mr. Shah was an investment banker at Morgan Stanley assisting oil and gas</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companies. Mr. Shah earned his bachelor’s degree with honors in finance from</w:t>
            </w:r>
          </w:p>
        </w:tc>
        <w:tc>
          <w:tcPr>
            <w:tcW w:w="0" w:type="dxa"/>
            <w:vAlign w:val="bottom"/>
          </w:tcPr>
          <w:p>
            <w:pPr>
              <w:spacing w:after="0"/>
              <w:rPr>
                <w:sz w:val="1"/>
                <w:szCs w:val="1"/>
                <w:color w:val="auto"/>
              </w:rPr>
            </w:pPr>
          </w:p>
        </w:tc>
      </w:tr>
      <w:tr>
        <w:trPr>
          <w:trHeight w:val="213"/>
        </w:trPr>
        <w:tc>
          <w:tcPr>
            <w:tcW w:w="1780" w:type="dxa"/>
            <w:vAlign w:val="bottom"/>
            <w:vMerge w:val="restart"/>
          </w:tcPr>
          <w:p>
            <w:pPr>
              <w:spacing w:after="0"/>
              <w:rPr>
                <w:sz w:val="20"/>
                <w:szCs w:val="20"/>
                <w:color w:val="auto"/>
              </w:rPr>
            </w:pPr>
            <w:r>
              <w:rPr>
                <w:rFonts w:ascii="Arial" w:cs="Arial" w:eastAsia="Arial" w:hAnsi="Arial"/>
                <w:sz w:val="16"/>
                <w:szCs w:val="16"/>
                <w:b w:val="1"/>
                <w:bCs w:val="1"/>
                <w:color w:val="auto"/>
              </w:rPr>
              <w:t> </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the University of Texas at Austin.</w:t>
            </w:r>
          </w:p>
        </w:tc>
        <w:tc>
          <w:tcPr>
            <w:tcW w:w="0" w:type="dxa"/>
            <w:vAlign w:val="bottom"/>
          </w:tcPr>
          <w:p>
            <w:pPr>
              <w:spacing w:after="0"/>
              <w:rPr>
                <w:sz w:val="1"/>
                <w:szCs w:val="1"/>
                <w:color w:val="auto"/>
              </w:rPr>
            </w:pPr>
          </w:p>
        </w:tc>
      </w:tr>
      <w:tr>
        <w:trPr>
          <w:trHeight w:val="115"/>
        </w:trPr>
        <w:tc>
          <w:tcPr>
            <w:tcW w:w="1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1780" w:type="dxa"/>
            <w:vAlign w:val="bottom"/>
          </w:tcPr>
          <w:p>
            <w:pPr>
              <w:spacing w:after="0"/>
              <w:rPr>
                <w:sz w:val="20"/>
                <w:szCs w:val="20"/>
                <w:color w:val="auto"/>
              </w:rPr>
            </w:pPr>
            <w:r>
              <w:rPr>
                <w:rFonts w:ascii="Arial" w:cs="Arial" w:eastAsia="Arial" w:hAnsi="Arial"/>
                <w:sz w:val="16"/>
                <w:szCs w:val="16"/>
                <w:b w:val="1"/>
                <w:bCs w:val="1"/>
                <w:color w:val="auto"/>
              </w:rPr>
              <w:t>Richard R. Clark</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360" w:type="dxa"/>
            <w:vAlign w:val="bottom"/>
            <w:tcBorders>
              <w:bottom w:val="single" w:sz="8" w:color="auto"/>
            </w:tcBorders>
            <w:gridSpan w:val="5"/>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8360" w:type="dxa"/>
            <w:vAlign w:val="bottom"/>
            <w:gridSpan w:val="5"/>
          </w:tcPr>
          <w:p>
            <w:pPr>
              <w:spacing w:after="0"/>
              <w:rPr>
                <w:sz w:val="20"/>
                <w:szCs w:val="20"/>
                <w:color w:val="auto"/>
              </w:rPr>
            </w:pPr>
            <w:r>
              <w:rPr>
                <w:rFonts w:ascii="Arial" w:cs="Arial" w:eastAsia="Arial" w:hAnsi="Arial"/>
                <w:sz w:val="16"/>
                <w:szCs w:val="16"/>
                <w:b w:val="1"/>
                <w:bCs w:val="1"/>
                <w:color w:val="auto"/>
              </w:rPr>
              <w:t>Senior Vice President and Head of Gulf of Mexico Business Unit</w:t>
            </w:r>
          </w:p>
        </w:tc>
        <w:tc>
          <w:tcPr>
            <w:tcW w:w="0" w:type="dxa"/>
            <w:vAlign w:val="bottom"/>
          </w:tcPr>
          <w:p>
            <w:pPr>
              <w:spacing w:after="0"/>
              <w:rPr>
                <w:sz w:val="1"/>
                <w:szCs w:val="1"/>
                <w:color w:val="auto"/>
              </w:rPr>
            </w:pPr>
          </w:p>
        </w:tc>
      </w:tr>
      <w:tr>
        <w:trPr>
          <w:trHeight w:val="368"/>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   Mr. Clark became our Senior Vice President and Head of Gulf of Mexico</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Business Unit on September 14, 2018, upon the closing of the Deep Gulf</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Energy (“DGE”) Transaction. Mr. Clark was a founder of DGE and served as its</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President until its acquisition. More than 20 of his 36 years in the energy</w:t>
            </w:r>
          </w:p>
        </w:tc>
        <w:tc>
          <w:tcPr>
            <w:tcW w:w="0" w:type="dxa"/>
            <w:vAlign w:val="bottom"/>
          </w:tcPr>
          <w:p>
            <w:pPr>
              <w:spacing w:after="0"/>
              <w:rPr>
                <w:sz w:val="1"/>
                <w:szCs w:val="1"/>
                <w:color w:val="auto"/>
              </w:rPr>
            </w:pPr>
          </w:p>
        </w:tc>
      </w:tr>
      <w:tr>
        <w:trPr>
          <w:trHeight w:val="187"/>
        </w:trPr>
        <w:tc>
          <w:tcPr>
            <w:tcW w:w="1780" w:type="dxa"/>
            <w:vAlign w:val="bottom"/>
          </w:tcPr>
          <w:p>
            <w:pPr>
              <w:ind w:left="17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80" w:type="dxa"/>
            <w:vAlign w:val="bottom"/>
          </w:tcPr>
          <w:p>
            <w:pPr>
              <w:ind w:left="40"/>
              <w:spacing w:after="0"/>
              <w:rPr>
                <w:sz w:val="20"/>
                <w:szCs w:val="20"/>
                <w:color w:val="auto"/>
              </w:rPr>
            </w:pPr>
            <w:r>
              <w:rPr>
                <w:rFonts w:ascii="Arial" w:cs="Arial" w:eastAsia="Arial" w:hAnsi="Arial"/>
                <w:sz w:val="16"/>
                <w:szCs w:val="16"/>
                <w:color w:val="auto"/>
              </w:rPr>
              <w:t>business have been focused in the deepwater Gulf of Mexico. In 1996, he was</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one of the founders of Mariner Energy, Inc., serving as Executive Vice</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President and a board member until 2004. Mr. Clark has a Mechanical</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Engineering degree from the University of Tennessee at Chattanooga. 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-5246370</wp:posOffset>
            </wp:positionV>
            <wp:extent cx="850265" cy="10204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0265" cy="10204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-2772410</wp:posOffset>
            </wp:positionV>
            <wp:extent cx="842010" cy="10204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42010" cy="10204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-952500</wp:posOffset>
            </wp:positionV>
            <wp:extent cx="842010" cy="10204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42010" cy="1020445"/>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213"/>
        </w:trPr>
        <w:tc>
          <w:tcPr>
            <w:tcW w:w="140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  </w:t>
            </w:r>
          </w:p>
        </w:tc>
        <w:tc>
          <w:tcPr>
            <w:tcW w:w="4580" w:type="dxa"/>
            <w:vAlign w:val="bottom"/>
          </w:tcPr>
          <w:p>
            <w:pPr>
              <w:ind w:left="1320"/>
              <w:spacing w:after="0"/>
              <w:rPr>
                <w:sz w:val="20"/>
                <w:szCs w:val="20"/>
                <w:color w:val="auto"/>
              </w:rPr>
            </w:pPr>
            <w:r>
              <w:rPr>
                <w:rFonts w:ascii="Arial" w:cs="Arial" w:eastAsia="Arial" w:hAnsi="Arial"/>
                <w:sz w:val="16"/>
                <w:szCs w:val="16"/>
                <w:color w:val="auto"/>
                <w:w w:val="99"/>
              </w:rPr>
              <w:t>launched his career at Shell Offshore in 1979.</w:t>
            </w:r>
          </w:p>
        </w:tc>
        <w:tc>
          <w:tcPr>
            <w:tcW w:w="0" w:type="dxa"/>
            <w:vAlign w:val="bottom"/>
          </w:tcPr>
          <w:p>
            <w:pPr>
              <w:spacing w:after="0"/>
              <w:rPr>
                <w:sz w:val="1"/>
                <w:szCs w:val="1"/>
                <w:color w:val="auto"/>
              </w:rPr>
            </w:pPr>
          </w:p>
        </w:tc>
      </w:tr>
      <w:tr>
        <w:trPr>
          <w:trHeight w:val="99"/>
        </w:trPr>
        <w:tc>
          <w:tcPr>
            <w:tcW w:w="1400" w:type="dxa"/>
            <w:vAlign w:val="bottom"/>
            <w:vMerge w:val="continue"/>
          </w:tcPr>
          <w:p>
            <w:pPr>
              <w:spacing w:after="0"/>
              <w:rPr>
                <w:sz w:val="8"/>
                <w:szCs w:val="8"/>
                <w:color w:val="auto"/>
              </w:rPr>
            </w:pPr>
          </w:p>
        </w:tc>
        <w:tc>
          <w:tcPr>
            <w:tcW w:w="4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400"/>
        <w:spacing w:after="0"/>
        <w:rPr>
          <w:sz w:val="20"/>
          <w:szCs w:val="20"/>
          <w:color w:val="auto"/>
        </w:rPr>
      </w:pPr>
      <w:r>
        <w:rPr>
          <w:rFonts w:ascii="Arial" w:cs="Arial" w:eastAsia="Arial" w:hAnsi="Arial"/>
          <w:sz w:val="23"/>
          <w:szCs w:val="23"/>
          <w:color w:val="auto"/>
        </w:rPr>
        <w:t> </w:t>
      </w:r>
    </w:p>
    <w:p>
      <w:pPr>
        <w:ind w:left="6520"/>
        <w:spacing w:after="0"/>
        <w:rPr>
          <w:sz w:val="20"/>
          <w:szCs w:val="20"/>
          <w:color w:val="auto"/>
        </w:rPr>
      </w:pPr>
      <w:r>
        <w:rPr>
          <w:rFonts w:ascii="Arial" w:cs="Arial" w:eastAsia="Arial" w:hAnsi="Arial"/>
          <w:sz w:val="15"/>
          <w:szCs w:val="15"/>
          <w:color w:val="auto"/>
        </w:rPr>
        <w:t>  2022 Proxy Statement</w:t>
      </w:r>
      <w:r>
        <w:rPr>
          <w:rFonts w:ascii="Arial" w:cs="Arial" w:eastAsia="Arial" w:hAnsi="Arial"/>
          <w:sz w:val="23"/>
          <w:szCs w:val="23"/>
          <w:b w:val="1"/>
          <w:bCs w:val="1"/>
          <w:color w:val="2A3D6C"/>
        </w:rPr>
        <w:t xml:space="preserve">  | </w:t>
      </w:r>
      <w:r>
        <w:rPr>
          <w:rFonts w:ascii="Arial" w:cs="Arial" w:eastAsia="Arial" w:hAnsi="Arial"/>
          <w:sz w:val="15"/>
          <w:szCs w:val="15"/>
          <w:color w:val="auto"/>
        </w:rPr>
        <w:t xml:space="preserve"> </w:t>
      </w:r>
      <w:r>
        <w:rPr>
          <w:rFonts w:ascii="Arial" w:cs="Arial" w:eastAsia="Arial" w:hAnsi="Arial"/>
          <w:sz w:val="15"/>
          <w:szCs w:val="15"/>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112395</wp:posOffset>
            </wp:positionV>
            <wp:extent cx="693801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-167005</wp:posOffset>
            </wp:positionV>
            <wp:extent cx="594995" cy="170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4" w:name="page35"/>
    <w:bookmarkEnd w:id="34"/>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Christopher J.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87630</wp:posOffset>
            </wp:positionV>
            <wp:extent cx="53054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05425" cy="8255"/>
                    </a:xfrm>
                    <a:prstGeom prst="rect">
                      <a:avLst/>
                    </a:prstGeom>
                    <a:noFill/>
                  </pic:spPr>
                </pic:pic>
              </a:graphicData>
            </a:graphic>
          </wp:anchor>
        </w:drawing>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Senior Vice President and Chief Commercial Officer</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0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   Mr. Ball became our Chief Commercial Officer effective October 1, 2018 and</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has served as our Senior Vice President, Planning and Business Development</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since August 2013. Mr. Ball joined Kosmos in July 2013 after serving as Vice</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President, Business Development for the upstream unit of Mubadala</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Development Company PJSC, a company based in Abu Dhabi, United Arab</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Emirates. Previously, he was Senior Vice President of Occidental Development</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Company and President and General Manager of Occidental Middle East</w:t>
            </w:r>
          </w:p>
        </w:tc>
        <w:tc>
          <w:tcPr>
            <w:tcW w:w="0" w:type="dxa"/>
            <w:vAlign w:val="bottom"/>
          </w:tcPr>
          <w:p>
            <w:pPr>
              <w:spacing w:after="0"/>
              <w:rPr>
                <w:sz w:val="1"/>
                <w:szCs w:val="1"/>
                <w:color w:val="auto"/>
              </w:rPr>
            </w:pPr>
          </w:p>
        </w:tc>
      </w:tr>
      <w:tr>
        <w:trPr>
          <w:trHeight w:val="202"/>
        </w:trPr>
        <w:tc>
          <w:tcPr>
            <w:tcW w:w="1780" w:type="dxa"/>
            <w:vAlign w:val="bottom"/>
          </w:tcPr>
          <w:p>
            <w:pPr>
              <w:ind w:left="17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80" w:type="dxa"/>
            <w:vAlign w:val="bottom"/>
          </w:tcPr>
          <w:p>
            <w:pPr>
              <w:ind w:left="40"/>
              <w:spacing w:after="0"/>
              <w:rPr>
                <w:sz w:val="20"/>
                <w:szCs w:val="20"/>
                <w:color w:val="auto"/>
              </w:rPr>
            </w:pPr>
            <w:r>
              <w:rPr>
                <w:rFonts w:ascii="Arial" w:cs="Arial" w:eastAsia="Arial" w:hAnsi="Arial"/>
                <w:sz w:val="16"/>
                <w:szCs w:val="16"/>
                <w:color w:val="auto"/>
              </w:rPr>
              <w:t>Development Company, where he was responsible for business development</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80" w:type="dxa"/>
            <w:vAlign w:val="bottom"/>
          </w:tcPr>
          <w:p>
            <w:pPr>
              <w:ind w:left="40"/>
              <w:spacing w:after="0" w:line="174" w:lineRule="exact"/>
              <w:rPr>
                <w:sz w:val="20"/>
                <w:szCs w:val="20"/>
                <w:color w:val="auto"/>
              </w:rPr>
            </w:pPr>
            <w:r>
              <w:rPr>
                <w:rFonts w:ascii="Arial" w:cs="Arial" w:eastAsia="Arial" w:hAnsi="Arial"/>
                <w:sz w:val="16"/>
                <w:szCs w:val="16"/>
                <w:color w:val="auto"/>
              </w:rPr>
              <w:t>activities in the Caspian, the Middle East, and North Africa. During his tenure at</w:t>
            </w:r>
          </w:p>
        </w:tc>
        <w:tc>
          <w:tcPr>
            <w:tcW w:w="0" w:type="dxa"/>
            <w:vAlign w:val="bottom"/>
          </w:tcPr>
          <w:p>
            <w:pPr>
              <w:spacing w:after="0"/>
              <w:rPr>
                <w:sz w:val="1"/>
                <w:szCs w:val="1"/>
                <w:color w:val="auto"/>
              </w:rPr>
            </w:pPr>
          </w:p>
        </w:tc>
      </w:tr>
      <w:tr>
        <w:trPr>
          <w:trHeight w:val="187"/>
        </w:trPr>
        <w:tc>
          <w:tcPr>
            <w:tcW w:w="1780" w:type="dxa"/>
            <w:vAlign w:val="bottom"/>
            <w:vMerge w:val="restart"/>
          </w:tcPr>
          <w:p>
            <w:pPr>
              <w:spacing w:after="0"/>
              <w:rPr>
                <w:sz w:val="20"/>
                <w:szCs w:val="20"/>
                <w:color w:val="auto"/>
              </w:rPr>
            </w:pPr>
            <w:r>
              <w:rPr>
                <w:rFonts w:ascii="Arial" w:cs="Arial" w:eastAsia="Arial" w:hAnsi="Arial"/>
                <w:sz w:val="16"/>
                <w:szCs w:val="16"/>
                <w:b w:val="1"/>
                <w:bCs w:val="1"/>
                <w:color w:val="auto"/>
              </w:rPr>
              <w:t> </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Occidental, Mr. Ball led and facilitated numerous successful new business</w:t>
            </w:r>
          </w:p>
        </w:tc>
        <w:tc>
          <w:tcPr>
            <w:tcW w:w="0" w:type="dxa"/>
            <w:vAlign w:val="bottom"/>
          </w:tcPr>
          <w:p>
            <w:pPr>
              <w:spacing w:after="0"/>
              <w:rPr>
                <w:sz w:val="1"/>
                <w:szCs w:val="1"/>
                <w:color w:val="auto"/>
              </w:rPr>
            </w:pPr>
          </w:p>
        </w:tc>
      </w:tr>
      <w:tr>
        <w:trPr>
          <w:trHeight w:val="114"/>
        </w:trPr>
        <w:tc>
          <w:tcPr>
            <w:tcW w:w="1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80" w:type="dxa"/>
            <w:vAlign w:val="bottom"/>
            <w:vMerge w:val="restart"/>
          </w:tcPr>
          <w:p>
            <w:pPr>
              <w:ind w:left="40"/>
              <w:spacing w:after="0"/>
              <w:rPr>
                <w:sz w:val="20"/>
                <w:szCs w:val="20"/>
                <w:color w:val="auto"/>
              </w:rPr>
            </w:pPr>
            <w:r>
              <w:rPr>
                <w:rFonts w:ascii="Arial" w:cs="Arial" w:eastAsia="Arial" w:hAnsi="Arial"/>
                <w:sz w:val="16"/>
                <w:szCs w:val="16"/>
                <w:color w:val="auto"/>
              </w:rPr>
              <w:t>activities including the company’s acquisition of concessions in Angola,</w:t>
            </w:r>
          </w:p>
        </w:tc>
        <w:tc>
          <w:tcPr>
            <w:tcW w:w="0" w:type="dxa"/>
            <w:vAlign w:val="bottom"/>
          </w:tcPr>
          <w:p>
            <w:pPr>
              <w:spacing w:after="0"/>
              <w:rPr>
                <w:sz w:val="1"/>
                <w:szCs w:val="1"/>
                <w:color w:val="auto"/>
              </w:rPr>
            </w:pPr>
          </w:p>
        </w:tc>
      </w:tr>
      <w:tr>
        <w:trPr>
          <w:trHeight w:val="73"/>
        </w:trPr>
        <w:tc>
          <w:tcPr>
            <w:tcW w:w="17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Nigeria, and Suriname. He also worked in the commercial and mergers and</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acquisitions arena at Texaco in Houston, London, and New York and in</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upstream asset development and management at Amoco Corporation in</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London. Mr. Ball earned a Bachelor of Science degree in Mechanical</w:t>
            </w:r>
          </w:p>
        </w:tc>
        <w:tc>
          <w:tcPr>
            <w:tcW w:w="0" w:type="dxa"/>
            <w:vAlign w:val="bottom"/>
          </w:tcPr>
          <w:p>
            <w:pPr>
              <w:spacing w:after="0"/>
              <w:rPr>
                <w:sz w:val="1"/>
                <w:szCs w:val="1"/>
                <w:color w:val="auto"/>
              </w:rPr>
            </w:pPr>
          </w:p>
        </w:tc>
      </w:tr>
      <w:tr>
        <w:trPr>
          <w:trHeight w:val="213"/>
        </w:trPr>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Engineering from Brunel University in London.</w:t>
            </w:r>
          </w:p>
        </w:tc>
        <w:tc>
          <w:tcPr>
            <w:tcW w:w="0" w:type="dxa"/>
            <w:vAlign w:val="bottom"/>
          </w:tcPr>
          <w:p>
            <w:pPr>
              <w:spacing w:after="0"/>
              <w:rPr>
                <w:sz w:val="1"/>
                <w:szCs w:val="1"/>
                <w:color w:val="auto"/>
              </w:rPr>
            </w:pPr>
          </w:p>
        </w:tc>
      </w:tr>
      <w:tr>
        <w:trPr>
          <w:trHeight w:val="423"/>
        </w:trPr>
        <w:tc>
          <w:tcPr>
            <w:tcW w:w="1780" w:type="dxa"/>
            <w:vAlign w:val="bottom"/>
          </w:tcPr>
          <w:p>
            <w:pPr>
              <w:spacing w:after="0"/>
              <w:rPr>
                <w:sz w:val="20"/>
                <w:szCs w:val="20"/>
                <w:color w:val="auto"/>
              </w:rPr>
            </w:pPr>
            <w:r>
              <w:rPr>
                <w:rFonts w:ascii="Arial" w:cs="Arial" w:eastAsia="Arial" w:hAnsi="Arial"/>
                <w:sz w:val="16"/>
                <w:szCs w:val="16"/>
                <w:b w:val="1"/>
                <w:bCs w:val="1"/>
                <w:color w:val="auto"/>
              </w:rPr>
              <w:t>Jason E. Doughty</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360" w:type="dxa"/>
            <w:vAlign w:val="bottom"/>
            <w:tcBorders>
              <w:bottom w:val="single" w:sz="8" w:color="auto"/>
            </w:tcBorders>
            <w:gridSpan w:val="5"/>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8360" w:type="dxa"/>
            <w:vAlign w:val="bottom"/>
            <w:gridSpan w:val="5"/>
          </w:tcPr>
          <w:p>
            <w:pPr>
              <w:spacing w:after="0"/>
              <w:rPr>
                <w:sz w:val="20"/>
                <w:szCs w:val="20"/>
                <w:color w:val="auto"/>
              </w:rPr>
            </w:pPr>
            <w:r>
              <w:rPr>
                <w:rFonts w:ascii="Arial" w:cs="Arial" w:eastAsia="Arial" w:hAnsi="Arial"/>
                <w:sz w:val="16"/>
                <w:szCs w:val="16"/>
                <w:b w:val="1"/>
                <w:bCs w:val="1"/>
                <w:color w:val="auto"/>
              </w:rPr>
              <w:t>Senior Vice President and General Counsel</w:t>
            </w:r>
          </w:p>
        </w:tc>
        <w:tc>
          <w:tcPr>
            <w:tcW w:w="0" w:type="dxa"/>
            <w:vAlign w:val="bottom"/>
          </w:tcPr>
          <w:p>
            <w:pPr>
              <w:spacing w:after="0"/>
              <w:rPr>
                <w:sz w:val="1"/>
                <w:szCs w:val="1"/>
                <w:color w:val="auto"/>
              </w:rPr>
            </w:pPr>
          </w:p>
        </w:tc>
      </w:tr>
      <w:tr>
        <w:trPr>
          <w:trHeight w:val="368"/>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   Mr. Doughty has served as our General Counsel since September 2011.</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Mr. Doughty spent more than 11 years with ConocoPhillips in various</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leadership roles, including serving as Deputy General Counsel, Americas</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Exploration and Production. During his tenure with ConocoPhillips, he was</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responsible for the company’s commercial litigation and international arbitration</w:t>
            </w:r>
          </w:p>
        </w:tc>
        <w:tc>
          <w:tcPr>
            <w:tcW w:w="0" w:type="dxa"/>
            <w:vAlign w:val="bottom"/>
          </w:tcPr>
          <w:p>
            <w:pPr>
              <w:spacing w:after="0"/>
              <w:rPr>
                <w:sz w:val="1"/>
                <w:szCs w:val="1"/>
                <w:color w:val="auto"/>
              </w:rPr>
            </w:pPr>
          </w:p>
        </w:tc>
      </w:tr>
      <w:tr>
        <w:trPr>
          <w:trHeight w:val="202"/>
        </w:trPr>
        <w:tc>
          <w:tcPr>
            <w:tcW w:w="1780" w:type="dxa"/>
            <w:vAlign w:val="bottom"/>
          </w:tcPr>
          <w:p>
            <w:pPr>
              <w:ind w:left="17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80" w:type="dxa"/>
            <w:vAlign w:val="bottom"/>
          </w:tcPr>
          <w:p>
            <w:pPr>
              <w:ind w:left="40"/>
              <w:spacing w:after="0"/>
              <w:rPr>
                <w:sz w:val="20"/>
                <w:szCs w:val="20"/>
                <w:color w:val="auto"/>
              </w:rPr>
            </w:pPr>
            <w:r>
              <w:rPr>
                <w:rFonts w:ascii="Arial" w:cs="Arial" w:eastAsia="Arial" w:hAnsi="Arial"/>
                <w:sz w:val="16"/>
                <w:szCs w:val="16"/>
                <w:color w:val="auto"/>
              </w:rPr>
              <w:t>efforts, the Lower 48 and Latin America E&amp;P legal group and the Indonesia</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80" w:type="dxa"/>
            <w:vAlign w:val="bottom"/>
          </w:tcPr>
          <w:p>
            <w:pPr>
              <w:ind w:left="40"/>
              <w:spacing w:after="0" w:line="174" w:lineRule="exact"/>
              <w:rPr>
                <w:sz w:val="20"/>
                <w:szCs w:val="20"/>
                <w:color w:val="auto"/>
              </w:rPr>
            </w:pPr>
            <w:r>
              <w:rPr>
                <w:rFonts w:ascii="Arial" w:cs="Arial" w:eastAsia="Arial" w:hAnsi="Arial"/>
                <w:sz w:val="16"/>
                <w:szCs w:val="16"/>
                <w:color w:val="auto"/>
              </w:rPr>
              <w:t>legal group. Previously, Mr. Doughty was an attorney with ExxonMobil in</w:t>
            </w: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Houston and a commercial litigation attorney in private practice in Santa Fe,</w:t>
            </w:r>
          </w:p>
        </w:tc>
        <w:tc>
          <w:tcPr>
            <w:tcW w:w="0" w:type="dxa"/>
            <w:vAlign w:val="bottom"/>
          </w:tcPr>
          <w:p>
            <w:pPr>
              <w:spacing w:after="0"/>
              <w:rPr>
                <w:sz w:val="1"/>
                <w:szCs w:val="1"/>
                <w:color w:val="auto"/>
              </w:rPr>
            </w:pPr>
          </w:p>
        </w:tc>
      </w:tr>
      <w:tr>
        <w:trPr>
          <w:trHeight w:val="187"/>
        </w:trPr>
        <w:tc>
          <w:tcPr>
            <w:tcW w:w="1780" w:type="dxa"/>
            <w:vAlign w:val="bottom"/>
            <w:vMerge w:val="restart"/>
          </w:tcPr>
          <w:p>
            <w:pPr>
              <w:spacing w:after="0"/>
              <w:rPr>
                <w:sz w:val="20"/>
                <w:szCs w:val="20"/>
                <w:color w:val="auto"/>
              </w:rPr>
            </w:pPr>
            <w:r>
              <w:rPr>
                <w:rFonts w:ascii="Arial" w:cs="Arial" w:eastAsia="Arial" w:hAnsi="Arial"/>
                <w:sz w:val="16"/>
                <w:szCs w:val="16"/>
                <w:b w:val="1"/>
                <w:bCs w:val="1"/>
                <w:color w:val="auto"/>
              </w:rPr>
              <w:t> </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New Mexico. He earned a Juris Doctor from the University of Houston Law</w:t>
            </w:r>
          </w:p>
        </w:tc>
        <w:tc>
          <w:tcPr>
            <w:tcW w:w="0" w:type="dxa"/>
            <w:vAlign w:val="bottom"/>
          </w:tcPr>
          <w:p>
            <w:pPr>
              <w:spacing w:after="0"/>
              <w:rPr>
                <w:sz w:val="1"/>
                <w:szCs w:val="1"/>
                <w:color w:val="auto"/>
              </w:rPr>
            </w:pPr>
          </w:p>
        </w:tc>
      </w:tr>
      <w:tr>
        <w:trPr>
          <w:trHeight w:val="203"/>
        </w:trPr>
        <w:tc>
          <w:tcPr>
            <w:tcW w:w="1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80" w:type="dxa"/>
            <w:vAlign w:val="bottom"/>
          </w:tcPr>
          <w:p>
            <w:pPr>
              <w:ind w:left="40"/>
              <w:spacing w:after="0"/>
              <w:rPr>
                <w:sz w:val="20"/>
                <w:szCs w:val="20"/>
                <w:color w:val="auto"/>
              </w:rPr>
            </w:pPr>
            <w:r>
              <w:rPr>
                <w:rFonts w:ascii="Arial" w:cs="Arial" w:eastAsia="Arial" w:hAnsi="Arial"/>
                <w:sz w:val="16"/>
                <w:szCs w:val="16"/>
                <w:color w:val="auto"/>
              </w:rPr>
              <w:t>Center, a Master’s degree in Business Administration from the University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-3775710</wp:posOffset>
            </wp:positionV>
            <wp:extent cx="909955" cy="11220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09955" cy="11220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-1190625</wp:posOffset>
            </wp:positionV>
            <wp:extent cx="875665" cy="10629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75665" cy="1062990"/>
                    </a:xfrm>
                    <a:prstGeom prst="rect">
                      <a:avLst/>
                    </a:prstGeom>
                    <a:noFill/>
                  </pic:spPr>
                </pic:pic>
              </a:graphicData>
            </a:graphic>
          </wp:anchor>
        </w:drawing>
      </w:r>
    </w:p>
    <w:p>
      <w:pPr>
        <w:ind w:left="3040" w:right="699"/>
        <w:spacing w:after="0" w:line="262" w:lineRule="auto"/>
        <w:rPr>
          <w:sz w:val="20"/>
          <w:szCs w:val="20"/>
          <w:color w:val="auto"/>
        </w:rPr>
      </w:pPr>
      <w:r>
        <w:rPr>
          <w:rFonts w:ascii="Arial" w:cs="Arial" w:eastAsia="Arial" w:hAnsi="Arial"/>
          <w:sz w:val="16"/>
          <w:szCs w:val="16"/>
          <w:color w:val="auto"/>
        </w:rPr>
        <w:t>Texas at Austin and a Bachelor of Science in Finance from Louisiana Tech University. He is a member of the State Bar of Texas.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Ronald W.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87630</wp:posOffset>
            </wp:positionV>
            <wp:extent cx="53054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05425" cy="8255"/>
                    </a:xfrm>
                    <a:prstGeom prst="rect">
                      <a:avLst/>
                    </a:prstGeom>
                    <a:noFill/>
                  </pic:spPr>
                </pic:pic>
              </a:graphicData>
            </a:graphic>
          </wp:anchor>
        </w:drawing>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Vice President and Chief Accounting Officer</w:t>
      </w:r>
    </w:p>
    <w:p>
      <w:pPr>
        <w:sectPr>
          <w:pgSz w:w="11900" w:h="16838" w:orient="portrait"/>
          <w:cols w:equalWidth="0" w:num="1">
            <w:col w:w="9019"/>
          </w:cols>
          <w:pgMar w:left="1440" w:top="2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-1127760</wp:posOffset>
            </wp:positionV>
            <wp:extent cx="842010" cy="10204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42010" cy="1020445"/>
                    </a:xfrm>
                    <a:prstGeom prst="rect">
                      <a:avLst/>
                    </a:prstGeom>
                    <a:noFill/>
                  </pic:spPr>
                </pic:pic>
              </a:graphicData>
            </a:graphic>
          </wp:anchor>
        </w:drawing>
      </w:r>
    </w:p>
    <w:p>
      <w:pPr>
        <w:spacing w:after="0" w:line="38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30</w:t>
      </w:r>
      <w:r>
        <w:rPr>
          <w:rFonts w:ascii="Arial" w:cs="Arial" w:eastAsia="Arial" w:hAnsi="Arial"/>
          <w:sz w:val="24"/>
          <w:szCs w:val="24"/>
          <w:b w:val="1"/>
          <w:bCs w:val="1"/>
          <w:color w:val="2A3D6C"/>
        </w:rPr>
        <w:t xml:space="preserve">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460"/>
        <w:spacing w:after="0"/>
        <w:tabs>
          <w:tab w:leader="none" w:pos="1260" w:val="left"/>
        </w:tabs>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Mr. Glass has served as our Vice President and Chief Accounting Officer since</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November 2019. Mr. Glass served as our Controller from July 2015 to</w:t>
      </w:r>
    </w:p>
    <w:p>
      <w:pPr>
        <w:spacing w:after="0" w:line="3" w:lineRule="exact"/>
        <w:rPr>
          <w:sz w:val="20"/>
          <w:szCs w:val="20"/>
          <w:color w:val="auto"/>
        </w:rPr>
      </w:pPr>
    </w:p>
    <w:p>
      <w:pPr>
        <w:jc w:val="right"/>
        <w:ind w:right="379"/>
        <w:spacing w:after="0"/>
        <w:rPr>
          <w:sz w:val="20"/>
          <w:szCs w:val="20"/>
          <w:color w:val="auto"/>
        </w:rPr>
      </w:pPr>
      <w:r>
        <w:rPr>
          <w:rFonts w:ascii="Arial" w:cs="Arial" w:eastAsia="Arial" w:hAnsi="Arial"/>
          <w:sz w:val="16"/>
          <w:szCs w:val="16"/>
          <w:color w:val="auto"/>
        </w:rPr>
        <w:t>November 2019. Prior to that, he served as the Company’s SEC Director since</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2011. Mr. Glass worked in the Audit practice at KPMG LLP for over nine years</w:t>
      </w:r>
    </w:p>
    <w:p>
      <w:pPr>
        <w:spacing w:after="0" w:line="3" w:lineRule="exact"/>
        <w:rPr>
          <w:sz w:val="20"/>
          <w:szCs w:val="20"/>
          <w:color w:val="auto"/>
        </w:rPr>
      </w:pPr>
    </w:p>
    <w:p>
      <w:pPr>
        <w:ind w:left="280"/>
        <w:spacing w:after="0"/>
        <w:tabs>
          <w:tab w:leader="none" w:pos="360" w:val="left"/>
          <w:tab w:leader="none" w:pos="1080" w:val="left"/>
          <w:tab w:leader="none" w:pos="1180" w:val="left"/>
          <w:tab w:leader="none" w:pos="12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6"/>
          <w:szCs w:val="16"/>
          <w:color w:val="auto"/>
        </w:rPr>
        <w:t>prior to joining the Company. He has extensive experience in the oil and gas</w:t>
      </w:r>
    </w:p>
    <w:p>
      <w:pPr>
        <w:spacing w:after="0" w:line="3" w:lineRule="exact"/>
        <w:rPr>
          <w:sz w:val="20"/>
          <w:szCs w:val="20"/>
          <w:color w:val="auto"/>
        </w:rPr>
      </w:pPr>
    </w:p>
    <w:p>
      <w:pPr>
        <w:ind w:left="1280" w:right="419"/>
        <w:spacing w:after="0" w:line="253" w:lineRule="auto"/>
        <w:rPr>
          <w:sz w:val="20"/>
          <w:szCs w:val="20"/>
          <w:color w:val="auto"/>
        </w:rPr>
      </w:pPr>
      <w:r>
        <w:rPr>
          <w:rFonts w:ascii="Arial" w:cs="Arial" w:eastAsia="Arial" w:hAnsi="Arial"/>
          <w:sz w:val="16"/>
          <w:szCs w:val="16"/>
          <w:color w:val="auto"/>
        </w:rPr>
        <w:t>industry, including initial public offerings, mergers and acquisitions and various other capital market transactions. He earned a Bachelor of Arts degree from Ouachita Baptist University and is a Certified Public Accountant.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2A3D6C"/>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-17780</wp:posOffset>
            </wp:positionV>
            <wp:extent cx="594995" cy="170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145415</wp:posOffset>
            </wp:positionV>
            <wp:extent cx="693801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2">
            <w:col w:w="1040" w:space="720"/>
            <w:col w:w="7259"/>
          </w:cols>
          <w:pgMar w:left="1440" w:top="262" w:right="1440" w:bottom="1440" w:gutter="0" w:footer="0" w:header="0"/>
          <w:type w:val="continuous"/>
        </w:sectPr>
      </w:pPr>
    </w:p>
    <w:bookmarkStart w:id="35" w:name="page36"/>
    <w:bookmarkEnd w:id="35"/>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245110</wp:posOffset>
            </wp:positionV>
            <wp:extent cx="530542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Arial" w:cs="Arial" w:eastAsia="Arial" w:hAnsi="Arial"/>
          <w:sz w:val="43"/>
          <w:szCs w:val="43"/>
          <w:color w:val="2A3D6C"/>
        </w:rPr>
        <w:t>EXECUTIVE COMPENSATION</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Compensation Discussion and Analysis</w:t>
      </w:r>
    </w:p>
    <w:p>
      <w:pPr>
        <w:spacing w:after="0" w:line="129" w:lineRule="exact"/>
        <w:rPr>
          <w:sz w:val="20"/>
          <w:szCs w:val="20"/>
          <w:color w:val="auto"/>
        </w:rPr>
      </w:pPr>
    </w:p>
    <w:p>
      <w:pPr>
        <w:ind w:left="320" w:right="519"/>
        <w:spacing w:after="0" w:line="286" w:lineRule="auto"/>
        <w:rPr>
          <w:sz w:val="20"/>
          <w:szCs w:val="20"/>
          <w:color w:val="auto"/>
        </w:rPr>
      </w:pPr>
      <w:r>
        <w:rPr>
          <w:rFonts w:ascii="Arial" w:cs="Arial" w:eastAsia="Arial" w:hAnsi="Arial"/>
          <w:sz w:val="16"/>
          <w:szCs w:val="16"/>
          <w:color w:val="auto"/>
        </w:rPr>
        <w:t>This Compensation Discussion and Analysis (“CD&amp;A”) describes our executive compensation philosophy, process and objectives and the elements of our 2021 compensation program for our named executive officers and gives the context for understanding and evaluating the compensation information contained in the tables and related disclosures that follow.</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table below sets forth our named executive officers for 2021:</w:t>
      </w:r>
    </w:p>
    <w:p>
      <w:pPr>
        <w:spacing w:after="0" w:line="85" w:lineRule="exact"/>
        <w:rPr>
          <w:sz w:val="20"/>
          <w:szCs w:val="20"/>
          <w:color w:val="auto"/>
        </w:rPr>
      </w:pPr>
    </w:p>
    <w:tbl>
      <w:tblPr>
        <w:tblLayout w:type="fixed"/>
        <w:tblInd w:w="320" w:type="dxa"/>
        <w:tblCellMar>
          <w:top w:w="0" w:type="dxa"/>
          <w:left w:w="0" w:type="dxa"/>
          <w:bottom w:w="0" w:type="dxa"/>
          <w:right w:w="0" w:type="dxa"/>
        </w:tblCellMar>
      </w:tblPr>
      <w:tr>
        <w:trPr>
          <w:trHeight w:val="301"/>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160" w:type="dxa"/>
            <w:vAlign w:val="bottom"/>
            <w:tcBorders>
              <w:bottom w:val="single" w:sz="8" w:color="606489"/>
            </w:tcBorders>
            <w:shd w:val="clear" w:color="auto" w:fill="606489"/>
          </w:tcPr>
          <w:p>
            <w:pPr>
              <w:ind w:left="140"/>
              <w:spacing w:after="0"/>
              <w:rPr>
                <w:sz w:val="20"/>
                <w:szCs w:val="20"/>
                <w:color w:val="auto"/>
              </w:rPr>
            </w:pPr>
            <w:r>
              <w:rPr>
                <w:rFonts w:ascii="Arial" w:cs="Arial" w:eastAsia="Arial" w:hAnsi="Arial"/>
                <w:sz w:val="14"/>
                <w:szCs w:val="14"/>
                <w:b w:val="1"/>
                <w:bCs w:val="1"/>
                <w:color w:val="FFFFFF"/>
              </w:rPr>
              <w:t>Name</w:t>
            </w:r>
          </w:p>
        </w:tc>
        <w:tc>
          <w:tcPr>
            <w:tcW w:w="820" w:type="dxa"/>
            <w:vAlign w:val="bottom"/>
            <w:tcBorders>
              <w:bottom w:val="single" w:sz="8" w:color="606489"/>
            </w:tcBorders>
            <w:shd w:val="clear" w:color="auto" w:fill="606489"/>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606489"/>
            </w:tcBorders>
            <w:shd w:val="clear" w:color="auto" w:fill="60648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4860" w:type="dxa"/>
            <w:vAlign w:val="bottom"/>
            <w:tcBorders>
              <w:bottom w:val="single" w:sz="8" w:color="606489"/>
            </w:tcBorders>
            <w:shd w:val="clear" w:color="auto" w:fill="606489"/>
          </w:tcPr>
          <w:p>
            <w:pPr>
              <w:ind w:left="100"/>
              <w:spacing w:after="0"/>
              <w:rPr>
                <w:sz w:val="20"/>
                <w:szCs w:val="20"/>
                <w:color w:val="auto"/>
              </w:rPr>
            </w:pPr>
            <w:r>
              <w:rPr>
                <w:rFonts w:ascii="Arial" w:cs="Arial" w:eastAsia="Arial" w:hAnsi="Arial"/>
                <w:sz w:val="14"/>
                <w:szCs w:val="14"/>
                <w:b w:val="1"/>
                <w:bCs w:val="1"/>
                <w:color w:val="FFFFFF"/>
              </w:rPr>
              <w:t>Title</w:t>
            </w:r>
          </w:p>
        </w:tc>
        <w:tc>
          <w:tcPr>
            <w:tcW w:w="300" w:type="dxa"/>
            <w:vAlign w:val="bottom"/>
            <w:tcBorders>
              <w:bottom w:val="single" w:sz="8" w:color="606489"/>
            </w:tcBorders>
            <w:shd w:val="clear" w:color="auto" w:fill="606489"/>
          </w:tcPr>
          <w:p>
            <w:pPr>
              <w:ind w:left="20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160" w:type="dxa"/>
            <w:vAlign w:val="bottom"/>
            <w:tcBorders>
              <w:bottom w:val="single" w:sz="8" w:color="ACABC0"/>
            </w:tcBorders>
            <w:shd w:val="clear" w:color="auto" w:fill="ACABC0"/>
          </w:tcPr>
          <w:p>
            <w:pPr>
              <w:ind w:left="140"/>
              <w:spacing w:after="0"/>
              <w:rPr>
                <w:sz w:val="20"/>
                <w:szCs w:val="20"/>
                <w:color w:val="auto"/>
              </w:rPr>
            </w:pPr>
            <w:r>
              <w:rPr>
                <w:rFonts w:ascii="Arial" w:cs="Arial" w:eastAsia="Arial" w:hAnsi="Arial"/>
                <w:sz w:val="16"/>
                <w:szCs w:val="16"/>
                <w:color w:val="auto"/>
              </w:rPr>
              <w:t>Andrew G. Inglis</w:t>
            </w:r>
          </w:p>
        </w:tc>
        <w:tc>
          <w:tcPr>
            <w:tcW w:w="820" w:type="dxa"/>
            <w:vAlign w:val="bottom"/>
            <w:tcBorders>
              <w:bottom w:val="single" w:sz="8" w:color="ACABC0"/>
            </w:tcBorders>
            <w:shd w:val="clear" w:color="auto" w:fill="ACABC0"/>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ACABC0"/>
            </w:tcBorders>
            <w:shd w:val="clear" w:color="auto" w:fill="ACABC0"/>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4860" w:type="dxa"/>
            <w:vAlign w:val="bottom"/>
            <w:tcBorders>
              <w:bottom w:val="single" w:sz="8" w:color="ACABC0"/>
            </w:tcBorders>
            <w:shd w:val="clear" w:color="auto" w:fill="ACABC0"/>
          </w:tcPr>
          <w:p>
            <w:pPr>
              <w:ind w:left="100"/>
              <w:spacing w:after="0"/>
              <w:rPr>
                <w:sz w:val="20"/>
                <w:szCs w:val="20"/>
                <w:color w:val="auto"/>
              </w:rPr>
            </w:pPr>
            <w:r>
              <w:rPr>
                <w:rFonts w:ascii="Arial" w:cs="Arial" w:eastAsia="Arial" w:hAnsi="Arial"/>
                <w:sz w:val="16"/>
                <w:szCs w:val="16"/>
                <w:color w:val="auto"/>
              </w:rPr>
              <w:t>Chairman and Chief Executive Officer</w:t>
            </w:r>
          </w:p>
        </w:tc>
        <w:tc>
          <w:tcPr>
            <w:tcW w:w="300" w:type="dxa"/>
            <w:vAlign w:val="bottom"/>
            <w:tcBorders>
              <w:bottom w:val="single" w:sz="8" w:color="ACABC0"/>
            </w:tcBorders>
            <w:shd w:val="clear" w:color="auto" w:fill="ACABC0"/>
          </w:tcPr>
          <w:p>
            <w:pPr>
              <w:ind w:left="20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1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6"/>
                <w:szCs w:val="16"/>
                <w:color w:val="auto"/>
              </w:rPr>
              <w:t>Neal D. Shah</w:t>
            </w:r>
          </w:p>
        </w:tc>
        <w:tc>
          <w:tcPr>
            <w:tcW w:w="820" w:type="dxa"/>
            <w:vAlign w:val="bottom"/>
            <w:tcBorders>
              <w:bottom w:val="single" w:sz="8" w:color="F1F2F2"/>
            </w:tcBorders>
            <w:shd w:val="clear" w:color="auto" w:fill="F1F2F2"/>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F1F2F2"/>
            </w:tcBorders>
            <w:shd w:val="clear" w:color="auto" w:fill="F1F2F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486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6"/>
                <w:szCs w:val="16"/>
                <w:color w:val="auto"/>
              </w:rPr>
              <w:t>Senior Vice President and Chief Financial Officer</w:t>
            </w:r>
          </w:p>
        </w:tc>
        <w:tc>
          <w:tcPr>
            <w:tcW w:w="300" w:type="dxa"/>
            <w:vAlign w:val="bottom"/>
            <w:tcBorders>
              <w:bottom w:val="single" w:sz="8" w:color="F1F2F2"/>
            </w:tcBorders>
            <w:shd w:val="clear" w:color="auto" w:fill="F1F2F2"/>
          </w:tcPr>
          <w:p>
            <w:pPr>
              <w:ind w:left="20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160" w:type="dxa"/>
            <w:vAlign w:val="bottom"/>
            <w:tcBorders>
              <w:bottom w:val="single" w:sz="8" w:color="ACABC0"/>
            </w:tcBorders>
            <w:shd w:val="clear" w:color="auto" w:fill="ACABC0"/>
          </w:tcPr>
          <w:p>
            <w:pPr>
              <w:ind w:left="140"/>
              <w:spacing w:after="0"/>
              <w:rPr>
                <w:sz w:val="20"/>
                <w:szCs w:val="20"/>
                <w:color w:val="auto"/>
              </w:rPr>
            </w:pPr>
            <w:r>
              <w:rPr>
                <w:rFonts w:ascii="Arial" w:cs="Arial" w:eastAsia="Arial" w:hAnsi="Arial"/>
                <w:sz w:val="16"/>
                <w:szCs w:val="16"/>
                <w:color w:val="auto"/>
              </w:rPr>
              <w:t>Christopher J. Ball</w:t>
            </w:r>
          </w:p>
        </w:tc>
        <w:tc>
          <w:tcPr>
            <w:tcW w:w="820" w:type="dxa"/>
            <w:vAlign w:val="bottom"/>
            <w:tcBorders>
              <w:bottom w:val="single" w:sz="8" w:color="ACABC0"/>
            </w:tcBorders>
            <w:shd w:val="clear" w:color="auto" w:fill="ACABC0"/>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ACABC0"/>
            </w:tcBorders>
            <w:shd w:val="clear" w:color="auto" w:fill="ACABC0"/>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4860" w:type="dxa"/>
            <w:vAlign w:val="bottom"/>
            <w:tcBorders>
              <w:bottom w:val="single" w:sz="8" w:color="ACABC0"/>
            </w:tcBorders>
            <w:shd w:val="clear" w:color="auto" w:fill="ACABC0"/>
          </w:tcPr>
          <w:p>
            <w:pPr>
              <w:ind w:left="100"/>
              <w:spacing w:after="0"/>
              <w:rPr>
                <w:sz w:val="20"/>
                <w:szCs w:val="20"/>
                <w:color w:val="auto"/>
              </w:rPr>
            </w:pPr>
            <w:r>
              <w:rPr>
                <w:rFonts w:ascii="Arial" w:cs="Arial" w:eastAsia="Arial" w:hAnsi="Arial"/>
                <w:sz w:val="16"/>
                <w:szCs w:val="16"/>
                <w:color w:val="auto"/>
              </w:rPr>
              <w:t>Senior Vice President and Chief Commercial Officer</w:t>
            </w:r>
          </w:p>
        </w:tc>
        <w:tc>
          <w:tcPr>
            <w:tcW w:w="300" w:type="dxa"/>
            <w:vAlign w:val="bottom"/>
            <w:tcBorders>
              <w:bottom w:val="single" w:sz="8" w:color="ACABC0"/>
            </w:tcBorders>
            <w:shd w:val="clear" w:color="auto" w:fill="ACABC0"/>
          </w:tcPr>
          <w:p>
            <w:pPr>
              <w:ind w:left="20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1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6"/>
                <w:szCs w:val="16"/>
                <w:color w:val="auto"/>
              </w:rPr>
              <w:t>Richard R. Clark</w:t>
            </w:r>
          </w:p>
        </w:tc>
        <w:tc>
          <w:tcPr>
            <w:tcW w:w="820" w:type="dxa"/>
            <w:vAlign w:val="bottom"/>
            <w:tcBorders>
              <w:bottom w:val="single" w:sz="8" w:color="F1F2F2"/>
            </w:tcBorders>
            <w:shd w:val="clear" w:color="auto" w:fill="F1F2F2"/>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F1F2F2"/>
            </w:tcBorders>
            <w:shd w:val="clear" w:color="auto" w:fill="F1F2F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486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6"/>
                <w:szCs w:val="16"/>
                <w:color w:val="auto"/>
              </w:rPr>
              <w:t>Senior Vice President and Head of Gulf of Mexico Business Unit</w:t>
            </w:r>
          </w:p>
        </w:tc>
        <w:tc>
          <w:tcPr>
            <w:tcW w:w="300" w:type="dxa"/>
            <w:vAlign w:val="bottom"/>
            <w:tcBorders>
              <w:bottom w:val="single" w:sz="8" w:color="F1F2F2"/>
            </w:tcBorders>
            <w:shd w:val="clear" w:color="auto" w:fill="F1F2F2"/>
          </w:tcPr>
          <w:p>
            <w:pPr>
              <w:ind w:left="200"/>
              <w:spacing w:after="0"/>
              <w:rPr>
                <w:sz w:val="20"/>
                <w:szCs w:val="20"/>
                <w:color w:val="auto"/>
              </w:rPr>
            </w:pPr>
            <w:r>
              <w:rPr>
                <w:rFonts w:ascii="Times New Roman" w:cs="Times New Roman" w:eastAsia="Times New Roman" w:hAnsi="Times New Roman"/>
                <w:sz w:val="4"/>
                <w:szCs w:val="4"/>
                <w:color w:val="auto"/>
              </w:rPr>
              <w:t>​</w:t>
            </w:r>
          </w:p>
        </w:tc>
      </w:tr>
      <w:tr>
        <w:trPr>
          <w:trHeight w:val="254"/>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160" w:type="dxa"/>
            <w:vAlign w:val="bottom"/>
            <w:shd w:val="clear" w:color="auto" w:fill="ACABC0"/>
          </w:tcPr>
          <w:p>
            <w:pPr>
              <w:ind w:left="140"/>
              <w:spacing w:after="0"/>
              <w:rPr>
                <w:sz w:val="20"/>
                <w:szCs w:val="20"/>
                <w:color w:val="auto"/>
              </w:rPr>
            </w:pPr>
            <w:r>
              <w:rPr>
                <w:rFonts w:ascii="Arial" w:cs="Arial" w:eastAsia="Arial" w:hAnsi="Arial"/>
                <w:sz w:val="16"/>
                <w:szCs w:val="16"/>
                <w:color w:val="auto"/>
              </w:rPr>
              <w:t>Jason E. Doughty</w:t>
            </w:r>
          </w:p>
        </w:tc>
        <w:tc>
          <w:tcPr>
            <w:tcW w:w="820" w:type="dxa"/>
            <w:vAlign w:val="bottom"/>
            <w:shd w:val="clear" w:color="auto" w:fill="ACABC0"/>
          </w:tcPr>
          <w:p>
            <w:pPr>
              <w:ind w:left="7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ACABC0"/>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4860" w:type="dxa"/>
            <w:vAlign w:val="bottom"/>
            <w:shd w:val="clear" w:color="auto" w:fill="ACABC0"/>
          </w:tcPr>
          <w:p>
            <w:pPr>
              <w:ind w:left="100"/>
              <w:spacing w:after="0"/>
              <w:rPr>
                <w:sz w:val="20"/>
                <w:szCs w:val="20"/>
                <w:color w:val="auto"/>
              </w:rPr>
            </w:pPr>
            <w:r>
              <w:rPr>
                <w:rFonts w:ascii="Arial" w:cs="Arial" w:eastAsia="Arial" w:hAnsi="Arial"/>
                <w:sz w:val="16"/>
                <w:szCs w:val="16"/>
                <w:color w:val="auto"/>
              </w:rPr>
              <w:t>Senior Vice President and General Counsel</w:t>
            </w:r>
          </w:p>
        </w:tc>
        <w:tc>
          <w:tcPr>
            <w:tcW w:w="300" w:type="dxa"/>
            <w:vAlign w:val="bottom"/>
            <w:shd w:val="clear" w:color="auto" w:fill="ACABC0"/>
          </w:tcPr>
          <w:p>
            <w:pPr>
              <w:ind w:left="200"/>
              <w:spacing w:after="0"/>
              <w:rPr>
                <w:sz w:val="20"/>
                <w:szCs w:val="20"/>
                <w:color w:val="auto"/>
              </w:rPr>
            </w:pPr>
            <w:r>
              <w:rPr>
                <w:rFonts w:ascii="Times New Roman" w:cs="Times New Roman" w:eastAsia="Times New Roman" w:hAnsi="Times New Roman"/>
                <w:sz w:val="4"/>
                <w:szCs w:val="4"/>
                <w:color w:val="auto"/>
              </w:rPr>
              <w:t>​</w:t>
            </w:r>
          </w:p>
        </w:tc>
      </w:tr>
    </w:tbl>
    <w:p>
      <w:pPr>
        <w:spacing w:after="0" w:line="194" w:lineRule="exact"/>
        <w:rPr>
          <w:sz w:val="20"/>
          <w:szCs w:val="20"/>
          <w:color w:val="auto"/>
        </w:rPr>
      </w:pPr>
    </w:p>
    <w:p>
      <w:pPr>
        <w:sectPr>
          <w:pgSz w:w="11900" w:h="16838" w:orient="portrait"/>
          <w:cols w:equalWidth="0" w:num="1">
            <w:col w:w="9019"/>
          </w:cols>
          <w:pgMar w:left="1440" w:top="262" w:right="1440" w:bottom="1440" w:gutter="0" w:footer="0" w:header="0"/>
        </w:sectPr>
      </w:pPr>
    </w:p>
    <w:p>
      <w:pPr>
        <w:ind w:left="320"/>
        <w:spacing w:after="0"/>
        <w:rPr>
          <w:sz w:val="20"/>
          <w:szCs w:val="20"/>
          <w:color w:val="auto"/>
        </w:rPr>
      </w:pPr>
      <w:r>
        <w:rPr>
          <w:rFonts w:ascii="Arial" w:cs="Arial" w:eastAsia="Arial" w:hAnsi="Arial"/>
          <w:sz w:val="23"/>
          <w:szCs w:val="23"/>
          <w:b w:val="1"/>
          <w:bCs w:val="1"/>
          <w:color w:val="595959"/>
        </w:rPr>
        <w:t>Executive Summary</w:t>
      </w:r>
    </w:p>
    <w:p>
      <w:pPr>
        <w:spacing w:after="0" w:line="129" w:lineRule="exact"/>
        <w:rPr>
          <w:sz w:val="20"/>
          <w:szCs w:val="20"/>
          <w:color w:val="auto"/>
        </w:rPr>
      </w:pPr>
    </w:p>
    <w:p>
      <w:pPr>
        <w:ind w:left="320" w:right="20"/>
        <w:spacing w:after="0" w:line="248" w:lineRule="auto"/>
        <w:rPr>
          <w:sz w:val="20"/>
          <w:szCs w:val="20"/>
          <w:color w:val="auto"/>
        </w:rPr>
      </w:pPr>
      <w:r>
        <w:rPr>
          <w:rFonts w:ascii="Arial" w:cs="Arial" w:eastAsia="Arial" w:hAnsi="Arial"/>
          <w:sz w:val="16"/>
          <w:szCs w:val="16"/>
          <w:color w:val="auto"/>
        </w:rPr>
        <w:t>Our executive compensation program is designed to link pay to performance, encourage prudent decision-making and risk management, and create a balanced focus on short-term and long-term performance and value creation. In the dynamic and competitive environment in which we operate, it is imperative that we maintain an executive compensation program that attracts, motivates and retains highly experienced individuals who are critical to successfully delivering our business plan and yielding industry-leading results.</w:t>
      </w:r>
    </w:p>
    <w:p>
      <w:pPr>
        <w:spacing w:after="0" w:line="80" w:lineRule="exact"/>
        <w:rPr>
          <w:sz w:val="20"/>
          <w:szCs w:val="20"/>
          <w:color w:val="auto"/>
        </w:rPr>
      </w:pPr>
    </w:p>
    <w:p>
      <w:pPr>
        <w:ind w:left="320" w:right="20"/>
        <w:spacing w:after="0" w:line="263" w:lineRule="auto"/>
        <w:rPr>
          <w:sz w:val="20"/>
          <w:szCs w:val="20"/>
          <w:color w:val="auto"/>
        </w:rPr>
      </w:pPr>
      <w:r>
        <w:rPr>
          <w:rFonts w:ascii="Arial" w:cs="Arial" w:eastAsia="Arial" w:hAnsi="Arial"/>
          <w:sz w:val="16"/>
          <w:szCs w:val="16"/>
          <w:color w:val="auto"/>
        </w:rPr>
        <w:t>Our executive compensation program consists of three key elements—(1) base salary, (2) annual cash incentive awards and (3) long-term equity incentive awards.</w:t>
      </w:r>
    </w:p>
    <w:p>
      <w:pPr>
        <w:spacing w:after="0" w:line="65" w:lineRule="exact"/>
        <w:rPr>
          <w:sz w:val="20"/>
          <w:szCs w:val="20"/>
          <w:color w:val="auto"/>
        </w:rPr>
      </w:pPr>
    </w:p>
    <w:p>
      <w:pPr>
        <w:ind w:left="320" w:right="60"/>
        <w:spacing w:after="0" w:line="250" w:lineRule="auto"/>
        <w:rPr>
          <w:sz w:val="20"/>
          <w:szCs w:val="20"/>
          <w:color w:val="auto"/>
        </w:rPr>
      </w:pPr>
      <w:r>
        <w:rPr>
          <w:rFonts w:ascii="Arial" w:cs="Arial" w:eastAsia="Arial" w:hAnsi="Arial"/>
          <w:sz w:val="16"/>
          <w:szCs w:val="16"/>
          <w:color w:val="auto"/>
        </w:rPr>
        <w:t>Consistent with our pay-for-performance philosophy, we award a majority of the compensation for our executives in the form of “at-risk” annual cash incentive awards and long-term equity incentive awards that payout based on achievement of rigorous performance metrics, both of which directly tie our executives’ pay to Company performance.</w:t>
      </w:r>
    </w:p>
    <w:p>
      <w:pPr>
        <w:spacing w:after="0" w:line="78" w:lineRule="exact"/>
        <w:rPr>
          <w:sz w:val="20"/>
          <w:szCs w:val="20"/>
          <w:color w:val="auto"/>
        </w:rPr>
      </w:pPr>
    </w:p>
    <w:p>
      <w:pPr>
        <w:ind w:left="320"/>
        <w:spacing w:after="0" w:line="252" w:lineRule="auto"/>
        <w:rPr>
          <w:sz w:val="20"/>
          <w:szCs w:val="20"/>
          <w:color w:val="auto"/>
        </w:rPr>
      </w:pPr>
      <w:r>
        <w:rPr>
          <w:rFonts w:ascii="Arial" w:cs="Arial" w:eastAsia="Arial" w:hAnsi="Arial"/>
          <w:sz w:val="16"/>
          <w:szCs w:val="16"/>
          <w:color w:val="auto"/>
        </w:rPr>
        <w:t>We believe that our executive compensation program effectively encourages our named executive officers to deliver strong financial and operational results that position the Company for future valuation creation for our stockholders, including the strategic priorities the Company successfully achieved over the past year.</w:t>
      </w:r>
    </w:p>
    <w:p>
      <w:pPr>
        <w:spacing w:after="0" w:line="73" w:lineRule="exact"/>
        <w:rPr>
          <w:sz w:val="20"/>
          <w:szCs w:val="20"/>
          <w:color w:val="auto"/>
        </w:rPr>
      </w:pPr>
    </w:p>
    <w:p>
      <w:pPr>
        <w:ind w:left="320" w:right="140"/>
        <w:spacing w:after="0" w:line="257" w:lineRule="auto"/>
        <w:rPr>
          <w:sz w:val="20"/>
          <w:szCs w:val="20"/>
          <w:color w:val="auto"/>
        </w:rPr>
      </w:pPr>
      <w:r>
        <w:rPr>
          <w:rFonts w:ascii="Arial" w:cs="Arial" w:eastAsia="Arial" w:hAnsi="Arial"/>
          <w:sz w:val="16"/>
          <w:szCs w:val="16"/>
          <w:color w:val="auto"/>
        </w:rPr>
        <w:t>Although oil prices began to stabilize in 2021, the oil industry and our business continued to face challenges as a result of the COVID-19 pandemic. As an example, we announced in July 2021 that Phase 1 of our Tortue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359"/>
        <w:spacing w:after="0" w:line="247" w:lineRule="auto"/>
        <w:rPr>
          <w:sz w:val="20"/>
          <w:szCs w:val="20"/>
          <w:color w:val="auto"/>
        </w:rPr>
      </w:pPr>
      <w:r>
        <w:rPr>
          <w:rFonts w:ascii="Arial" w:cs="Arial" w:eastAsia="Arial" w:hAnsi="Arial"/>
          <w:sz w:val="16"/>
          <w:szCs w:val="16"/>
          <w:color w:val="auto"/>
        </w:rPr>
        <w:t>LNG project was encountering cost inflation and supplier delays, which ultimately led to a delayed first gas forecast by three months. Despite such COVID-19 related challenges, our experienced management team was able to perform competitively against our peer companies, primarily due to management’s efforts to reduce costs, strengthen our balance sheet and maintain our balanced investment approach across our production and development assets and infrastructure-led exploration prospects. The disruption of the industry caused by the COVID-19 pandemic continued to require a determined response from our management team, and they worked diligently to identify and manage unique risks, enact measures to help protect our employees and maintain strong performance.</w:t>
      </w:r>
    </w:p>
    <w:p>
      <w:pPr>
        <w:spacing w:after="0" w:line="79" w:lineRule="exact"/>
        <w:rPr>
          <w:sz w:val="20"/>
          <w:szCs w:val="20"/>
          <w:color w:val="auto"/>
        </w:rPr>
      </w:pPr>
    </w:p>
    <w:p>
      <w:pPr>
        <w:ind w:right="379"/>
        <w:spacing w:after="0" w:line="247" w:lineRule="auto"/>
        <w:rPr>
          <w:sz w:val="20"/>
          <w:szCs w:val="20"/>
          <w:color w:val="auto"/>
        </w:rPr>
      </w:pPr>
      <w:r>
        <w:rPr>
          <w:rFonts w:ascii="Arial" w:cs="Arial" w:eastAsia="Arial" w:hAnsi="Arial"/>
          <w:sz w:val="16"/>
          <w:szCs w:val="16"/>
          <w:color w:val="auto"/>
        </w:rPr>
        <w:t>We believe that our compensation program continues to strike the appropriate balance between short-term and long-term incentives for our management team. Going forward, we remain focused on controlling costs and evaluating responsible and effective ways to maximize retention and stockholder alignment with the goal of ensuring that our compensation decisions align with investor perceptions and expectations. In that regard, we expect to continue our practice of delivering a significant portion of our executives’ overall compensation in the form of long-term equity incentive awards, which we believe are a critical tenet of our pay-for-performance philosophy and align our executives’ interests with those of our stockholders.</w:t>
      </w:r>
    </w:p>
    <w:p>
      <w:pPr>
        <w:spacing w:after="0" w:line="594" w:lineRule="exact"/>
        <w:rPr>
          <w:sz w:val="20"/>
          <w:szCs w:val="20"/>
          <w:color w:val="auto"/>
        </w:rPr>
      </w:pPr>
    </w:p>
    <w:p>
      <w:pPr>
        <w:sectPr>
          <w:pgSz w:w="11900" w:h="16838" w:orient="portrait"/>
          <w:cols w:equalWidth="0" w:num="2">
            <w:col w:w="4380" w:space="240"/>
            <w:col w:w="4399"/>
          </w:cols>
          <w:pgMar w:left="1440" w:top="262" w:right="1440" w:bottom="1440" w:gutter="0" w:footer="0" w:header="0"/>
          <w:type w:val="continuous"/>
        </w:sectPr>
      </w:pPr>
    </w:p>
    <w:p>
      <w:pPr>
        <w:ind w:left="640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121285</wp:posOffset>
            </wp:positionV>
            <wp:extent cx="693801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-158750</wp:posOffset>
            </wp:positionV>
            <wp:extent cx="594995" cy="170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36" w:name="page37"/>
    <w:bookmarkEnd w:id="36"/>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179" w:lineRule="exact"/>
        <w:rPr>
          <w:sz w:val="20"/>
          <w:szCs w:val="20"/>
          <w:color w:val="auto"/>
        </w:rPr>
      </w:pPr>
    </w:p>
    <w:p>
      <w:pPr>
        <w:ind w:left="320" w:right="399"/>
        <w:spacing w:after="0" w:line="282" w:lineRule="auto"/>
        <w:rPr>
          <w:sz w:val="20"/>
          <w:szCs w:val="20"/>
          <w:color w:val="auto"/>
        </w:rPr>
      </w:pPr>
      <w:r>
        <w:rPr>
          <w:rFonts w:ascii="Arial" w:cs="Arial" w:eastAsia="Arial" w:hAnsi="Arial"/>
          <w:sz w:val="16"/>
          <w:szCs w:val="16"/>
          <w:color w:val="auto"/>
        </w:rPr>
        <w:t>The key elements of our executive compensation program for 2021 are set forth below. For additional details on the elements of our executive compensation program, see “—Elements of our Executive Compensation Program”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74295</wp:posOffset>
            </wp:positionV>
            <wp:extent cx="5212080" cy="27463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2080" cy="274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  </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2021 Business Highlights</w:t>
      </w:r>
    </w:p>
    <w:p>
      <w:pPr>
        <w:spacing w:after="0" w:line="129" w:lineRule="exact"/>
        <w:rPr>
          <w:sz w:val="20"/>
          <w:szCs w:val="20"/>
          <w:color w:val="auto"/>
        </w:rPr>
      </w:pPr>
    </w:p>
    <w:p>
      <w:pPr>
        <w:ind w:left="320" w:right="359"/>
        <w:spacing w:after="0" w:line="249" w:lineRule="auto"/>
        <w:rPr>
          <w:sz w:val="20"/>
          <w:szCs w:val="20"/>
          <w:color w:val="auto"/>
        </w:rPr>
      </w:pPr>
      <w:r>
        <w:rPr>
          <w:rFonts w:ascii="Arial" w:cs="Arial" w:eastAsia="Arial" w:hAnsi="Arial"/>
          <w:sz w:val="16"/>
          <w:szCs w:val="16"/>
          <w:color w:val="auto"/>
        </w:rPr>
        <w:t>Operational momentum returned to Kosmos in 2021 with an increased activity set across the portfolio. We remained dedicated to increasing future long-term value for our stockholders by focusing on the delivery of key strategic priorities during the year: (1) conducted safe and reliable operations across the portfolio; (2) delivered robust production growth, achieving our year-end target of &gt;75,000 barrels of oil equivalent per day; (3) advanced Phase 1 of the Tortue LNG project to approximately 70% complete at year end, while completing the sale and leaseback of the Tortue FPSO, a key funding step for the project; (4) acquired additional interests in the Jubilee and TEN fields in Ghana from Occidental Petroleum; (5) exploration and appraisal success with the Winterfell well in the U.S. Gulf of Mexico; (6) published TCFD-aligned Sustainability Report; and (7) strengthened our balance sheet and maintained healthy liquidity.</w:t>
      </w:r>
    </w:p>
    <w:p>
      <w:pPr>
        <w:spacing w:after="0" w:line="76" w:lineRule="exact"/>
        <w:rPr>
          <w:sz w:val="20"/>
          <w:szCs w:val="20"/>
          <w:color w:val="auto"/>
        </w:rPr>
      </w:pPr>
    </w:p>
    <w:p>
      <w:pPr>
        <w:ind w:left="320" w:right="339"/>
        <w:spacing w:after="0" w:line="282" w:lineRule="auto"/>
        <w:rPr>
          <w:sz w:val="20"/>
          <w:szCs w:val="20"/>
          <w:color w:val="auto"/>
        </w:rPr>
      </w:pPr>
      <w:r>
        <w:rPr>
          <w:rFonts w:ascii="Arial" w:cs="Arial" w:eastAsia="Arial" w:hAnsi="Arial"/>
          <w:sz w:val="16"/>
          <w:szCs w:val="16"/>
          <w:color w:val="auto"/>
        </w:rPr>
        <w:t>In that regard, we have highlighted below certain of our key safety, strategic, operational and financial results for 2021 that we believe position the Company for ongoing value creation.</w:t>
      </w:r>
    </w:p>
    <w:p>
      <w:pPr>
        <w:sectPr>
          <w:pgSz w:w="11900" w:h="16838" w:orient="portrait"/>
          <w:cols w:equalWidth="0" w:num="1">
            <w:col w:w="9019"/>
          </w:cols>
          <w:pgMar w:left="1440" w:top="262" w:right="1440" w:bottom="1440" w:gutter="0" w:footer="0" w:header="0"/>
        </w:sectPr>
      </w:pP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Safety</w:t>
      </w:r>
    </w:p>
    <w:p>
      <w:pPr>
        <w:spacing w:after="0" w:line="106" w:lineRule="exact"/>
        <w:rPr>
          <w:sz w:val="20"/>
          <w:szCs w:val="20"/>
          <w:color w:val="auto"/>
        </w:rPr>
      </w:pPr>
    </w:p>
    <w:p>
      <w:pPr>
        <w:ind w:left="1040" w:right="260" w:hanging="357"/>
        <w:spacing w:after="0" w:line="247" w:lineRule="auto"/>
        <w:tabs>
          <w:tab w:leader="none" w:pos="1040" w:val="left"/>
        </w:tabs>
        <w:numPr>
          <w:ilvl w:val="0"/>
          <w:numId w:val="45"/>
        </w:numPr>
        <w:rPr>
          <w:rFonts w:ascii="Arial" w:cs="Arial" w:eastAsia="Arial" w:hAnsi="Arial"/>
          <w:sz w:val="16"/>
          <w:szCs w:val="16"/>
          <w:color w:val="2A3D6C"/>
        </w:rPr>
      </w:pPr>
      <w:r>
        <w:rPr>
          <w:rFonts w:ascii="Arial" w:cs="Arial" w:eastAsia="Arial" w:hAnsi="Arial"/>
          <w:sz w:val="16"/>
          <w:szCs w:val="16"/>
          <w:color w:val="auto"/>
        </w:rPr>
        <w:t>One recordable injury occurred in 2021 with a total of 1.1 million hours worked. This incident happened in January 2021, when a third-party contractor died on a drilling rig contracted to work for Kosmos in the U.S. Gulf of Mexico. We conducted an extensive investigation with our rig contractor into the circumstances to determine the root causes and key learnings. Determined to share the findings of the investigation with the broader industry to prevent such an event from happening again, our CEO conducted sessions with two industry organizations –</w:t>
      </w:r>
    </w:p>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32</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80"/>
        </w:trPr>
        <w:tc>
          <w:tcPr>
            <w:tcW w:w="920" w:type="dxa"/>
            <w:vAlign w:val="bottom"/>
            <w:vMerge w:val="continue"/>
          </w:tcPr>
          <w:p>
            <w:pPr>
              <w:spacing w:after="0"/>
              <w:rPr>
                <w:sz w:val="24"/>
                <w:szCs w:val="24"/>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359"/>
        <w:spacing w:after="0" w:line="248" w:lineRule="auto"/>
        <w:rPr>
          <w:sz w:val="20"/>
          <w:szCs w:val="20"/>
          <w:color w:val="auto"/>
        </w:rPr>
      </w:pPr>
      <w:r>
        <w:rPr>
          <w:rFonts w:ascii="Arial" w:cs="Arial" w:eastAsia="Arial" w:hAnsi="Arial"/>
          <w:sz w:val="16"/>
          <w:szCs w:val="16"/>
          <w:color w:val="auto"/>
        </w:rPr>
        <w:t>the Offshore Operators Committee (OOC) and the International Association of Oil and Gas Producers (IOGP). More than 200 representatives from peer companies and regulators attended the two sessions, where we described the incident in detail and outlined what could be done to prevent something similar from happening again. We hope that our openness and transparency will help others as well as ourselves learn the necessary lessons to prevent a similar incident in the future.</w:t>
      </w:r>
    </w:p>
    <w:p>
      <w:pPr>
        <w:sectPr>
          <w:pgSz w:w="11900" w:h="16838" w:orient="portrait"/>
          <w:cols w:equalWidth="0" w:num="2">
            <w:col w:w="4600" w:space="720"/>
            <w:col w:w="3699"/>
          </w:cols>
          <w:pgMar w:left="1440" w:top="262" w:right="1440" w:bottom="1440" w:gutter="0" w:footer="0" w:header="0"/>
          <w:type w:val="continuous"/>
        </w:sectPr>
      </w:pPr>
    </w:p>
    <w:bookmarkStart w:id="37" w:name="page38"/>
    <w:bookmarkEnd w:id="37"/>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right"/>
        <w:ind w:right="339"/>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Financial</w:t>
      </w:r>
    </w:p>
    <w:p>
      <w:pPr>
        <w:spacing w:after="0" w:line="106" w:lineRule="exact"/>
        <w:rPr>
          <w:sz w:val="20"/>
          <w:szCs w:val="20"/>
          <w:color w:val="auto"/>
        </w:rPr>
      </w:pPr>
    </w:p>
    <w:p>
      <w:pPr>
        <w:ind w:left="1040" w:right="160" w:hanging="357"/>
        <w:spacing w:after="0" w:line="263" w:lineRule="auto"/>
        <w:tabs>
          <w:tab w:leader="none" w:pos="1040" w:val="left"/>
        </w:tabs>
        <w:numPr>
          <w:ilvl w:val="0"/>
          <w:numId w:val="46"/>
        </w:numPr>
        <w:rPr>
          <w:rFonts w:ascii="Arial" w:cs="Arial" w:eastAsia="Arial" w:hAnsi="Arial"/>
          <w:sz w:val="16"/>
          <w:szCs w:val="16"/>
          <w:color w:val="2A3D6C"/>
        </w:rPr>
      </w:pPr>
      <w:r>
        <w:rPr>
          <w:rFonts w:ascii="Arial" w:cs="Arial" w:eastAsia="Arial" w:hAnsi="Arial"/>
          <w:sz w:val="16"/>
          <w:szCs w:val="16"/>
          <w:color w:val="auto"/>
        </w:rPr>
        <w:t>Continued to strengthen the balance sheet, increasing liquidity with an improving market backdrop.</w:t>
      </w:r>
    </w:p>
    <w:p>
      <w:pPr>
        <w:spacing w:after="0" w:line="64" w:lineRule="exact"/>
        <w:rPr>
          <w:rFonts w:ascii="Arial" w:cs="Arial" w:eastAsia="Arial" w:hAnsi="Arial"/>
          <w:sz w:val="16"/>
          <w:szCs w:val="16"/>
          <w:color w:val="2A3D6C"/>
        </w:rPr>
      </w:pPr>
    </w:p>
    <w:p>
      <w:pPr>
        <w:ind w:left="1040" w:right="340" w:hanging="357"/>
        <w:spacing w:after="0" w:line="263" w:lineRule="auto"/>
        <w:tabs>
          <w:tab w:leader="none" w:pos="1040" w:val="left"/>
        </w:tabs>
        <w:numPr>
          <w:ilvl w:val="0"/>
          <w:numId w:val="46"/>
        </w:numPr>
        <w:rPr>
          <w:rFonts w:ascii="Arial" w:cs="Arial" w:eastAsia="Arial" w:hAnsi="Arial"/>
          <w:sz w:val="16"/>
          <w:szCs w:val="16"/>
          <w:color w:val="2A3D6C"/>
        </w:rPr>
      </w:pPr>
      <w:r>
        <w:rPr>
          <w:rFonts w:ascii="Arial" w:cs="Arial" w:eastAsia="Arial" w:hAnsi="Arial"/>
          <w:sz w:val="16"/>
          <w:szCs w:val="16"/>
          <w:color w:val="auto"/>
        </w:rPr>
        <w:t>Completed the re-financing of our reserve based lending facility with a total facility commitment of $1.25 billion.</w:t>
      </w:r>
    </w:p>
    <w:p>
      <w:pPr>
        <w:spacing w:after="0" w:line="64" w:lineRule="exact"/>
        <w:rPr>
          <w:rFonts w:ascii="Arial" w:cs="Arial" w:eastAsia="Arial" w:hAnsi="Arial"/>
          <w:sz w:val="16"/>
          <w:szCs w:val="16"/>
          <w:color w:val="2A3D6C"/>
        </w:rPr>
      </w:pPr>
    </w:p>
    <w:p>
      <w:pPr>
        <w:ind w:left="1040" w:right="80" w:hanging="357"/>
        <w:spacing w:after="0" w:line="282" w:lineRule="auto"/>
        <w:tabs>
          <w:tab w:leader="none" w:pos="1040" w:val="left"/>
        </w:tabs>
        <w:numPr>
          <w:ilvl w:val="0"/>
          <w:numId w:val="46"/>
        </w:numPr>
        <w:rPr>
          <w:rFonts w:ascii="Arial" w:cs="Arial" w:eastAsia="Arial" w:hAnsi="Arial"/>
          <w:sz w:val="16"/>
          <w:szCs w:val="16"/>
          <w:color w:val="2A3D6C"/>
        </w:rPr>
      </w:pPr>
      <w:r>
        <w:rPr>
          <w:rFonts w:ascii="Arial" w:cs="Arial" w:eastAsia="Arial" w:hAnsi="Arial"/>
          <w:sz w:val="16"/>
          <w:szCs w:val="16"/>
          <w:color w:val="auto"/>
        </w:rPr>
        <w:t>Materially reduced leverage to around 2.5x at year-end 2021.</w:t>
      </w:r>
    </w:p>
    <w:p>
      <w:pPr>
        <w:spacing w:after="0" w:line="49" w:lineRule="exact"/>
        <w:rPr>
          <w:rFonts w:ascii="Arial" w:cs="Arial" w:eastAsia="Arial" w:hAnsi="Arial"/>
          <w:sz w:val="16"/>
          <w:szCs w:val="16"/>
          <w:color w:val="2A3D6C"/>
        </w:rPr>
      </w:pPr>
    </w:p>
    <w:p>
      <w:pPr>
        <w:ind w:left="1040" w:hanging="357"/>
        <w:spacing w:after="0" w:line="282" w:lineRule="auto"/>
        <w:tabs>
          <w:tab w:leader="none" w:pos="1040" w:val="left"/>
        </w:tabs>
        <w:numPr>
          <w:ilvl w:val="0"/>
          <w:numId w:val="46"/>
        </w:numPr>
        <w:rPr>
          <w:rFonts w:ascii="Arial" w:cs="Arial" w:eastAsia="Arial" w:hAnsi="Arial"/>
          <w:sz w:val="16"/>
          <w:szCs w:val="16"/>
          <w:color w:val="2A3D6C"/>
        </w:rPr>
      </w:pPr>
      <w:r>
        <w:rPr>
          <w:rFonts w:ascii="Arial" w:cs="Arial" w:eastAsia="Arial" w:hAnsi="Arial"/>
          <w:sz w:val="16"/>
          <w:szCs w:val="16"/>
          <w:color w:val="auto"/>
        </w:rPr>
        <w:t>Significantly enhanced the company’s hedging outlook.</w:t>
      </w:r>
    </w:p>
    <w:p>
      <w:pPr>
        <w:spacing w:after="0" w:line="49" w:lineRule="exact"/>
        <w:rPr>
          <w:rFonts w:ascii="Arial" w:cs="Arial" w:eastAsia="Arial" w:hAnsi="Arial"/>
          <w:sz w:val="16"/>
          <w:szCs w:val="16"/>
          <w:color w:val="2A3D6C"/>
        </w:rPr>
      </w:pPr>
    </w:p>
    <w:p>
      <w:pPr>
        <w:ind w:left="1040" w:hanging="357"/>
        <w:spacing w:after="0" w:line="263" w:lineRule="auto"/>
        <w:tabs>
          <w:tab w:leader="none" w:pos="1040" w:val="left"/>
        </w:tabs>
        <w:numPr>
          <w:ilvl w:val="0"/>
          <w:numId w:val="46"/>
        </w:numPr>
        <w:rPr>
          <w:rFonts w:ascii="Arial" w:cs="Arial" w:eastAsia="Arial" w:hAnsi="Arial"/>
          <w:sz w:val="16"/>
          <w:szCs w:val="16"/>
          <w:color w:val="2A3D6C"/>
        </w:rPr>
      </w:pPr>
      <w:r>
        <w:rPr>
          <w:rFonts w:ascii="Arial" w:cs="Arial" w:eastAsia="Arial" w:hAnsi="Arial"/>
          <w:sz w:val="16"/>
          <w:szCs w:val="16"/>
          <w:color w:val="auto"/>
        </w:rPr>
        <w:t>Accessed the bond and equity markets to fund the Ghana acquisition with strong support for both transactions.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Operational</w:t>
      </w:r>
    </w:p>
    <w:p>
      <w:pPr>
        <w:spacing w:after="0" w:line="106" w:lineRule="exact"/>
        <w:rPr>
          <w:sz w:val="20"/>
          <w:szCs w:val="20"/>
          <w:color w:val="auto"/>
        </w:rPr>
      </w:pPr>
    </w:p>
    <w:p>
      <w:pPr>
        <w:ind w:left="1040" w:right="80" w:hanging="357"/>
        <w:spacing w:after="0" w:line="254" w:lineRule="auto"/>
        <w:tabs>
          <w:tab w:leader="none" w:pos="1040" w:val="left"/>
        </w:tabs>
        <w:numPr>
          <w:ilvl w:val="0"/>
          <w:numId w:val="47"/>
        </w:numPr>
        <w:rPr>
          <w:rFonts w:ascii="Arial" w:cs="Arial" w:eastAsia="Arial" w:hAnsi="Arial"/>
          <w:sz w:val="16"/>
          <w:szCs w:val="16"/>
          <w:color w:val="2A3D6C"/>
        </w:rPr>
      </w:pPr>
      <w:r>
        <w:rPr>
          <w:rFonts w:ascii="Arial" w:cs="Arial" w:eastAsia="Arial" w:hAnsi="Arial"/>
          <w:sz w:val="16"/>
          <w:szCs w:val="16"/>
          <w:color w:val="auto"/>
        </w:rPr>
        <w:t>Robust production performance from the Company’s three production hubs in Ghana, Gulf of Mexico and Equatorial Guinea, exiting the year above our target rate of 75,000 barrels of oil equivalent per day.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352" w:right="719" w:hanging="352"/>
        <w:spacing w:after="0" w:line="254" w:lineRule="auto"/>
        <w:tabs>
          <w:tab w:leader="none" w:pos="352" w:val="left"/>
        </w:tabs>
        <w:numPr>
          <w:ilvl w:val="0"/>
          <w:numId w:val="48"/>
        </w:numPr>
        <w:rPr>
          <w:rFonts w:ascii="Arial" w:cs="Arial" w:eastAsia="Arial" w:hAnsi="Arial"/>
          <w:sz w:val="16"/>
          <w:szCs w:val="16"/>
          <w:color w:val="2A3D6C"/>
        </w:rPr>
      </w:pPr>
      <w:r>
        <w:rPr>
          <w:rFonts w:ascii="Arial" w:cs="Arial" w:eastAsia="Arial" w:hAnsi="Arial"/>
          <w:sz w:val="16"/>
          <w:szCs w:val="16"/>
          <w:color w:val="auto"/>
        </w:rPr>
        <w:t>Progressed Phase 1 of the Greater Tortue Ahmeyim project to approximately</w:t>
      </w:r>
    </w:p>
    <w:p>
      <w:pPr>
        <w:spacing w:after="0" w:line="1" w:lineRule="exact"/>
        <w:rPr>
          <w:rFonts w:ascii="Arial" w:cs="Arial" w:eastAsia="Arial" w:hAnsi="Arial"/>
          <w:sz w:val="16"/>
          <w:szCs w:val="16"/>
          <w:color w:val="2A3D6C"/>
        </w:rPr>
      </w:pPr>
    </w:p>
    <w:p>
      <w:pPr>
        <w:ind w:left="352" w:right="759"/>
        <w:spacing w:after="0" w:line="278" w:lineRule="auto"/>
        <w:rPr>
          <w:rFonts w:ascii="Arial" w:cs="Arial" w:eastAsia="Arial" w:hAnsi="Arial"/>
          <w:sz w:val="16"/>
          <w:szCs w:val="16"/>
          <w:color w:val="2A3D6C"/>
        </w:rPr>
      </w:pPr>
      <w:r>
        <w:rPr>
          <w:rFonts w:ascii="Arial" w:cs="Arial" w:eastAsia="Arial" w:hAnsi="Arial"/>
          <w:sz w:val="15"/>
          <w:szCs w:val="15"/>
          <w:color w:val="auto"/>
        </w:rPr>
        <w:t>70% completion at year-end 2021 and completed the sale and leaseback of the FPSO, a key step in the project’s funding.</w:t>
      </w:r>
    </w:p>
    <w:p>
      <w:pPr>
        <w:spacing w:after="0" w:line="54" w:lineRule="exact"/>
        <w:rPr>
          <w:rFonts w:ascii="Arial" w:cs="Arial" w:eastAsia="Arial" w:hAnsi="Arial"/>
          <w:sz w:val="16"/>
          <w:szCs w:val="16"/>
          <w:color w:val="2A3D6C"/>
        </w:rPr>
      </w:pPr>
    </w:p>
    <w:p>
      <w:pPr>
        <w:ind w:left="352" w:right="599" w:hanging="352"/>
        <w:spacing w:after="0" w:line="257" w:lineRule="auto"/>
        <w:tabs>
          <w:tab w:leader="none" w:pos="352" w:val="left"/>
        </w:tabs>
        <w:numPr>
          <w:ilvl w:val="0"/>
          <w:numId w:val="48"/>
        </w:numPr>
        <w:rPr>
          <w:rFonts w:ascii="Arial" w:cs="Arial" w:eastAsia="Arial" w:hAnsi="Arial"/>
          <w:sz w:val="16"/>
          <w:szCs w:val="16"/>
          <w:color w:val="2A3D6C"/>
        </w:rPr>
      </w:pPr>
      <w:r>
        <w:rPr>
          <w:rFonts w:ascii="Arial" w:cs="Arial" w:eastAsia="Arial" w:hAnsi="Arial"/>
          <w:sz w:val="16"/>
          <w:szCs w:val="16"/>
          <w:color w:val="auto"/>
        </w:rPr>
        <w:t>Kosmos and partners continued to optimize Phase 2 of the Greater Tortue Ahmeyim project, significantly reducing forecast costs and increasing expected returns.</w:t>
      </w:r>
    </w:p>
    <w:p>
      <w:pPr>
        <w:spacing w:after="0" w:line="68" w:lineRule="exact"/>
        <w:rPr>
          <w:rFonts w:ascii="Arial" w:cs="Arial" w:eastAsia="Arial" w:hAnsi="Arial"/>
          <w:sz w:val="16"/>
          <w:szCs w:val="16"/>
          <w:color w:val="2A3D6C"/>
        </w:rPr>
      </w:pPr>
    </w:p>
    <w:p>
      <w:pPr>
        <w:ind w:left="352" w:right="439" w:hanging="352"/>
        <w:spacing w:after="0" w:line="254" w:lineRule="auto"/>
        <w:tabs>
          <w:tab w:leader="none" w:pos="352" w:val="left"/>
        </w:tabs>
        <w:numPr>
          <w:ilvl w:val="0"/>
          <w:numId w:val="48"/>
        </w:numPr>
        <w:rPr>
          <w:rFonts w:ascii="Arial" w:cs="Arial" w:eastAsia="Arial" w:hAnsi="Arial"/>
          <w:sz w:val="16"/>
          <w:szCs w:val="16"/>
          <w:color w:val="2A3D6C"/>
        </w:rPr>
      </w:pPr>
      <w:r>
        <w:rPr>
          <w:rFonts w:ascii="Arial" w:cs="Arial" w:eastAsia="Arial" w:hAnsi="Arial"/>
          <w:sz w:val="16"/>
          <w:szCs w:val="16"/>
          <w:color w:val="auto"/>
        </w:rPr>
        <w:t>Announced and completed the acquisition of additional interests in the Jubilee and TEN fields in Ghana from Occidental Petroleum for ~$550 million (~$460 million after post-closing adjustments).</w:t>
      </w:r>
    </w:p>
    <w:p>
      <w:pPr>
        <w:spacing w:after="0" w:line="70" w:lineRule="exact"/>
        <w:rPr>
          <w:rFonts w:ascii="Arial" w:cs="Arial" w:eastAsia="Arial" w:hAnsi="Arial"/>
          <w:sz w:val="16"/>
          <w:szCs w:val="16"/>
          <w:color w:val="2A3D6C"/>
        </w:rPr>
      </w:pPr>
    </w:p>
    <w:p>
      <w:pPr>
        <w:ind w:left="352" w:right="419" w:hanging="352"/>
        <w:spacing w:after="0" w:line="263" w:lineRule="auto"/>
        <w:tabs>
          <w:tab w:leader="none" w:pos="352" w:val="left"/>
        </w:tabs>
        <w:numPr>
          <w:ilvl w:val="0"/>
          <w:numId w:val="48"/>
        </w:numPr>
        <w:rPr>
          <w:rFonts w:ascii="Arial" w:cs="Arial" w:eastAsia="Arial" w:hAnsi="Arial"/>
          <w:sz w:val="16"/>
          <w:szCs w:val="16"/>
          <w:color w:val="2A3D6C"/>
        </w:rPr>
      </w:pPr>
      <w:r>
        <w:rPr>
          <w:rFonts w:ascii="Arial" w:cs="Arial" w:eastAsia="Arial" w:hAnsi="Arial"/>
          <w:sz w:val="16"/>
          <w:szCs w:val="16"/>
          <w:color w:val="auto"/>
        </w:rPr>
        <w:t>Achieved record 1P and 2P reserves following strong organic and inorganic reserves replacement.</w:t>
      </w:r>
    </w:p>
    <w:p>
      <w:pPr>
        <w:spacing w:after="0" w:line="64" w:lineRule="exact"/>
        <w:rPr>
          <w:rFonts w:ascii="Arial" w:cs="Arial" w:eastAsia="Arial" w:hAnsi="Arial"/>
          <w:sz w:val="16"/>
          <w:szCs w:val="16"/>
          <w:color w:val="2A3D6C"/>
        </w:rPr>
      </w:pPr>
    </w:p>
    <w:p>
      <w:pPr>
        <w:ind w:left="352" w:right="839" w:hanging="352"/>
        <w:spacing w:after="0" w:line="282" w:lineRule="auto"/>
        <w:tabs>
          <w:tab w:leader="none" w:pos="352" w:val="left"/>
        </w:tabs>
        <w:numPr>
          <w:ilvl w:val="0"/>
          <w:numId w:val="48"/>
        </w:numPr>
        <w:rPr>
          <w:rFonts w:ascii="Arial" w:cs="Arial" w:eastAsia="Arial" w:hAnsi="Arial"/>
          <w:sz w:val="16"/>
          <w:szCs w:val="16"/>
          <w:color w:val="2A3D6C"/>
        </w:rPr>
      </w:pPr>
      <w:r>
        <w:rPr>
          <w:rFonts w:ascii="Arial" w:cs="Arial" w:eastAsia="Arial" w:hAnsi="Arial"/>
          <w:sz w:val="16"/>
          <w:szCs w:val="16"/>
          <w:color w:val="auto"/>
        </w:rPr>
        <w:t>Progressed the company’s ESG agenda supporting a “Just Transition” in Africa.</w:t>
      </w:r>
    </w:p>
    <w:p>
      <w:pPr>
        <w:spacing w:after="0" w:line="739" w:lineRule="exact"/>
        <w:rPr>
          <w:sz w:val="20"/>
          <w:szCs w:val="20"/>
          <w:color w:val="auto"/>
        </w:rPr>
      </w:pPr>
    </w:p>
    <w:p>
      <w:pPr>
        <w:sectPr>
          <w:pgSz w:w="11900" w:h="16838" w:orient="portrait"/>
          <w:cols w:equalWidth="0" w:num="2">
            <w:col w:w="4340" w:space="628"/>
            <w:col w:w="4051"/>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2021 Key Compensation Decisions</w:t>
      </w:r>
    </w:p>
    <w:p>
      <w:pPr>
        <w:spacing w:after="0" w:line="129" w:lineRule="exact"/>
        <w:rPr>
          <w:sz w:val="20"/>
          <w:szCs w:val="20"/>
          <w:color w:val="auto"/>
        </w:rPr>
      </w:pPr>
    </w:p>
    <w:p>
      <w:pPr>
        <w:ind w:left="320"/>
        <w:spacing w:after="0" w:line="280" w:lineRule="auto"/>
        <w:rPr>
          <w:sz w:val="20"/>
          <w:szCs w:val="20"/>
          <w:color w:val="auto"/>
        </w:rPr>
      </w:pPr>
      <w:r>
        <w:rPr>
          <w:rFonts w:ascii="Arial" w:cs="Arial" w:eastAsia="Arial" w:hAnsi="Arial"/>
          <w:sz w:val="16"/>
          <w:szCs w:val="16"/>
          <w:color w:val="auto"/>
        </w:rPr>
        <w:t>We believe our executive compensation program provides effective incentives to our named executive officers to lead the Company to achieve industry-leading strategic and operational performance and to position the Company for future value creation for our stockholders.</w:t>
      </w:r>
    </w:p>
    <w:p>
      <w:pPr>
        <w:spacing w:after="0" w:line="65" w:lineRule="exact"/>
        <w:rPr>
          <w:sz w:val="20"/>
          <w:szCs w:val="20"/>
          <w:color w:val="auto"/>
        </w:rPr>
      </w:pPr>
    </w:p>
    <w:p>
      <w:pPr>
        <w:ind w:left="320" w:right="120"/>
        <w:spacing w:after="0" w:line="276" w:lineRule="auto"/>
        <w:rPr>
          <w:sz w:val="20"/>
          <w:szCs w:val="20"/>
          <w:color w:val="auto"/>
        </w:rPr>
      </w:pPr>
      <w:r>
        <w:rPr>
          <w:rFonts w:ascii="Arial" w:cs="Arial" w:eastAsia="Arial" w:hAnsi="Arial"/>
          <w:sz w:val="16"/>
          <w:szCs w:val="16"/>
          <w:color w:val="auto"/>
        </w:rPr>
        <w:t>With the help of its external, independent compensation consultant, Meridian Compensation Partners, LLC (“Meridian”), our Compensation Committee carefully considered the relevant external and internal economic and business factors affecting named executive officer pay for 2021.</w:t>
      </w:r>
    </w:p>
    <w:p>
      <w:pPr>
        <w:spacing w:after="0" w:line="69" w:lineRule="exact"/>
        <w:rPr>
          <w:sz w:val="20"/>
          <w:szCs w:val="20"/>
          <w:color w:val="auto"/>
        </w:rPr>
      </w:pPr>
    </w:p>
    <w:p>
      <w:pPr>
        <w:ind w:left="320" w:right="60"/>
        <w:spacing w:after="0" w:line="272" w:lineRule="auto"/>
        <w:rPr>
          <w:sz w:val="20"/>
          <w:szCs w:val="20"/>
          <w:color w:val="auto"/>
        </w:rPr>
      </w:pPr>
      <w:r>
        <w:rPr>
          <w:rFonts w:ascii="Arial" w:cs="Arial" w:eastAsia="Arial" w:hAnsi="Arial"/>
          <w:sz w:val="16"/>
          <w:szCs w:val="16"/>
          <w:color w:val="auto"/>
        </w:rPr>
        <w:t>Our Compensation Committee awarded the majority of named executive officer compensation opportunity in the form of “at-risk”, performance-based compensation. This strategy recognizes the evolution of the Company, the volatile state of the oil and gas industry, and the competitive market for talented executives. Through this strategy, our named executive officers remain strongly aligned with the long-term interests of our stockholders.</w:t>
      </w:r>
    </w:p>
    <w:p>
      <w:pPr>
        <w:spacing w:after="0" w:line="86" w:lineRule="exact"/>
        <w:rPr>
          <w:sz w:val="20"/>
          <w:szCs w:val="20"/>
          <w:color w:val="auto"/>
        </w:rPr>
      </w:pPr>
    </w:p>
    <w:p>
      <w:pPr>
        <w:ind w:left="320" w:right="320"/>
        <w:spacing w:after="0" w:line="273" w:lineRule="auto"/>
        <w:rPr>
          <w:sz w:val="20"/>
          <w:szCs w:val="20"/>
          <w:color w:val="auto"/>
        </w:rPr>
      </w:pPr>
      <w:r>
        <w:rPr>
          <w:rFonts w:ascii="Arial" w:cs="Arial" w:eastAsia="Arial" w:hAnsi="Arial"/>
          <w:sz w:val="16"/>
          <w:szCs w:val="16"/>
          <w:color w:val="auto"/>
        </w:rPr>
        <w:t>After a comprehensive review and evaluation of our executive compensation program, the Compensation Committee made the following key executive compensation decisions for 2021, all of which were focused on strong performance accountability that directly links pay with our stockholders’ value, while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399"/>
        <w:spacing w:after="0" w:line="263" w:lineRule="auto"/>
        <w:rPr>
          <w:sz w:val="20"/>
          <w:szCs w:val="20"/>
          <w:color w:val="auto"/>
        </w:rPr>
      </w:pPr>
      <w:r>
        <w:rPr>
          <w:rFonts w:ascii="Arial" w:cs="Arial" w:eastAsia="Arial" w:hAnsi="Arial"/>
          <w:sz w:val="16"/>
          <w:szCs w:val="16"/>
          <w:color w:val="auto"/>
        </w:rPr>
        <w:t>decreasing costs of annual and long-term incentives and ensuring that we remain competitive for attracting and retaining key talent.</w:t>
      </w:r>
    </w:p>
    <w:p>
      <w:pPr>
        <w:spacing w:after="0" w:line="38" w:lineRule="exact"/>
        <w:rPr>
          <w:sz w:val="20"/>
          <w:szCs w:val="20"/>
          <w:color w:val="auto"/>
        </w:rPr>
      </w:pPr>
    </w:p>
    <w:p>
      <w:pPr>
        <w:ind w:left="700" w:right="379" w:hanging="352"/>
        <w:spacing w:after="0" w:line="270" w:lineRule="auto"/>
        <w:tabs>
          <w:tab w:leader="none" w:pos="700" w:val="left"/>
        </w:tabs>
        <w:numPr>
          <w:ilvl w:val="0"/>
          <w:numId w:val="49"/>
        </w:numPr>
        <w:rPr>
          <w:rFonts w:ascii="Arial" w:cs="Arial" w:eastAsia="Arial" w:hAnsi="Arial"/>
          <w:sz w:val="16"/>
          <w:szCs w:val="16"/>
          <w:color w:val="2A3D6C"/>
        </w:rPr>
      </w:pPr>
      <w:r>
        <w:rPr>
          <w:rFonts w:ascii="Arial" w:cs="Arial" w:eastAsia="Arial" w:hAnsi="Arial"/>
          <w:sz w:val="16"/>
          <w:szCs w:val="16"/>
          <w:i w:val="1"/>
          <w:iCs w:val="1"/>
          <w:color w:val="auto"/>
        </w:rPr>
        <w:t>Base Salaries</w:t>
      </w:r>
      <w:r>
        <w:rPr>
          <w:rFonts w:ascii="Arial" w:cs="Arial" w:eastAsia="Arial" w:hAnsi="Arial"/>
          <w:sz w:val="16"/>
          <w:szCs w:val="16"/>
          <w:color w:val="auto"/>
        </w:rPr>
        <w:t>: In early 2021,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reviewed the base salaries paid to each of our named executive officers and, in an effort to manage general and administrative (G&amp;A) costs, the Compensation Committee determined not to make any annual merit increases in base salaries for our named executive officers in 2021 (except for Mr. Shah, whose base salary was increased in recognition of his transition to Senior Vice President and Chief Financial Officer).</w:t>
      </w:r>
    </w:p>
    <w:p>
      <w:pPr>
        <w:spacing w:after="0" w:line="86" w:lineRule="exact"/>
        <w:rPr>
          <w:rFonts w:ascii="Arial" w:cs="Arial" w:eastAsia="Arial" w:hAnsi="Arial"/>
          <w:sz w:val="16"/>
          <w:szCs w:val="16"/>
          <w:color w:val="2A3D6C"/>
        </w:rPr>
      </w:pPr>
    </w:p>
    <w:p>
      <w:pPr>
        <w:ind w:left="700" w:right="519" w:hanging="352"/>
        <w:spacing w:after="0" w:line="271" w:lineRule="auto"/>
        <w:tabs>
          <w:tab w:leader="none" w:pos="700" w:val="left"/>
        </w:tabs>
        <w:numPr>
          <w:ilvl w:val="0"/>
          <w:numId w:val="49"/>
        </w:numPr>
        <w:rPr>
          <w:rFonts w:ascii="Arial" w:cs="Arial" w:eastAsia="Arial" w:hAnsi="Arial"/>
          <w:sz w:val="16"/>
          <w:szCs w:val="16"/>
          <w:color w:val="2A3D6C"/>
        </w:rPr>
      </w:pPr>
      <w:r>
        <w:rPr>
          <w:rFonts w:ascii="Arial" w:cs="Arial" w:eastAsia="Arial" w:hAnsi="Arial"/>
          <w:sz w:val="16"/>
          <w:szCs w:val="16"/>
          <w:i w:val="1"/>
          <w:iCs w:val="1"/>
          <w:color w:val="auto"/>
        </w:rPr>
        <w:t xml:space="preserve">Annual Cash Bonuses: </w:t>
      </w:r>
      <w:r>
        <w:rPr>
          <w:rFonts w:ascii="Arial" w:cs="Arial" w:eastAsia="Arial" w:hAnsi="Arial"/>
          <w:sz w:val="16"/>
          <w:szCs w:val="16"/>
          <w:color w:val="auto"/>
        </w:rPr>
        <w:t>Following the end of</w:t>
      </w:r>
      <w:r>
        <w:rPr>
          <w:rFonts w:ascii="Arial" w:cs="Arial" w:eastAsia="Arial" w:hAnsi="Arial"/>
          <w:sz w:val="16"/>
          <w:szCs w:val="16"/>
          <w:i w:val="1"/>
          <w:iCs w:val="1"/>
          <w:color w:val="auto"/>
        </w:rPr>
        <w:t xml:space="preserve"> </w:t>
      </w:r>
      <w:r>
        <w:rPr>
          <w:rFonts w:ascii="Arial" w:cs="Arial" w:eastAsia="Arial" w:hAnsi="Arial"/>
          <w:sz w:val="16"/>
          <w:szCs w:val="16"/>
          <w:color w:val="auto"/>
        </w:rPr>
        <w:t>the 2021 performance year, based on the Company’s achievement of certain key KPIs and significant other successes, we awarded 2021 annual cash bonuses to our named executive officers at or above target performance levels. See “—Analysis of 2021 Executive Compensation Decisions—Annual Cash Bonus” below for more details.</w:t>
      </w:r>
    </w:p>
    <w:p>
      <w:pPr>
        <w:spacing w:after="0" w:line="85" w:lineRule="exact"/>
        <w:rPr>
          <w:rFonts w:ascii="Arial" w:cs="Arial" w:eastAsia="Arial" w:hAnsi="Arial"/>
          <w:sz w:val="16"/>
          <w:szCs w:val="16"/>
          <w:color w:val="2A3D6C"/>
        </w:rPr>
      </w:pPr>
    </w:p>
    <w:p>
      <w:pPr>
        <w:ind w:left="700" w:right="659" w:hanging="352"/>
        <w:spacing w:after="0" w:line="336" w:lineRule="auto"/>
        <w:tabs>
          <w:tab w:leader="none" w:pos="700" w:val="left"/>
        </w:tabs>
        <w:numPr>
          <w:ilvl w:val="0"/>
          <w:numId w:val="49"/>
        </w:numPr>
        <w:rPr>
          <w:rFonts w:ascii="Arial" w:cs="Arial" w:eastAsia="Arial" w:hAnsi="Arial"/>
          <w:sz w:val="15"/>
          <w:szCs w:val="15"/>
          <w:color w:val="2A3D6C"/>
        </w:rPr>
      </w:pPr>
      <w:r>
        <w:rPr>
          <w:rFonts w:ascii="Arial" w:cs="Arial" w:eastAsia="Arial" w:hAnsi="Arial"/>
          <w:sz w:val="15"/>
          <w:szCs w:val="15"/>
          <w:i w:val="1"/>
          <w:iCs w:val="1"/>
          <w:color w:val="auto"/>
        </w:rPr>
        <w:t xml:space="preserve">Annual Equity Awards: </w:t>
      </w:r>
      <w:r>
        <w:rPr>
          <w:rFonts w:ascii="Arial" w:cs="Arial" w:eastAsia="Arial" w:hAnsi="Arial"/>
          <w:sz w:val="15"/>
          <w:szCs w:val="15"/>
          <w:color w:val="auto"/>
        </w:rPr>
        <w:t>In an effort to retain</w:t>
      </w:r>
      <w:r>
        <w:rPr>
          <w:rFonts w:ascii="Arial" w:cs="Arial" w:eastAsia="Arial" w:hAnsi="Arial"/>
          <w:sz w:val="15"/>
          <w:szCs w:val="15"/>
          <w:i w:val="1"/>
          <w:iCs w:val="1"/>
          <w:color w:val="auto"/>
        </w:rPr>
        <w:t xml:space="preserve"> </w:t>
      </w:r>
      <w:r>
        <w:rPr>
          <w:rFonts w:ascii="Arial" w:cs="Arial" w:eastAsia="Arial" w:hAnsi="Arial"/>
          <w:sz w:val="15"/>
          <w:szCs w:val="15"/>
          <w:color w:val="auto"/>
        </w:rPr>
        <w:t>and incentivize our key management and</w:t>
      </w:r>
    </w:p>
    <w:p>
      <w:pPr>
        <w:spacing w:after="0" w:line="31" w:lineRule="exact"/>
        <w:rPr>
          <w:sz w:val="20"/>
          <w:szCs w:val="20"/>
          <w:color w:val="auto"/>
        </w:rPr>
      </w:pPr>
    </w:p>
    <w:p>
      <w:pPr>
        <w:ind w:left="178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121285</wp:posOffset>
            </wp:positionV>
            <wp:extent cx="693801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-158750</wp:posOffset>
            </wp:positionV>
            <wp:extent cx="594995" cy="170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2">
            <w:col w:w="4400" w:space="220"/>
            <w:col w:w="4399"/>
          </w:cols>
          <w:pgMar w:left="1440" w:top="262" w:right="1440" w:bottom="1440" w:gutter="0" w:footer="0" w:header="0"/>
          <w:type w:val="continuous"/>
        </w:sectPr>
      </w:pPr>
    </w:p>
    <w:bookmarkStart w:id="38" w:name="page39"/>
    <w:bookmarkEnd w:id="38"/>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57785</wp:posOffset>
            </wp:positionV>
            <wp:extent cx="530542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38" w:lineRule="exact"/>
        <w:rPr>
          <w:sz w:val="20"/>
          <w:szCs w:val="20"/>
          <w:color w:val="auto"/>
        </w:rPr>
      </w:pPr>
    </w:p>
    <w:p>
      <w:pPr>
        <w:ind w:left="1040" w:right="240"/>
        <w:spacing w:after="0" w:line="246" w:lineRule="auto"/>
        <w:rPr>
          <w:sz w:val="20"/>
          <w:szCs w:val="20"/>
          <w:color w:val="auto"/>
        </w:rPr>
      </w:pPr>
      <w:r>
        <w:rPr>
          <w:rFonts w:ascii="Arial" w:cs="Arial" w:eastAsia="Arial" w:hAnsi="Arial"/>
          <w:sz w:val="16"/>
          <w:szCs w:val="16"/>
          <w:color w:val="auto"/>
        </w:rPr>
        <w:t>further align their interests with the long-term interests of our shareholders, in early 2021, the Compensation Committee determined to increase the total equity incentive award share quantum for the equity incentive awards granted to our named executive officers in 2021. The total equity award quantum in 2021 included a flat year-over-year share allocation of base annual RSUs and PSUs, plus an additional one-off award comprised entirely of at risk, performance based PSUs. As a result, our named executive officers’ mix of equity incentive awards for 2021 was approximately 85% in the form of PSUs and 15% in the form of RSUs. This one-off additional grant of PSUs was made to incentivize and retain the key leaders of our business (including each of our named executive officers) who are critical to the Company’s long-term plan execution and to partially compensate them for the lack of a 2020 cash bonus as a result of the challenging business environment. Despite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339"/>
        <w:spacing w:after="0" w:line="250" w:lineRule="auto"/>
        <w:rPr>
          <w:sz w:val="20"/>
          <w:szCs w:val="20"/>
          <w:color w:val="auto"/>
        </w:rPr>
      </w:pPr>
      <w:r>
        <w:rPr>
          <w:rFonts w:ascii="Arial" w:cs="Arial" w:eastAsia="Arial" w:hAnsi="Arial"/>
          <w:sz w:val="16"/>
          <w:szCs w:val="16"/>
          <w:color w:val="auto"/>
        </w:rPr>
        <w:t>the one-off award of PSUs granted in 2021, the aggregate grant date value of the 2021 equity awards granted to our named executive officers remained consistent with the value of annual equity awards in recent years.  </w:t>
      </w:r>
    </w:p>
    <w:p>
      <w:pPr>
        <w:spacing w:after="0" w:line="182" w:lineRule="exact"/>
        <w:rPr>
          <w:sz w:val="20"/>
          <w:szCs w:val="20"/>
          <w:color w:val="auto"/>
        </w:rPr>
      </w:pPr>
    </w:p>
    <w:p>
      <w:pPr>
        <w:ind w:right="399"/>
        <w:spacing w:after="0" w:line="244" w:lineRule="auto"/>
        <w:rPr>
          <w:sz w:val="20"/>
          <w:szCs w:val="20"/>
          <w:color w:val="auto"/>
        </w:rPr>
      </w:pPr>
      <w:r>
        <w:rPr>
          <w:rFonts w:ascii="Arial" w:cs="Arial" w:eastAsia="Arial" w:hAnsi="Arial"/>
          <w:sz w:val="16"/>
          <w:szCs w:val="16"/>
          <w:color w:val="auto"/>
        </w:rPr>
        <w:t>In January 2022, our Compensation Committee determined to grant our named executive officers equity incentive awards consistent with our historical annual grant practice prior to 2021 and our pay for performance philosophy. As a result, in early 2022, our Compensation Committee granted each of our named executive officers 2022 annual equity incentive awards, of which approximately 2/3 were in the form of PSUs and approximately 1/3 were the form of RSUs.  </w:t>
      </w:r>
    </w:p>
    <w:p>
      <w:pPr>
        <w:spacing w:after="0" w:line="5" w:lineRule="exact"/>
        <w:rPr>
          <w:sz w:val="20"/>
          <w:szCs w:val="20"/>
          <w:color w:val="auto"/>
        </w:rPr>
      </w:pPr>
    </w:p>
    <w:p>
      <w:pPr>
        <w:ind w:right="679"/>
        <w:spacing w:after="0" w:line="253" w:lineRule="auto"/>
        <w:rPr>
          <w:sz w:val="20"/>
          <w:szCs w:val="20"/>
          <w:color w:val="auto"/>
        </w:rPr>
      </w:pPr>
      <w:r>
        <w:rPr>
          <w:rFonts w:ascii="Arial" w:cs="Arial" w:eastAsia="Arial" w:hAnsi="Arial"/>
          <w:sz w:val="16"/>
          <w:szCs w:val="16"/>
          <w:color w:val="auto"/>
        </w:rPr>
        <w:t>See “—Analysis of 2021 Executive Compensation Decisions—Equity Awards” below for more details.</w:t>
      </w:r>
    </w:p>
    <w:p>
      <w:pPr>
        <w:spacing w:after="0" w:line="293" w:lineRule="exact"/>
        <w:rPr>
          <w:sz w:val="20"/>
          <w:szCs w:val="20"/>
          <w:color w:val="auto"/>
        </w:rPr>
      </w:pPr>
    </w:p>
    <w:p>
      <w:pPr>
        <w:sectPr>
          <w:pgSz w:w="11900" w:h="16838" w:orient="portrait"/>
          <w:cols w:equalWidth="0" w:num="2">
            <w:col w:w="4600" w:space="720"/>
            <w:col w:w="36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Compensation Philosophy</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Compensation Objectives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executive compensation program is designed to:</w:t>
      </w:r>
    </w:p>
    <w:p>
      <w:pPr>
        <w:spacing w:after="0" w:line="111" w:lineRule="exact"/>
        <w:rPr>
          <w:sz w:val="20"/>
          <w:szCs w:val="20"/>
          <w:color w:val="auto"/>
        </w:rPr>
      </w:pPr>
    </w:p>
    <w:p>
      <w:pPr>
        <w:ind w:left="1040" w:right="400" w:hanging="357"/>
        <w:spacing w:after="0" w:line="263" w:lineRule="auto"/>
        <w:tabs>
          <w:tab w:leader="none" w:pos="1040" w:val="left"/>
        </w:tabs>
        <w:numPr>
          <w:ilvl w:val="0"/>
          <w:numId w:val="50"/>
        </w:numPr>
        <w:rPr>
          <w:rFonts w:ascii="Arial" w:cs="Arial" w:eastAsia="Arial" w:hAnsi="Arial"/>
          <w:sz w:val="16"/>
          <w:szCs w:val="16"/>
          <w:color w:val="2A3D6C"/>
        </w:rPr>
      </w:pPr>
      <w:r>
        <w:rPr>
          <w:rFonts w:ascii="Arial" w:cs="Arial" w:eastAsia="Arial" w:hAnsi="Arial"/>
          <w:sz w:val="16"/>
          <w:szCs w:val="16"/>
          <w:color w:val="auto"/>
        </w:rPr>
        <w:t>attract, retain and motivate talented and experienced executives in the highly competitive oil and gas industry;</w:t>
      </w:r>
    </w:p>
    <w:p>
      <w:pPr>
        <w:spacing w:after="0" w:line="64" w:lineRule="exact"/>
        <w:rPr>
          <w:rFonts w:ascii="Arial" w:cs="Arial" w:eastAsia="Arial" w:hAnsi="Arial"/>
          <w:sz w:val="16"/>
          <w:szCs w:val="16"/>
          <w:color w:val="2A3D6C"/>
        </w:rPr>
      </w:pPr>
    </w:p>
    <w:p>
      <w:pPr>
        <w:ind w:left="1040" w:hanging="357"/>
        <w:spacing w:after="0"/>
        <w:tabs>
          <w:tab w:leader="none" w:pos="1040" w:val="left"/>
        </w:tabs>
        <w:numPr>
          <w:ilvl w:val="0"/>
          <w:numId w:val="50"/>
        </w:numPr>
        <w:rPr>
          <w:rFonts w:ascii="Arial" w:cs="Arial" w:eastAsia="Arial" w:hAnsi="Arial"/>
          <w:sz w:val="16"/>
          <w:szCs w:val="16"/>
          <w:color w:val="2A3D6C"/>
        </w:rPr>
      </w:pPr>
      <w:r>
        <w:rPr>
          <w:rFonts w:ascii="Arial" w:cs="Arial" w:eastAsia="Arial" w:hAnsi="Arial"/>
          <w:sz w:val="16"/>
          <w:szCs w:val="16"/>
          <w:color w:val="auto"/>
        </w:rPr>
        <w:t>reward individual and corporate performance;</w:t>
      </w:r>
    </w:p>
    <w:p>
      <w:pPr>
        <w:spacing w:after="0" w:line="110" w:lineRule="exact"/>
        <w:rPr>
          <w:rFonts w:ascii="Arial" w:cs="Arial" w:eastAsia="Arial" w:hAnsi="Arial"/>
          <w:sz w:val="16"/>
          <w:szCs w:val="16"/>
          <w:color w:val="2A3D6C"/>
        </w:rPr>
      </w:pPr>
    </w:p>
    <w:p>
      <w:pPr>
        <w:ind w:left="1040" w:right="400" w:hanging="357"/>
        <w:spacing w:after="0" w:line="282" w:lineRule="auto"/>
        <w:tabs>
          <w:tab w:leader="none" w:pos="1040" w:val="left"/>
        </w:tabs>
        <w:numPr>
          <w:ilvl w:val="0"/>
          <w:numId w:val="50"/>
        </w:numPr>
        <w:rPr>
          <w:rFonts w:ascii="Arial" w:cs="Arial" w:eastAsia="Arial" w:hAnsi="Arial"/>
          <w:sz w:val="16"/>
          <w:szCs w:val="16"/>
          <w:color w:val="2A3D6C"/>
        </w:rPr>
      </w:pPr>
      <w:r>
        <w:rPr>
          <w:rFonts w:ascii="Arial" w:cs="Arial" w:eastAsia="Arial" w:hAnsi="Arial"/>
          <w:sz w:val="16"/>
          <w:szCs w:val="16"/>
          <w:color w:val="auto"/>
        </w:rPr>
        <w:t>align the interests of our executives and stockholders by providing a substantial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52" w:right="359"/>
        <w:spacing w:after="0" w:line="257" w:lineRule="auto"/>
        <w:rPr>
          <w:sz w:val="20"/>
          <w:szCs w:val="20"/>
          <w:color w:val="auto"/>
        </w:rPr>
      </w:pPr>
      <w:r>
        <w:rPr>
          <w:rFonts w:ascii="Arial" w:cs="Arial" w:eastAsia="Arial" w:hAnsi="Arial"/>
          <w:sz w:val="16"/>
          <w:szCs w:val="16"/>
          <w:color w:val="auto"/>
        </w:rPr>
        <w:t>portion of the executives’ compensation in the form of long-term equity-based awards granted under our Long Term Incentive Plan (“LTIP”); and</w:t>
      </w:r>
    </w:p>
    <w:p>
      <w:pPr>
        <w:spacing w:after="0" w:line="69" w:lineRule="exact"/>
        <w:rPr>
          <w:sz w:val="20"/>
          <w:szCs w:val="20"/>
          <w:color w:val="auto"/>
        </w:rPr>
      </w:pPr>
    </w:p>
    <w:p>
      <w:pPr>
        <w:ind w:left="352" w:right="359" w:hanging="352"/>
        <w:spacing w:after="0" w:line="263" w:lineRule="auto"/>
        <w:tabs>
          <w:tab w:leader="none" w:pos="352" w:val="left"/>
        </w:tabs>
        <w:numPr>
          <w:ilvl w:val="0"/>
          <w:numId w:val="51"/>
        </w:numPr>
        <w:rPr>
          <w:rFonts w:ascii="Arial" w:cs="Arial" w:eastAsia="Arial" w:hAnsi="Arial"/>
          <w:sz w:val="16"/>
          <w:szCs w:val="16"/>
          <w:color w:val="2A3D6C"/>
        </w:rPr>
      </w:pPr>
      <w:r>
        <w:rPr>
          <w:rFonts w:ascii="Arial" w:cs="Arial" w:eastAsia="Arial" w:hAnsi="Arial"/>
          <w:sz w:val="16"/>
          <w:szCs w:val="16"/>
          <w:color w:val="auto"/>
        </w:rPr>
        <w:t>motivate and reward our executives to manage our business to meet our long-term objectives and create and increase stockholder value.</w:t>
      </w:r>
    </w:p>
    <w:p>
      <w:pPr>
        <w:spacing w:after="0" w:line="327" w:lineRule="exact"/>
        <w:rPr>
          <w:sz w:val="20"/>
          <w:szCs w:val="20"/>
          <w:color w:val="auto"/>
        </w:rPr>
      </w:pPr>
    </w:p>
    <w:p>
      <w:pPr>
        <w:sectPr>
          <w:pgSz w:w="11900" w:h="16838" w:orient="portrait"/>
          <w:cols w:equalWidth="0" w:num="2">
            <w:col w:w="4260" w:space="708"/>
            <w:col w:w="4051"/>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Compensation Practices</w:t>
      </w:r>
    </w:p>
    <w:p>
      <w:pPr>
        <w:spacing w:after="0" w:line="129" w:lineRule="exact"/>
        <w:rPr>
          <w:sz w:val="20"/>
          <w:szCs w:val="20"/>
          <w:color w:val="auto"/>
        </w:rPr>
      </w:pPr>
    </w:p>
    <w:p>
      <w:pPr>
        <w:ind w:left="320" w:right="1239"/>
        <w:spacing w:after="0" w:line="282" w:lineRule="auto"/>
        <w:rPr>
          <w:sz w:val="20"/>
          <w:szCs w:val="20"/>
          <w:color w:val="auto"/>
        </w:rPr>
      </w:pPr>
      <w:r>
        <w:rPr>
          <w:rFonts w:ascii="Arial" w:cs="Arial" w:eastAsia="Arial" w:hAnsi="Arial"/>
          <w:sz w:val="16"/>
          <w:szCs w:val="16"/>
          <w:color w:val="auto"/>
        </w:rPr>
        <w:t>We follow sound compensation practices to support our compensation objectives and align our executive compensation program with the interests of our stockholders.</w:t>
      </w:r>
    </w:p>
    <w:p>
      <w:pPr>
        <w:spacing w:after="0" w:line="70"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34</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920" w:type="dxa"/>
            <w:vAlign w:val="bottom"/>
            <w:vMerge w:val="continue"/>
          </w:tcPr>
          <w:p>
            <w:pPr>
              <w:spacing w:after="0"/>
              <w:rPr>
                <w:sz w:val="23"/>
                <w:szCs w:val="23"/>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102870</wp:posOffset>
            </wp:positionV>
            <wp:extent cx="693801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-176530</wp:posOffset>
            </wp:positionV>
            <wp:extent cx="594995" cy="170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39" w:name="page40"/>
    <w:bookmarkEnd w:id="39"/>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right"/>
        <w:ind w:right="339"/>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Elements of Our Executive Compensation Program</w:t>
      </w:r>
    </w:p>
    <w:p>
      <w:pPr>
        <w:spacing w:after="0" w:line="129" w:lineRule="exact"/>
        <w:rPr>
          <w:sz w:val="20"/>
          <w:szCs w:val="20"/>
          <w:color w:val="auto"/>
        </w:rPr>
      </w:pPr>
    </w:p>
    <w:p>
      <w:pPr>
        <w:ind w:left="320" w:right="479"/>
        <w:spacing w:after="0" w:line="252" w:lineRule="auto"/>
        <w:rPr>
          <w:sz w:val="20"/>
          <w:szCs w:val="20"/>
          <w:color w:val="auto"/>
        </w:rPr>
      </w:pPr>
      <w:r>
        <w:rPr>
          <w:rFonts w:ascii="Arial" w:cs="Arial" w:eastAsia="Arial" w:hAnsi="Arial"/>
          <w:sz w:val="16"/>
          <w:szCs w:val="16"/>
          <w:color w:val="auto"/>
        </w:rPr>
        <w:t>Since our inception, our executive compensation program has consisted primarily of base salaries, annual cash bonuses and long-term equity incentive awards. For each of these elements, we take into account the practices of our industry peers. We expect that these will remain the principal elements of our executive compensation program going forward—although the relative proportions of each element, and the specific plan and award designs, will continue to evolve to support the strategy of the Company. Each element of our executive compensation program is described in more detail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29845</wp:posOffset>
            </wp:positionV>
            <wp:extent cx="5305425" cy="62407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05425" cy="62407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87"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1480" w:type="dxa"/>
            <w:vAlign w:val="bottom"/>
          </w:tcPr>
          <w:p>
            <w:pPr>
              <w:spacing w:after="0"/>
              <w:rPr>
                <w:sz w:val="20"/>
                <w:szCs w:val="20"/>
                <w:color w:val="auto"/>
              </w:rPr>
            </w:pPr>
            <w:r>
              <w:rPr>
                <w:rFonts w:ascii="Arial" w:cs="Arial" w:eastAsia="Arial" w:hAnsi="Arial"/>
                <w:sz w:val="14"/>
                <w:szCs w:val="14"/>
                <w:b w:val="1"/>
                <w:bCs w:val="1"/>
                <w:color w:val="FFFFFF"/>
              </w:rPr>
              <w:t>Element</w:t>
            </w:r>
          </w:p>
        </w:tc>
        <w:tc>
          <w:tcPr>
            <w:tcW w:w="1620" w:type="dxa"/>
            <w:vAlign w:val="bottom"/>
          </w:tcPr>
          <w:p>
            <w:pPr>
              <w:ind w:left="920"/>
              <w:spacing w:after="0"/>
              <w:rPr>
                <w:sz w:val="20"/>
                <w:szCs w:val="20"/>
                <w:color w:val="auto"/>
              </w:rPr>
            </w:pPr>
            <w:r>
              <w:rPr>
                <w:rFonts w:ascii="Times New Roman" w:cs="Times New Roman" w:eastAsia="Times New Roman" w:hAnsi="Times New Roman"/>
                <w:sz w:val="4"/>
                <w:szCs w:val="4"/>
                <w:color w:val="auto"/>
              </w:rPr>
              <w:t>​   ​</w:t>
            </w:r>
          </w:p>
        </w:tc>
        <w:tc>
          <w:tcPr>
            <w:tcW w:w="2600" w:type="dxa"/>
            <w:vAlign w:val="bottom"/>
          </w:tcPr>
          <w:p>
            <w:pPr>
              <w:ind w:left="640"/>
              <w:spacing w:after="0"/>
              <w:rPr>
                <w:sz w:val="20"/>
                <w:szCs w:val="20"/>
                <w:color w:val="auto"/>
              </w:rPr>
            </w:pPr>
            <w:r>
              <w:rPr>
                <w:rFonts w:ascii="Arial" w:cs="Arial" w:eastAsia="Arial" w:hAnsi="Arial"/>
                <w:sz w:val="14"/>
                <w:szCs w:val="14"/>
                <w:b w:val="1"/>
                <w:bCs w:val="1"/>
                <w:color w:val="FFFFFF"/>
              </w:rPr>
              <w:t>Objective and Basis</w:t>
            </w:r>
          </w:p>
        </w:tc>
        <w:tc>
          <w:tcPr>
            <w:tcW w:w="620" w:type="dxa"/>
            <w:vAlign w:val="bottom"/>
          </w:tcPr>
          <w:p>
            <w:pPr>
              <w:ind w:left="620"/>
              <w:spacing w:after="0"/>
              <w:rPr>
                <w:sz w:val="20"/>
                <w:szCs w:val="20"/>
                <w:color w:val="auto"/>
              </w:rPr>
            </w:pPr>
            <w:r>
              <w:rPr>
                <w:rFonts w:ascii="Times New Roman" w:cs="Times New Roman" w:eastAsia="Times New Roman" w:hAnsi="Times New Roman"/>
                <w:sz w:val="4"/>
                <w:szCs w:val="4"/>
                <w:color w:val="auto"/>
              </w:rPr>
              <w:t>​</w:t>
            </w:r>
          </w:p>
        </w:tc>
      </w:tr>
    </w:tbl>
    <w:p>
      <w:pPr>
        <w:spacing w:after="0" w:line="200" w:lineRule="exact"/>
        <w:rPr>
          <w:sz w:val="20"/>
          <w:szCs w:val="20"/>
          <w:color w:val="auto"/>
        </w:rPr>
      </w:pPr>
    </w:p>
    <w:p>
      <w:pPr>
        <w:sectPr>
          <w:pgSz w:w="11900" w:h="16838" w:orient="portrait"/>
          <w:cols w:equalWidth="0" w:num="1">
            <w:col w:w="9019"/>
          </w:cols>
          <w:pgMar w:left="1440" w:top="26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Variable</w:t>
      </w:r>
      <w:r>
        <w:rPr>
          <w:rFonts w:ascii="Arial" w:cs="Arial" w:eastAsia="Arial" w:hAnsi="Arial"/>
          <w:sz w:val="14"/>
          <w:szCs w:val="14"/>
          <w:b w:val="1"/>
          <w:bCs w:val="1"/>
          <w:color w:val="auto"/>
        </w:rPr>
        <w:t>​</w:t>
      </w:r>
    </w:p>
    <w:p>
      <w:pPr>
        <w:spacing w:after="0" w:line="19"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Fixed</w:t>
      </w:r>
    </w:p>
    <w:p>
      <w:pPr>
        <w:spacing w:after="0" w:line="19"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Employee Benefits</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6"/>
          <w:szCs w:val="16"/>
          <w:color w:val="auto"/>
        </w:rPr>
        <w:t>Equity incentive awards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4"/>
          <w:szCs w:val="4"/>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Annual cash bonus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Base salary</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4"/>
          <w:szCs w:val="4"/>
          <w:color w:val="auto"/>
        </w:rPr>
        <w: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20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Retirement Plans</w:t>
      </w:r>
    </w:p>
    <w:p>
      <w:pPr>
        <w:ind w:left="60"/>
        <w:spacing w:after="0" w:line="217" w:lineRule="auto"/>
        <w:rPr>
          <w:sz w:val="20"/>
          <w:szCs w:val="20"/>
          <w:color w:val="auto"/>
        </w:rPr>
      </w:pP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3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2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Health and Welfare Benefits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ind w:left="469" w:hanging="335"/>
        <w:spacing w:after="0"/>
        <w:tabs>
          <w:tab w:leader="none" w:pos="469" w:val="left"/>
        </w:tabs>
        <w:numPr>
          <w:ilvl w:val="0"/>
          <w:numId w:val="52"/>
        </w:numPr>
        <w:rPr>
          <w:rFonts w:ascii="Arial" w:cs="Arial" w:eastAsia="Arial" w:hAnsi="Arial"/>
          <w:sz w:val="16"/>
          <w:szCs w:val="16"/>
          <w:color w:val="2A3D6C"/>
        </w:rPr>
      </w:pPr>
      <w:r>
        <w:rPr>
          <w:rFonts w:ascii="Arial" w:cs="Arial" w:eastAsia="Arial" w:hAnsi="Arial"/>
          <w:sz w:val="16"/>
          <w:szCs w:val="16"/>
          <w:color w:val="auto"/>
        </w:rPr>
        <w:t>Link interests of executive officers and</w:t>
      </w:r>
    </w:p>
    <w:p>
      <w:pPr>
        <w:spacing w:after="0" w:line="19"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20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3620" w:type="dxa"/>
            <w:vAlign w:val="bottom"/>
          </w:tcPr>
          <w:p>
            <w:pPr>
              <w:ind w:left="140"/>
              <w:spacing w:after="0"/>
              <w:rPr>
                <w:sz w:val="20"/>
                <w:szCs w:val="20"/>
                <w:color w:val="auto"/>
              </w:rPr>
            </w:pPr>
            <w:r>
              <w:rPr>
                <w:rFonts w:ascii="Times New Roman" w:cs="Times New Roman" w:eastAsia="Times New Roman" w:hAnsi="Times New Roman"/>
                <w:sz w:val="7"/>
                <w:szCs w:val="7"/>
                <w:color w:val="auto"/>
                <w:vertAlign w:val="subscript"/>
              </w:rPr>
              <w:t>​   ​</w:t>
            </w:r>
            <w:r>
              <w:rPr>
                <w:rFonts w:ascii="Arial" w:cs="Arial" w:eastAsia="Arial" w:hAnsi="Arial"/>
                <w:sz w:val="16"/>
                <w:szCs w:val="16"/>
                <w:color w:val="auto"/>
              </w:rPr>
              <w:t xml:space="preserve">   stockholders, as the ultimate value realized</w:t>
            </w:r>
          </w:p>
        </w:tc>
        <w:tc>
          <w:tcPr>
            <w:tcW w:w="1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r>
      <w:tr>
        <w:trPr>
          <w:trHeight w:val="173"/>
        </w:trPr>
        <w:tc>
          <w:tcPr>
            <w:tcW w:w="200" w:type="dxa"/>
            <w:vAlign w:val="bottom"/>
          </w:tcPr>
          <w:p>
            <w:pPr>
              <w:spacing w:after="0"/>
              <w:rPr>
                <w:sz w:val="15"/>
                <w:szCs w:val="15"/>
                <w:color w:val="auto"/>
              </w:rPr>
            </w:pPr>
          </w:p>
        </w:tc>
        <w:tc>
          <w:tcPr>
            <w:tcW w:w="3620" w:type="dxa"/>
            <w:vAlign w:val="bottom"/>
          </w:tcPr>
          <w:p>
            <w:pPr>
              <w:ind w:left="260"/>
              <w:spacing w:after="0" w:line="174" w:lineRule="exact"/>
              <w:rPr>
                <w:sz w:val="20"/>
                <w:szCs w:val="20"/>
                <w:color w:val="auto"/>
              </w:rPr>
            </w:pPr>
            <w:r>
              <w:rPr>
                <w:rFonts w:ascii="Arial" w:cs="Arial" w:eastAsia="Arial" w:hAnsi="Arial"/>
                <w:sz w:val="16"/>
                <w:szCs w:val="16"/>
                <w:color w:val="auto"/>
              </w:rPr>
              <w:t>depends on share price performance over the</w:t>
            </w:r>
          </w:p>
        </w:tc>
        <w:tc>
          <w:tcPr>
            <w:tcW w:w="100" w:type="dxa"/>
            <w:vAlign w:val="bottom"/>
          </w:tcPr>
          <w:p>
            <w:pPr>
              <w:spacing w:after="0"/>
              <w:rPr>
                <w:sz w:val="15"/>
                <w:szCs w:val="15"/>
                <w:color w:val="auto"/>
              </w:rPr>
            </w:pPr>
          </w:p>
        </w:tc>
      </w:tr>
      <w:tr>
        <w:trPr>
          <w:trHeight w:val="213"/>
        </w:trPr>
        <w:tc>
          <w:tcPr>
            <w:tcW w:w="200" w:type="dxa"/>
            <w:vAlign w:val="bottom"/>
          </w:tcPr>
          <w:p>
            <w:pPr>
              <w:spacing w:after="0"/>
              <w:rPr>
                <w:sz w:val="18"/>
                <w:szCs w:val="18"/>
                <w:color w:val="auto"/>
              </w:rPr>
            </w:pPr>
          </w:p>
        </w:tc>
        <w:tc>
          <w:tcPr>
            <w:tcW w:w="3620" w:type="dxa"/>
            <w:vAlign w:val="bottom"/>
          </w:tcPr>
          <w:p>
            <w:pPr>
              <w:ind w:left="260"/>
              <w:spacing w:after="0"/>
              <w:rPr>
                <w:sz w:val="20"/>
                <w:szCs w:val="20"/>
                <w:color w:val="auto"/>
              </w:rPr>
            </w:pPr>
            <w:r>
              <w:rPr>
                <w:rFonts w:ascii="Arial" w:cs="Arial" w:eastAsia="Arial" w:hAnsi="Arial"/>
                <w:sz w:val="16"/>
                <w:szCs w:val="16"/>
                <w:color w:val="auto"/>
              </w:rPr>
              <w:t>long term.</w:t>
            </w:r>
          </w:p>
        </w:tc>
        <w:tc>
          <w:tcPr>
            <w:tcW w:w="100" w:type="dxa"/>
            <w:vAlign w:val="bottom"/>
          </w:tcPr>
          <w:p>
            <w:pPr>
              <w:spacing w:after="0"/>
              <w:rPr>
                <w:sz w:val="18"/>
                <w:szCs w:val="18"/>
                <w:color w:val="auto"/>
              </w:rPr>
            </w:pPr>
          </w:p>
        </w:tc>
      </w:tr>
    </w:tbl>
    <w:p>
      <w:pPr>
        <w:spacing w:after="0" w:line="121" w:lineRule="exact"/>
        <w:rPr>
          <w:sz w:val="20"/>
          <w:szCs w:val="20"/>
          <w:color w:val="auto"/>
        </w:rPr>
      </w:pPr>
    </w:p>
    <w:p>
      <w:pPr>
        <w:ind w:left="469" w:hanging="335"/>
        <w:spacing w:after="0"/>
        <w:tabs>
          <w:tab w:leader="none" w:pos="469" w:val="left"/>
        </w:tabs>
        <w:numPr>
          <w:ilvl w:val="0"/>
          <w:numId w:val="53"/>
        </w:numPr>
        <w:rPr>
          <w:rFonts w:ascii="Arial" w:cs="Arial" w:eastAsia="Arial" w:hAnsi="Arial"/>
          <w:sz w:val="16"/>
          <w:szCs w:val="16"/>
          <w:color w:val="2A3D6C"/>
        </w:rPr>
      </w:pPr>
      <w:r>
        <w:rPr>
          <w:rFonts w:ascii="Arial" w:cs="Arial" w:eastAsia="Arial" w:hAnsi="Arial"/>
          <w:sz w:val="16"/>
          <w:szCs w:val="16"/>
          <w:color w:val="auto"/>
        </w:rPr>
        <w:t>Require comparable or superior share</w:t>
      </w:r>
    </w:p>
    <w:p>
      <w:pPr>
        <w:ind w:left="9"/>
        <w:spacing w:after="0"/>
        <w:tabs>
          <w:tab w:leader="none" w:pos="48" w:val="left"/>
          <w:tab w:leader="none" w:pos="328" w:val="left"/>
          <w:tab w:leader="none" w:pos="388" w:val="left"/>
          <w:tab w:leader="none" w:pos="3908"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11" w:lineRule="exact"/>
        <w:rPr>
          <w:sz w:val="20"/>
          <w:szCs w:val="20"/>
          <w:color w:val="auto"/>
        </w:rPr>
      </w:pPr>
    </w:p>
    <w:p>
      <w:pPr>
        <w:ind w:left="469"/>
        <w:spacing w:after="0"/>
        <w:rPr>
          <w:sz w:val="20"/>
          <w:szCs w:val="20"/>
          <w:color w:val="auto"/>
        </w:rPr>
      </w:pPr>
      <w:r>
        <w:rPr>
          <w:rFonts w:ascii="Arial" w:cs="Arial" w:eastAsia="Arial" w:hAnsi="Arial"/>
          <w:sz w:val="16"/>
          <w:szCs w:val="16"/>
          <w:color w:val="auto"/>
        </w:rPr>
        <w:t>performance relative to industry peers.</w:t>
      </w:r>
    </w:p>
    <w:p>
      <w:pPr>
        <w:spacing w:after="0" w:line="134" w:lineRule="exact"/>
        <w:rPr>
          <w:sz w:val="20"/>
          <w:szCs w:val="20"/>
          <w:color w:val="auto"/>
        </w:rPr>
      </w:pPr>
    </w:p>
    <w:p>
      <w:pPr>
        <w:ind w:left="469" w:hanging="335"/>
        <w:spacing w:after="0"/>
        <w:tabs>
          <w:tab w:leader="none" w:pos="469" w:val="left"/>
        </w:tabs>
        <w:numPr>
          <w:ilvl w:val="0"/>
          <w:numId w:val="54"/>
        </w:numPr>
        <w:rPr>
          <w:rFonts w:ascii="Arial" w:cs="Arial" w:eastAsia="Arial" w:hAnsi="Arial"/>
          <w:sz w:val="16"/>
          <w:szCs w:val="16"/>
          <w:color w:val="2A3D6C"/>
        </w:rPr>
      </w:pPr>
      <w:r>
        <w:rPr>
          <w:rFonts w:ascii="Arial" w:cs="Arial" w:eastAsia="Arial" w:hAnsi="Arial"/>
          <w:sz w:val="16"/>
          <w:szCs w:val="16"/>
          <w:color w:val="auto"/>
        </w:rPr>
        <w:t>Encourage retention due to the multi-year</w:t>
      </w:r>
    </w:p>
    <w:p>
      <w:pPr>
        <w:ind w:left="9"/>
        <w:spacing w:after="0"/>
        <w:tabs>
          <w:tab w:leader="none" w:pos="48" w:val="left"/>
          <w:tab w:leader="none" w:pos="328" w:val="left"/>
          <w:tab w:leader="none" w:pos="388" w:val="left"/>
          <w:tab w:leader="none" w:pos="3908"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11" w:lineRule="exact"/>
        <w:rPr>
          <w:sz w:val="20"/>
          <w:szCs w:val="20"/>
          <w:color w:val="auto"/>
        </w:rPr>
      </w:pPr>
    </w:p>
    <w:p>
      <w:pPr>
        <w:ind w:left="469"/>
        <w:spacing w:after="0"/>
        <w:rPr>
          <w:sz w:val="20"/>
          <w:szCs w:val="20"/>
          <w:color w:val="auto"/>
        </w:rPr>
      </w:pPr>
      <w:r>
        <w:rPr>
          <w:rFonts w:ascii="Arial" w:cs="Arial" w:eastAsia="Arial" w:hAnsi="Arial"/>
          <w:sz w:val="16"/>
          <w:szCs w:val="16"/>
          <w:color w:val="auto"/>
        </w:rPr>
        <w:t>service condition.</w:t>
      </w:r>
    </w:p>
    <w:p>
      <w:pPr>
        <w:spacing w:after="0" w:line="134" w:lineRule="exact"/>
        <w:rPr>
          <w:sz w:val="20"/>
          <w:szCs w:val="20"/>
          <w:color w:val="auto"/>
        </w:rPr>
      </w:pPr>
    </w:p>
    <w:p>
      <w:pPr>
        <w:ind w:left="469" w:hanging="335"/>
        <w:spacing w:after="0"/>
        <w:tabs>
          <w:tab w:leader="none" w:pos="469" w:val="left"/>
        </w:tabs>
        <w:numPr>
          <w:ilvl w:val="0"/>
          <w:numId w:val="55"/>
        </w:numPr>
        <w:rPr>
          <w:rFonts w:ascii="Arial" w:cs="Arial" w:eastAsia="Arial" w:hAnsi="Arial"/>
          <w:sz w:val="16"/>
          <w:szCs w:val="16"/>
          <w:color w:val="2A3D6C"/>
        </w:rPr>
      </w:pPr>
      <w:r>
        <w:rPr>
          <w:rFonts w:ascii="Arial" w:cs="Arial" w:eastAsia="Arial" w:hAnsi="Arial"/>
          <w:sz w:val="16"/>
          <w:szCs w:val="16"/>
          <w:color w:val="auto"/>
        </w:rPr>
        <w:t>Motivate and reward Company and individual</w:t>
      </w:r>
    </w:p>
    <w:p>
      <w:pPr>
        <w:ind w:left="69"/>
        <w:spacing w:after="0"/>
        <w:tabs>
          <w:tab w:leader="none" w:pos="328" w:val="left"/>
          <w:tab w:leader="none" w:pos="388" w:val="left"/>
          <w:tab w:leader="none" w:pos="3908"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11" w:lineRule="exact"/>
        <w:rPr>
          <w:sz w:val="20"/>
          <w:szCs w:val="20"/>
          <w:color w:val="auto"/>
        </w:rPr>
      </w:pPr>
    </w:p>
    <w:p>
      <w:pPr>
        <w:ind w:left="469"/>
        <w:spacing w:after="0"/>
        <w:rPr>
          <w:sz w:val="20"/>
          <w:szCs w:val="20"/>
          <w:color w:val="auto"/>
        </w:rPr>
      </w:pPr>
      <w:r>
        <w:rPr>
          <w:rFonts w:ascii="Arial" w:cs="Arial" w:eastAsia="Arial" w:hAnsi="Arial"/>
          <w:sz w:val="16"/>
          <w:szCs w:val="16"/>
          <w:color w:val="auto"/>
        </w:rPr>
        <w:t>performance for the year.</w:t>
      </w:r>
    </w:p>
    <w:p>
      <w:pPr>
        <w:spacing w:after="0" w:line="148" w:lineRule="exact"/>
        <w:rPr>
          <w:sz w:val="20"/>
          <w:szCs w:val="20"/>
          <w:color w:val="auto"/>
        </w:rPr>
      </w:pPr>
    </w:p>
    <w:p>
      <w:pPr>
        <w:ind w:left="469" w:hanging="335"/>
        <w:spacing w:after="0"/>
        <w:tabs>
          <w:tab w:leader="none" w:pos="469" w:val="left"/>
        </w:tabs>
        <w:numPr>
          <w:ilvl w:val="1"/>
          <w:numId w:val="56"/>
        </w:numPr>
        <w:rPr>
          <w:rFonts w:ascii="Arial" w:cs="Arial" w:eastAsia="Arial" w:hAnsi="Arial"/>
          <w:sz w:val="16"/>
          <w:szCs w:val="16"/>
          <w:color w:val="2A3D6C"/>
        </w:rPr>
      </w:pPr>
      <w:r>
        <w:rPr>
          <w:rFonts w:ascii="Arial" w:cs="Arial" w:eastAsia="Arial" w:hAnsi="Arial"/>
          <w:sz w:val="16"/>
          <w:szCs w:val="16"/>
          <w:color w:val="auto"/>
        </w:rPr>
        <w:t>Tie bonus amounts payable to our named</w:t>
      </w:r>
    </w:p>
    <w:p>
      <w:pPr>
        <w:spacing w:after="0" w:line="19" w:lineRule="exact"/>
        <w:rPr>
          <w:rFonts w:ascii="Arial" w:cs="Arial" w:eastAsia="Arial" w:hAnsi="Arial"/>
          <w:sz w:val="16"/>
          <w:szCs w:val="16"/>
          <w:color w:val="2A3D6C"/>
        </w:rPr>
      </w:pPr>
    </w:p>
    <w:p>
      <w:pPr>
        <w:ind w:left="469" w:hanging="469"/>
        <w:spacing w:after="0"/>
        <w:tabs>
          <w:tab w:leader="none" w:pos="469" w:val="left"/>
        </w:tabs>
        <w:numPr>
          <w:ilvl w:val="0"/>
          <w:numId w:val="56"/>
        </w:numPr>
        <w:rPr>
          <w:rFonts w:ascii="Times New Roman" w:cs="Times New Roman" w:eastAsia="Times New Roman" w:hAnsi="Times New Roman"/>
          <w:sz w:val="4"/>
          <w:szCs w:val="4"/>
          <w:color w:val="auto"/>
        </w:rPr>
      </w:pPr>
      <w:r>
        <w:rPr>
          <w:rFonts w:ascii="Arial" w:cs="Arial" w:eastAsia="Arial" w:hAnsi="Arial"/>
          <w:sz w:val="16"/>
          <w:szCs w:val="16"/>
          <w:color w:val="auto"/>
        </w:rPr>
        <w:t>executive officers to the Compensation</w:t>
      </w:r>
    </w:p>
    <w:p>
      <w:pPr>
        <w:spacing w:after="0" w:line="3" w:lineRule="exact"/>
        <w:rPr>
          <w:sz w:val="20"/>
          <w:szCs w:val="20"/>
          <w:color w:val="auto"/>
        </w:rPr>
      </w:pPr>
    </w:p>
    <w:tbl>
      <w:tblPr>
        <w:tblLayout w:type="fixed"/>
        <w:tblInd w:w="69" w:type="dxa"/>
        <w:tblCellMar>
          <w:top w:w="0" w:type="dxa"/>
          <w:left w:w="0" w:type="dxa"/>
          <w:bottom w:w="0" w:type="dxa"/>
          <w:right w:w="0" w:type="dxa"/>
        </w:tblCellMar>
      </w:tblPr>
      <w:tr>
        <w:trPr>
          <w:trHeight w:val="186"/>
        </w:trPr>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660" w:type="dxa"/>
            <w:vAlign w:val="bottom"/>
          </w:tcPr>
          <w:p>
            <w:pPr>
              <w:ind w:left="140"/>
              <w:spacing w:after="0"/>
              <w:rPr>
                <w:sz w:val="20"/>
                <w:szCs w:val="20"/>
                <w:color w:val="auto"/>
              </w:rPr>
            </w:pPr>
            <w:r>
              <w:rPr>
                <w:rFonts w:ascii="Times New Roman" w:cs="Times New Roman" w:eastAsia="Times New Roman" w:hAnsi="Times New Roman"/>
                <w:sz w:val="7"/>
                <w:szCs w:val="7"/>
                <w:color w:val="auto"/>
                <w:vertAlign w:val="subscript"/>
              </w:rPr>
              <w:t>​   ​</w:t>
            </w:r>
            <w:r>
              <w:rPr>
                <w:rFonts w:ascii="Arial" w:cs="Arial" w:eastAsia="Arial" w:hAnsi="Arial"/>
                <w:sz w:val="16"/>
                <w:szCs w:val="16"/>
                <w:color w:val="auto"/>
              </w:rPr>
              <w:t xml:space="preserve">   Committee’s quantitative and qualitative</w:t>
            </w:r>
          </w:p>
        </w:tc>
        <w:tc>
          <w:tcPr>
            <w:tcW w:w="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r>
      <w:tr>
        <w:trPr>
          <w:trHeight w:val="173"/>
        </w:trPr>
        <w:tc>
          <w:tcPr>
            <w:tcW w:w="140" w:type="dxa"/>
            <w:vAlign w:val="bottom"/>
          </w:tcPr>
          <w:p>
            <w:pPr>
              <w:spacing w:after="0"/>
              <w:rPr>
                <w:sz w:val="15"/>
                <w:szCs w:val="15"/>
                <w:color w:val="auto"/>
              </w:rPr>
            </w:pPr>
          </w:p>
        </w:tc>
        <w:tc>
          <w:tcPr>
            <w:tcW w:w="3660" w:type="dxa"/>
            <w:vAlign w:val="bottom"/>
          </w:tcPr>
          <w:p>
            <w:pPr>
              <w:ind w:left="260"/>
              <w:spacing w:after="0" w:line="174" w:lineRule="exact"/>
              <w:rPr>
                <w:sz w:val="20"/>
                <w:szCs w:val="20"/>
                <w:color w:val="auto"/>
              </w:rPr>
            </w:pPr>
            <w:r>
              <w:rPr>
                <w:rFonts w:ascii="Arial" w:cs="Arial" w:eastAsia="Arial" w:hAnsi="Arial"/>
                <w:sz w:val="16"/>
                <w:szCs w:val="16"/>
                <w:color w:val="auto"/>
              </w:rPr>
              <w:t>assessment of the achievement of “key</w:t>
            </w:r>
          </w:p>
        </w:tc>
        <w:tc>
          <w:tcPr>
            <w:tcW w:w="60" w:type="dxa"/>
            <w:vAlign w:val="bottom"/>
          </w:tcPr>
          <w:p>
            <w:pPr>
              <w:spacing w:after="0"/>
              <w:rPr>
                <w:sz w:val="15"/>
                <w:szCs w:val="15"/>
                <w:color w:val="auto"/>
              </w:rPr>
            </w:pPr>
          </w:p>
        </w:tc>
      </w:tr>
      <w:tr>
        <w:trPr>
          <w:trHeight w:val="187"/>
        </w:trPr>
        <w:tc>
          <w:tcPr>
            <w:tcW w:w="140" w:type="dxa"/>
            <w:vAlign w:val="bottom"/>
          </w:tcPr>
          <w:p>
            <w:pPr>
              <w:spacing w:after="0"/>
              <w:rPr>
                <w:sz w:val="16"/>
                <w:szCs w:val="16"/>
                <w:color w:val="auto"/>
              </w:rPr>
            </w:pPr>
          </w:p>
        </w:tc>
        <w:tc>
          <w:tcPr>
            <w:tcW w:w="3660" w:type="dxa"/>
            <w:vAlign w:val="bottom"/>
          </w:tcPr>
          <w:p>
            <w:pPr>
              <w:ind w:left="260"/>
              <w:spacing w:after="0"/>
              <w:rPr>
                <w:sz w:val="20"/>
                <w:szCs w:val="20"/>
                <w:color w:val="auto"/>
              </w:rPr>
            </w:pPr>
            <w:r>
              <w:rPr>
                <w:rFonts w:ascii="Arial" w:cs="Arial" w:eastAsia="Arial" w:hAnsi="Arial"/>
                <w:sz w:val="16"/>
                <w:szCs w:val="16"/>
                <w:color w:val="auto"/>
              </w:rPr>
              <w:t>performance indicators”, general Company</w:t>
            </w:r>
          </w:p>
        </w:tc>
        <w:tc>
          <w:tcPr>
            <w:tcW w:w="60" w:type="dxa"/>
            <w:vAlign w:val="bottom"/>
          </w:tcPr>
          <w:p>
            <w:pPr>
              <w:spacing w:after="0"/>
              <w:rPr>
                <w:sz w:val="16"/>
                <w:szCs w:val="16"/>
                <w:color w:val="auto"/>
              </w:rPr>
            </w:pPr>
          </w:p>
        </w:tc>
      </w:tr>
      <w:tr>
        <w:trPr>
          <w:trHeight w:val="213"/>
        </w:trPr>
        <w:tc>
          <w:tcPr>
            <w:tcW w:w="140" w:type="dxa"/>
            <w:vAlign w:val="bottom"/>
          </w:tcPr>
          <w:p>
            <w:pPr>
              <w:spacing w:after="0"/>
              <w:rPr>
                <w:sz w:val="18"/>
                <w:szCs w:val="18"/>
                <w:color w:val="auto"/>
              </w:rPr>
            </w:pPr>
          </w:p>
        </w:tc>
        <w:tc>
          <w:tcPr>
            <w:tcW w:w="3660" w:type="dxa"/>
            <w:vAlign w:val="bottom"/>
          </w:tcPr>
          <w:p>
            <w:pPr>
              <w:ind w:left="260"/>
              <w:spacing w:after="0"/>
              <w:rPr>
                <w:sz w:val="20"/>
                <w:szCs w:val="20"/>
                <w:color w:val="auto"/>
              </w:rPr>
            </w:pPr>
            <w:r>
              <w:rPr>
                <w:rFonts w:ascii="Arial" w:cs="Arial" w:eastAsia="Arial" w:hAnsi="Arial"/>
                <w:sz w:val="16"/>
                <w:szCs w:val="16"/>
                <w:color w:val="auto"/>
              </w:rPr>
              <w:t>performance and individual performance goals.</w:t>
            </w:r>
          </w:p>
        </w:tc>
        <w:tc>
          <w:tcPr>
            <w:tcW w:w="60" w:type="dxa"/>
            <w:vAlign w:val="bottom"/>
          </w:tcPr>
          <w:p>
            <w:pPr>
              <w:spacing w:after="0"/>
              <w:rPr>
                <w:sz w:val="18"/>
                <w:szCs w:val="18"/>
                <w:color w:val="auto"/>
              </w:rPr>
            </w:pPr>
          </w:p>
        </w:tc>
      </w:tr>
    </w:tbl>
    <w:p>
      <w:pPr>
        <w:spacing w:after="0" w:line="135" w:lineRule="exact"/>
        <w:rPr>
          <w:sz w:val="20"/>
          <w:szCs w:val="20"/>
          <w:color w:val="auto"/>
        </w:rPr>
      </w:pPr>
    </w:p>
    <w:p>
      <w:pPr>
        <w:ind w:left="469" w:hanging="335"/>
        <w:spacing w:after="0"/>
        <w:tabs>
          <w:tab w:leader="none" w:pos="469" w:val="left"/>
        </w:tabs>
        <w:numPr>
          <w:ilvl w:val="0"/>
          <w:numId w:val="57"/>
        </w:numPr>
        <w:rPr>
          <w:rFonts w:ascii="Arial" w:cs="Arial" w:eastAsia="Arial" w:hAnsi="Arial"/>
          <w:sz w:val="16"/>
          <w:szCs w:val="16"/>
          <w:color w:val="2A3D6C"/>
        </w:rPr>
      </w:pPr>
      <w:r>
        <w:rPr>
          <w:rFonts w:ascii="Arial" w:cs="Arial" w:eastAsia="Arial" w:hAnsi="Arial"/>
          <w:sz w:val="16"/>
          <w:szCs w:val="16"/>
          <w:color w:val="auto"/>
        </w:rPr>
        <w:t>Competitive for each role, taking into account</w:t>
      </w:r>
    </w:p>
    <w:p>
      <w:pPr>
        <w:spacing w:after="0" w:line="19"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20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3680" w:type="dxa"/>
            <w:vAlign w:val="bottom"/>
          </w:tcPr>
          <w:p>
            <w:pPr>
              <w:ind w:left="140"/>
              <w:spacing w:after="0"/>
              <w:rPr>
                <w:sz w:val="20"/>
                <w:szCs w:val="20"/>
                <w:color w:val="auto"/>
              </w:rPr>
            </w:pPr>
            <w:r>
              <w:rPr>
                <w:rFonts w:ascii="Times New Roman" w:cs="Times New Roman" w:eastAsia="Times New Roman" w:hAnsi="Times New Roman"/>
                <w:sz w:val="7"/>
                <w:szCs w:val="7"/>
                <w:color w:val="auto"/>
                <w:vertAlign w:val="subscript"/>
              </w:rPr>
              <w:t>​   ​</w:t>
            </w:r>
            <w:r>
              <w:rPr>
                <w:rFonts w:ascii="Arial" w:cs="Arial" w:eastAsia="Arial" w:hAnsi="Arial"/>
                <w:sz w:val="16"/>
                <w:szCs w:val="16"/>
                <w:color w:val="auto"/>
              </w:rPr>
              <w:t xml:space="preserve">   experience and level of responsibility in</w:t>
            </w:r>
          </w:p>
        </w:tc>
        <w:tc>
          <w:tcPr>
            <w:tcW w:w="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173"/>
        </w:trPr>
        <w:tc>
          <w:tcPr>
            <w:tcW w:w="200" w:type="dxa"/>
            <w:vAlign w:val="bottom"/>
          </w:tcPr>
          <w:p>
            <w:pPr>
              <w:spacing w:after="0"/>
              <w:rPr>
                <w:sz w:val="15"/>
                <w:szCs w:val="15"/>
                <w:color w:val="auto"/>
              </w:rPr>
            </w:pPr>
          </w:p>
        </w:tc>
        <w:tc>
          <w:tcPr>
            <w:tcW w:w="3680" w:type="dxa"/>
            <w:vAlign w:val="bottom"/>
          </w:tcPr>
          <w:p>
            <w:pPr>
              <w:ind w:left="260"/>
              <w:spacing w:after="0" w:line="174" w:lineRule="exact"/>
              <w:rPr>
                <w:sz w:val="20"/>
                <w:szCs w:val="20"/>
                <w:color w:val="auto"/>
              </w:rPr>
            </w:pPr>
            <w:r>
              <w:rPr>
                <w:rFonts w:ascii="Arial" w:cs="Arial" w:eastAsia="Arial" w:hAnsi="Arial"/>
                <w:sz w:val="16"/>
                <w:szCs w:val="16"/>
                <w:color w:val="auto"/>
              </w:rPr>
              <w:t>companies of similar size, complexity and stage</w:t>
            </w:r>
          </w:p>
        </w:tc>
        <w:tc>
          <w:tcPr>
            <w:tcW w:w="40" w:type="dxa"/>
            <w:vAlign w:val="bottom"/>
          </w:tcPr>
          <w:p>
            <w:pPr>
              <w:spacing w:after="0"/>
              <w:rPr>
                <w:sz w:val="15"/>
                <w:szCs w:val="15"/>
                <w:color w:val="auto"/>
              </w:rPr>
            </w:pPr>
          </w:p>
        </w:tc>
      </w:tr>
      <w:tr>
        <w:trPr>
          <w:trHeight w:val="213"/>
        </w:trPr>
        <w:tc>
          <w:tcPr>
            <w:tcW w:w="200" w:type="dxa"/>
            <w:vAlign w:val="bottom"/>
          </w:tcPr>
          <w:p>
            <w:pPr>
              <w:spacing w:after="0"/>
              <w:rPr>
                <w:sz w:val="18"/>
                <w:szCs w:val="18"/>
                <w:color w:val="auto"/>
              </w:rPr>
            </w:pPr>
          </w:p>
        </w:tc>
        <w:tc>
          <w:tcPr>
            <w:tcW w:w="3680" w:type="dxa"/>
            <w:vAlign w:val="bottom"/>
          </w:tcPr>
          <w:p>
            <w:pPr>
              <w:ind w:left="260"/>
              <w:spacing w:after="0"/>
              <w:rPr>
                <w:sz w:val="20"/>
                <w:szCs w:val="20"/>
                <w:color w:val="auto"/>
              </w:rPr>
            </w:pPr>
            <w:r>
              <w:rPr>
                <w:rFonts w:ascii="Arial" w:cs="Arial" w:eastAsia="Arial" w:hAnsi="Arial"/>
                <w:sz w:val="16"/>
                <w:szCs w:val="16"/>
                <w:color w:val="auto"/>
              </w:rPr>
              <w:t>of development.</w:t>
            </w:r>
          </w:p>
        </w:tc>
        <w:tc>
          <w:tcPr>
            <w:tcW w:w="40" w:type="dxa"/>
            <w:vAlign w:val="bottom"/>
          </w:tcPr>
          <w:p>
            <w:pPr>
              <w:spacing w:after="0"/>
              <w:rPr>
                <w:sz w:val="18"/>
                <w:szCs w:val="18"/>
                <w:color w:val="auto"/>
              </w:rPr>
            </w:pPr>
          </w:p>
        </w:tc>
      </w:tr>
    </w:tbl>
    <w:p>
      <w:pPr>
        <w:spacing w:after="0" w:line="135" w:lineRule="exact"/>
        <w:rPr>
          <w:sz w:val="20"/>
          <w:szCs w:val="20"/>
          <w:color w:val="auto"/>
        </w:rPr>
      </w:pPr>
    </w:p>
    <w:p>
      <w:pPr>
        <w:ind w:left="469" w:hanging="335"/>
        <w:spacing w:after="0"/>
        <w:tabs>
          <w:tab w:leader="none" w:pos="469" w:val="left"/>
        </w:tabs>
        <w:numPr>
          <w:ilvl w:val="0"/>
          <w:numId w:val="58"/>
        </w:numPr>
        <w:rPr>
          <w:rFonts w:ascii="Arial" w:cs="Arial" w:eastAsia="Arial" w:hAnsi="Arial"/>
          <w:sz w:val="16"/>
          <w:szCs w:val="16"/>
          <w:color w:val="2A3D6C"/>
        </w:rPr>
      </w:pPr>
      <w:r>
        <w:rPr>
          <w:rFonts w:ascii="Arial" w:cs="Arial" w:eastAsia="Arial" w:hAnsi="Arial"/>
          <w:sz w:val="16"/>
          <w:szCs w:val="16"/>
          <w:color w:val="auto"/>
        </w:rPr>
        <w:t>A basic fixed component, which comprises a</w:t>
      </w:r>
    </w:p>
    <w:p>
      <w:pPr>
        <w:spacing w:after="0" w:line="6" w:lineRule="exact"/>
        <w:rPr>
          <w:sz w:val="20"/>
          <w:szCs w:val="20"/>
          <w:color w:val="auto"/>
        </w:rPr>
      </w:pPr>
    </w:p>
    <w:tbl>
      <w:tblPr>
        <w:tblLayout w:type="fixed"/>
        <w:tblInd w:w="9" w:type="dxa"/>
        <w:tblCellMar>
          <w:top w:w="0" w:type="dxa"/>
          <w:left w:w="0" w:type="dxa"/>
          <w:bottom w:w="0" w:type="dxa"/>
          <w:right w:w="0" w:type="dxa"/>
        </w:tblCellMar>
      </w:tblPr>
      <w:tr>
        <w:trPr>
          <w:trHeight w:val="185"/>
        </w:trPr>
        <w:tc>
          <w:tcPr>
            <w:tcW w:w="20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3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6"/>
                <w:szCs w:val="16"/>
                <w:color w:val="auto"/>
              </w:rPr>
              <w:t>relatively modest portion of overall</w:t>
            </w:r>
          </w:p>
        </w:tc>
        <w:tc>
          <w:tcPr>
            <w:tcW w:w="520" w:type="dxa"/>
            <w:vAlign w:val="bottom"/>
          </w:tcPr>
          <w:p>
            <w:pPr>
              <w:ind w:left="520"/>
              <w:spacing w:after="0"/>
              <w:rPr>
                <w:sz w:val="20"/>
                <w:szCs w:val="20"/>
                <w:color w:val="auto"/>
              </w:rPr>
            </w:pPr>
            <w:r>
              <w:rPr>
                <w:rFonts w:ascii="Times New Roman" w:cs="Times New Roman" w:eastAsia="Times New Roman" w:hAnsi="Times New Roman"/>
                <w:sz w:val="4"/>
                <w:szCs w:val="4"/>
                <w:color w:val="auto"/>
              </w:rPr>
              <w:t>​</w:t>
            </w:r>
          </w:p>
        </w:tc>
      </w:tr>
      <w:tr>
        <w:trPr>
          <w:trHeight w:val="213"/>
        </w:trPr>
        <w:tc>
          <w:tcPr>
            <w:tcW w:w="200" w:type="dxa"/>
            <w:vAlign w:val="bottom"/>
          </w:tcPr>
          <w:p>
            <w:pPr>
              <w:spacing w:after="0"/>
              <w:rPr>
                <w:sz w:val="18"/>
                <w:szCs w:val="18"/>
                <w:color w:val="auto"/>
              </w:rPr>
            </w:pPr>
          </w:p>
        </w:tc>
        <w:tc>
          <w:tcPr>
            <w:tcW w:w="3200" w:type="dxa"/>
            <w:vAlign w:val="bottom"/>
          </w:tcPr>
          <w:p>
            <w:pPr>
              <w:ind w:left="260"/>
              <w:spacing w:after="0"/>
              <w:rPr>
                <w:sz w:val="20"/>
                <w:szCs w:val="20"/>
                <w:color w:val="auto"/>
              </w:rPr>
            </w:pPr>
            <w:r>
              <w:rPr>
                <w:rFonts w:ascii="Arial" w:cs="Arial" w:eastAsia="Arial" w:hAnsi="Arial"/>
                <w:sz w:val="16"/>
                <w:szCs w:val="16"/>
                <w:color w:val="auto"/>
              </w:rPr>
              <w:t>compensation.</w:t>
            </w:r>
          </w:p>
        </w:tc>
        <w:tc>
          <w:tcPr>
            <w:tcW w:w="520" w:type="dxa"/>
            <w:vAlign w:val="bottom"/>
          </w:tcPr>
          <w:p>
            <w:pPr>
              <w:spacing w:after="0"/>
              <w:rPr>
                <w:sz w:val="18"/>
                <w:szCs w:val="18"/>
                <w:color w:val="auto"/>
              </w:rPr>
            </w:pPr>
          </w:p>
        </w:tc>
      </w:tr>
    </w:tbl>
    <w:p>
      <w:pPr>
        <w:spacing w:after="0" w:line="121" w:lineRule="exact"/>
        <w:rPr>
          <w:sz w:val="20"/>
          <w:szCs w:val="20"/>
          <w:color w:val="auto"/>
        </w:rPr>
      </w:pPr>
    </w:p>
    <w:p>
      <w:pPr>
        <w:ind w:left="469" w:hanging="335"/>
        <w:spacing w:after="0"/>
        <w:tabs>
          <w:tab w:leader="none" w:pos="469" w:val="left"/>
        </w:tabs>
        <w:numPr>
          <w:ilvl w:val="0"/>
          <w:numId w:val="59"/>
        </w:numPr>
        <w:rPr>
          <w:rFonts w:ascii="Arial" w:cs="Arial" w:eastAsia="Arial" w:hAnsi="Arial"/>
          <w:sz w:val="16"/>
          <w:szCs w:val="16"/>
          <w:color w:val="2A3D6C"/>
        </w:rPr>
      </w:pPr>
      <w:r>
        <w:rPr>
          <w:rFonts w:ascii="Arial" w:cs="Arial" w:eastAsia="Arial" w:hAnsi="Arial"/>
          <w:sz w:val="16"/>
          <w:szCs w:val="16"/>
          <w:color w:val="auto"/>
        </w:rPr>
        <w:t>We do not provide any supplemental executive</w:t>
      </w:r>
    </w:p>
    <w:p>
      <w:pPr>
        <w:ind w:left="9"/>
        <w:spacing w:after="0"/>
        <w:tabs>
          <w:tab w:leader="none" w:pos="48" w:val="left"/>
          <w:tab w:leader="none" w:pos="328" w:val="left"/>
          <w:tab w:leader="none" w:pos="388" w:val="left"/>
          <w:tab w:leader="none" w:pos="3908"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11" w:lineRule="exact"/>
        <w:rPr>
          <w:sz w:val="20"/>
          <w:szCs w:val="20"/>
          <w:color w:val="auto"/>
        </w:rPr>
      </w:pPr>
    </w:p>
    <w:p>
      <w:pPr>
        <w:ind w:left="469"/>
        <w:spacing w:after="0"/>
        <w:rPr>
          <w:sz w:val="20"/>
          <w:szCs w:val="20"/>
          <w:color w:val="auto"/>
        </w:rPr>
      </w:pPr>
      <w:r>
        <w:rPr>
          <w:rFonts w:ascii="Arial" w:cs="Arial" w:eastAsia="Arial" w:hAnsi="Arial"/>
          <w:sz w:val="16"/>
          <w:szCs w:val="16"/>
          <w:color w:val="auto"/>
        </w:rPr>
        <w:t>defined benefit retirement plans.</w:t>
      </w:r>
    </w:p>
    <w:p>
      <w:pPr>
        <w:spacing w:after="0" w:line="148" w:lineRule="exact"/>
        <w:rPr>
          <w:sz w:val="20"/>
          <w:szCs w:val="20"/>
          <w:color w:val="auto"/>
        </w:rPr>
      </w:pPr>
    </w:p>
    <w:p>
      <w:pPr>
        <w:ind w:left="469" w:hanging="335"/>
        <w:spacing w:after="0"/>
        <w:tabs>
          <w:tab w:leader="none" w:pos="469" w:val="left"/>
        </w:tabs>
        <w:numPr>
          <w:ilvl w:val="0"/>
          <w:numId w:val="60"/>
        </w:numPr>
        <w:rPr>
          <w:rFonts w:ascii="Arial" w:cs="Arial" w:eastAsia="Arial" w:hAnsi="Arial"/>
          <w:sz w:val="16"/>
          <w:szCs w:val="16"/>
          <w:color w:val="2A3D6C"/>
        </w:rPr>
      </w:pPr>
      <w:r>
        <w:rPr>
          <w:rFonts w:ascii="Arial" w:cs="Arial" w:eastAsia="Arial" w:hAnsi="Arial"/>
          <w:sz w:val="16"/>
          <w:szCs w:val="16"/>
          <w:color w:val="auto"/>
        </w:rPr>
        <w:t>Our executive officers are eligible to participate</w:t>
      </w:r>
    </w:p>
    <w:p>
      <w:pPr>
        <w:spacing w:after="0" w:line="6" w:lineRule="exact"/>
        <w:rPr>
          <w:sz w:val="20"/>
          <w:szCs w:val="20"/>
          <w:color w:val="auto"/>
        </w:rPr>
      </w:pPr>
    </w:p>
    <w:tbl>
      <w:tblPr>
        <w:tblLayout w:type="fixed"/>
        <w:tblInd w:w="9" w:type="dxa"/>
        <w:tblCellMar>
          <w:top w:w="0" w:type="dxa"/>
          <w:left w:w="0" w:type="dxa"/>
          <w:bottom w:w="0" w:type="dxa"/>
          <w:right w:w="0" w:type="dxa"/>
        </w:tblCellMar>
      </w:tblPr>
      <w:tr>
        <w:trPr>
          <w:trHeight w:val="185"/>
        </w:trPr>
        <w:tc>
          <w:tcPr>
            <w:tcW w:w="20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35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6"/>
                <w:szCs w:val="16"/>
                <w:color w:val="auto"/>
              </w:rPr>
              <w:t>in our 401(k) plan on the same basis as our</w:t>
            </w:r>
          </w:p>
        </w:tc>
        <w:tc>
          <w:tcPr>
            <w:tcW w:w="1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r>
      <w:tr>
        <w:trPr>
          <w:trHeight w:val="213"/>
        </w:trPr>
        <w:tc>
          <w:tcPr>
            <w:tcW w:w="200" w:type="dxa"/>
            <w:vAlign w:val="bottom"/>
          </w:tcPr>
          <w:p>
            <w:pPr>
              <w:spacing w:after="0"/>
              <w:rPr>
                <w:sz w:val="18"/>
                <w:szCs w:val="18"/>
                <w:color w:val="auto"/>
              </w:rPr>
            </w:pPr>
          </w:p>
        </w:tc>
        <w:tc>
          <w:tcPr>
            <w:tcW w:w="3540" w:type="dxa"/>
            <w:vAlign w:val="bottom"/>
          </w:tcPr>
          <w:p>
            <w:pPr>
              <w:ind w:left="260"/>
              <w:spacing w:after="0"/>
              <w:rPr>
                <w:sz w:val="20"/>
                <w:szCs w:val="20"/>
                <w:color w:val="auto"/>
              </w:rPr>
            </w:pPr>
            <w:r>
              <w:rPr>
                <w:rFonts w:ascii="Arial" w:cs="Arial" w:eastAsia="Arial" w:hAnsi="Arial"/>
                <w:sz w:val="16"/>
                <w:szCs w:val="16"/>
                <w:color w:val="auto"/>
              </w:rPr>
              <w:t>employees generally.</w:t>
            </w:r>
          </w:p>
        </w:tc>
        <w:tc>
          <w:tcPr>
            <w:tcW w:w="180" w:type="dxa"/>
            <w:vAlign w:val="bottom"/>
          </w:tcPr>
          <w:p>
            <w:pPr>
              <w:spacing w:after="0"/>
              <w:rPr>
                <w:sz w:val="18"/>
                <w:szCs w:val="18"/>
                <w:color w:val="auto"/>
              </w:rPr>
            </w:pPr>
          </w:p>
        </w:tc>
      </w:tr>
    </w:tbl>
    <w:p>
      <w:pPr>
        <w:spacing w:after="0" w:line="135" w:lineRule="exact"/>
        <w:rPr>
          <w:sz w:val="20"/>
          <w:szCs w:val="20"/>
          <w:color w:val="auto"/>
        </w:rPr>
      </w:pPr>
    </w:p>
    <w:p>
      <w:pPr>
        <w:ind w:left="469" w:right="579" w:hanging="335"/>
        <w:spacing w:after="0" w:line="248" w:lineRule="auto"/>
        <w:tabs>
          <w:tab w:leader="none" w:pos="469" w:val="left"/>
        </w:tabs>
        <w:numPr>
          <w:ilvl w:val="0"/>
          <w:numId w:val="61"/>
        </w:numPr>
        <w:rPr>
          <w:rFonts w:ascii="Arial" w:cs="Arial" w:eastAsia="Arial" w:hAnsi="Arial"/>
          <w:sz w:val="16"/>
          <w:szCs w:val="16"/>
          <w:color w:val="2A3D6C"/>
        </w:rPr>
      </w:pPr>
      <w:r>
        <w:rPr>
          <w:rFonts w:ascii="Arial" w:cs="Arial" w:eastAsia="Arial" w:hAnsi="Arial"/>
          <w:sz w:val="16"/>
          <w:szCs w:val="16"/>
          <w:color w:val="auto"/>
        </w:rPr>
        <w:t>Our named executive officers (along with other employees at the level of Vice President and above) are entitled to the same health and welfare benefits during employment that are offered to U.S.-based employees generally, except that they are also entitled to executive</w:t>
      </w:r>
    </w:p>
    <w:tbl>
      <w:tblPr>
        <w:tblLayout w:type="fixed"/>
        <w:tblInd w:w="9" w:type="dxa"/>
        <w:tblCellMar>
          <w:top w:w="0" w:type="dxa"/>
          <w:left w:w="0" w:type="dxa"/>
          <w:bottom w:w="0" w:type="dxa"/>
          <w:right w:w="0" w:type="dxa"/>
        </w:tblCellMar>
      </w:tblPr>
      <w:tr>
        <w:trPr>
          <w:trHeight w:val="186"/>
        </w:trPr>
        <w:tc>
          <w:tcPr>
            <w:tcW w:w="20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3600" w:type="dxa"/>
            <w:vAlign w:val="bottom"/>
          </w:tcPr>
          <w:p>
            <w:pPr>
              <w:ind w:left="140"/>
              <w:spacing w:after="0"/>
              <w:rPr>
                <w:sz w:val="20"/>
                <w:szCs w:val="20"/>
                <w:color w:val="auto"/>
              </w:rPr>
            </w:pPr>
            <w:r>
              <w:rPr>
                <w:rFonts w:ascii="Times New Roman" w:cs="Times New Roman" w:eastAsia="Times New Roman" w:hAnsi="Times New Roman"/>
                <w:sz w:val="7"/>
                <w:szCs w:val="7"/>
                <w:color w:val="auto"/>
                <w:vertAlign w:val="subscript"/>
              </w:rPr>
              <w:t>​   ​</w:t>
            </w:r>
            <w:r>
              <w:rPr>
                <w:rFonts w:ascii="Arial" w:cs="Arial" w:eastAsia="Arial" w:hAnsi="Arial"/>
                <w:sz w:val="16"/>
                <w:szCs w:val="16"/>
                <w:color w:val="auto"/>
              </w:rPr>
              <w:t xml:space="preserve">   long-term care, executive supplemental</w:t>
            </w:r>
          </w:p>
        </w:tc>
        <w:tc>
          <w:tcPr>
            <w:tcW w:w="1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r>
      <w:tr>
        <w:trPr>
          <w:trHeight w:val="173"/>
        </w:trPr>
        <w:tc>
          <w:tcPr>
            <w:tcW w:w="200" w:type="dxa"/>
            <w:vAlign w:val="bottom"/>
          </w:tcPr>
          <w:p>
            <w:pPr>
              <w:spacing w:after="0"/>
              <w:rPr>
                <w:sz w:val="15"/>
                <w:szCs w:val="15"/>
                <w:color w:val="auto"/>
              </w:rPr>
            </w:pPr>
          </w:p>
        </w:tc>
        <w:tc>
          <w:tcPr>
            <w:tcW w:w="3600" w:type="dxa"/>
            <w:vAlign w:val="bottom"/>
          </w:tcPr>
          <w:p>
            <w:pPr>
              <w:ind w:left="260"/>
              <w:spacing w:after="0" w:line="174" w:lineRule="exact"/>
              <w:rPr>
                <w:sz w:val="20"/>
                <w:szCs w:val="20"/>
                <w:color w:val="auto"/>
              </w:rPr>
            </w:pPr>
            <w:r>
              <w:rPr>
                <w:rFonts w:ascii="Arial" w:cs="Arial" w:eastAsia="Arial" w:hAnsi="Arial"/>
                <w:sz w:val="16"/>
                <w:szCs w:val="16"/>
                <w:color w:val="auto"/>
              </w:rPr>
              <w:t>disability income insurance, up to $5,000</w:t>
            </w:r>
          </w:p>
        </w:tc>
        <w:tc>
          <w:tcPr>
            <w:tcW w:w="120" w:type="dxa"/>
            <w:vAlign w:val="bottom"/>
          </w:tcPr>
          <w:p>
            <w:pPr>
              <w:spacing w:after="0"/>
              <w:rPr>
                <w:sz w:val="15"/>
                <w:szCs w:val="15"/>
                <w:color w:val="auto"/>
              </w:rPr>
            </w:pPr>
          </w:p>
        </w:tc>
      </w:tr>
      <w:tr>
        <w:trPr>
          <w:trHeight w:val="187"/>
        </w:trPr>
        <w:tc>
          <w:tcPr>
            <w:tcW w:w="200" w:type="dxa"/>
            <w:vAlign w:val="bottom"/>
          </w:tcPr>
          <w:p>
            <w:pPr>
              <w:spacing w:after="0"/>
              <w:rPr>
                <w:sz w:val="16"/>
                <w:szCs w:val="16"/>
                <w:color w:val="auto"/>
              </w:rPr>
            </w:pPr>
          </w:p>
        </w:tc>
        <w:tc>
          <w:tcPr>
            <w:tcW w:w="3600" w:type="dxa"/>
            <w:vAlign w:val="bottom"/>
          </w:tcPr>
          <w:p>
            <w:pPr>
              <w:ind w:left="260"/>
              <w:spacing w:after="0"/>
              <w:rPr>
                <w:sz w:val="20"/>
                <w:szCs w:val="20"/>
                <w:color w:val="auto"/>
              </w:rPr>
            </w:pPr>
            <w:r>
              <w:rPr>
                <w:rFonts w:ascii="Arial" w:cs="Arial" w:eastAsia="Arial" w:hAnsi="Arial"/>
                <w:sz w:val="16"/>
                <w:szCs w:val="16"/>
                <w:color w:val="auto"/>
              </w:rPr>
              <w:t>reimbursement for financial planning services</w:t>
            </w:r>
          </w:p>
        </w:tc>
        <w:tc>
          <w:tcPr>
            <w:tcW w:w="120" w:type="dxa"/>
            <w:vAlign w:val="bottom"/>
          </w:tcPr>
          <w:p>
            <w:pPr>
              <w:spacing w:after="0"/>
              <w:rPr>
                <w:sz w:val="16"/>
                <w:szCs w:val="16"/>
                <w:color w:val="auto"/>
              </w:rPr>
            </w:pPr>
          </w:p>
        </w:tc>
      </w:tr>
      <w:tr>
        <w:trPr>
          <w:trHeight w:val="187"/>
        </w:trPr>
        <w:tc>
          <w:tcPr>
            <w:tcW w:w="200" w:type="dxa"/>
            <w:vAlign w:val="bottom"/>
          </w:tcPr>
          <w:p>
            <w:pPr>
              <w:spacing w:after="0"/>
              <w:rPr>
                <w:sz w:val="16"/>
                <w:szCs w:val="16"/>
                <w:color w:val="auto"/>
              </w:rPr>
            </w:pPr>
          </w:p>
        </w:tc>
        <w:tc>
          <w:tcPr>
            <w:tcW w:w="3600" w:type="dxa"/>
            <w:vAlign w:val="bottom"/>
          </w:tcPr>
          <w:p>
            <w:pPr>
              <w:ind w:left="260"/>
              <w:spacing w:after="0"/>
              <w:rPr>
                <w:sz w:val="20"/>
                <w:szCs w:val="20"/>
                <w:color w:val="auto"/>
              </w:rPr>
            </w:pPr>
            <w:r>
              <w:rPr>
                <w:rFonts w:ascii="Arial" w:cs="Arial" w:eastAsia="Arial" w:hAnsi="Arial"/>
                <w:sz w:val="16"/>
                <w:szCs w:val="16"/>
                <w:color w:val="auto"/>
              </w:rPr>
              <w:t>and payment of premiums for executive life</w:t>
            </w:r>
          </w:p>
        </w:tc>
        <w:tc>
          <w:tcPr>
            <w:tcW w:w="120" w:type="dxa"/>
            <w:vAlign w:val="bottom"/>
          </w:tcPr>
          <w:p>
            <w:pPr>
              <w:spacing w:after="0"/>
              <w:rPr>
                <w:sz w:val="16"/>
                <w:szCs w:val="16"/>
                <w:color w:val="auto"/>
              </w:rPr>
            </w:pPr>
          </w:p>
        </w:tc>
      </w:tr>
      <w:tr>
        <w:trPr>
          <w:trHeight w:val="187"/>
        </w:trPr>
        <w:tc>
          <w:tcPr>
            <w:tcW w:w="200" w:type="dxa"/>
            <w:vAlign w:val="bottom"/>
          </w:tcPr>
          <w:p>
            <w:pPr>
              <w:spacing w:after="0"/>
              <w:rPr>
                <w:sz w:val="16"/>
                <w:szCs w:val="16"/>
                <w:color w:val="auto"/>
              </w:rPr>
            </w:pPr>
          </w:p>
        </w:tc>
        <w:tc>
          <w:tcPr>
            <w:tcW w:w="3600" w:type="dxa"/>
            <w:vAlign w:val="bottom"/>
          </w:tcPr>
          <w:p>
            <w:pPr>
              <w:ind w:left="260"/>
              <w:spacing w:after="0"/>
              <w:rPr>
                <w:sz w:val="20"/>
                <w:szCs w:val="20"/>
                <w:color w:val="auto"/>
              </w:rPr>
            </w:pPr>
            <w:r>
              <w:rPr>
                <w:rFonts w:ascii="Arial" w:cs="Arial" w:eastAsia="Arial" w:hAnsi="Arial"/>
                <w:sz w:val="16"/>
                <w:szCs w:val="16"/>
                <w:color w:val="auto"/>
              </w:rPr>
              <w:t>insurance. Our Senior Vice Presidents and</w:t>
            </w:r>
          </w:p>
        </w:tc>
        <w:tc>
          <w:tcPr>
            <w:tcW w:w="120" w:type="dxa"/>
            <w:vAlign w:val="bottom"/>
          </w:tcPr>
          <w:p>
            <w:pPr>
              <w:spacing w:after="0"/>
              <w:rPr>
                <w:sz w:val="16"/>
                <w:szCs w:val="16"/>
                <w:color w:val="auto"/>
              </w:rPr>
            </w:pPr>
          </w:p>
        </w:tc>
      </w:tr>
      <w:tr>
        <w:trPr>
          <w:trHeight w:val="187"/>
        </w:trPr>
        <w:tc>
          <w:tcPr>
            <w:tcW w:w="200" w:type="dxa"/>
            <w:vAlign w:val="bottom"/>
          </w:tcPr>
          <w:p>
            <w:pPr>
              <w:spacing w:after="0"/>
              <w:rPr>
                <w:sz w:val="16"/>
                <w:szCs w:val="16"/>
                <w:color w:val="auto"/>
              </w:rPr>
            </w:pPr>
          </w:p>
        </w:tc>
        <w:tc>
          <w:tcPr>
            <w:tcW w:w="3600" w:type="dxa"/>
            <w:vAlign w:val="bottom"/>
          </w:tcPr>
          <w:p>
            <w:pPr>
              <w:ind w:left="260"/>
              <w:spacing w:after="0"/>
              <w:rPr>
                <w:sz w:val="20"/>
                <w:szCs w:val="20"/>
                <w:color w:val="auto"/>
              </w:rPr>
            </w:pPr>
            <w:r>
              <w:rPr>
                <w:rFonts w:ascii="Arial" w:cs="Arial" w:eastAsia="Arial" w:hAnsi="Arial"/>
                <w:sz w:val="16"/>
                <w:szCs w:val="16"/>
                <w:color w:val="auto"/>
              </w:rPr>
              <w:t>above (which includes our named executive</w:t>
            </w:r>
          </w:p>
        </w:tc>
        <w:tc>
          <w:tcPr>
            <w:tcW w:w="120" w:type="dxa"/>
            <w:vAlign w:val="bottom"/>
          </w:tcPr>
          <w:p>
            <w:pPr>
              <w:spacing w:after="0"/>
              <w:rPr>
                <w:sz w:val="16"/>
                <w:szCs w:val="16"/>
                <w:color w:val="auto"/>
              </w:rPr>
            </w:pPr>
          </w:p>
        </w:tc>
      </w:tr>
      <w:tr>
        <w:trPr>
          <w:trHeight w:val="187"/>
        </w:trPr>
        <w:tc>
          <w:tcPr>
            <w:tcW w:w="200" w:type="dxa"/>
            <w:vAlign w:val="bottom"/>
          </w:tcPr>
          <w:p>
            <w:pPr>
              <w:spacing w:after="0"/>
              <w:rPr>
                <w:sz w:val="16"/>
                <w:szCs w:val="16"/>
                <w:color w:val="auto"/>
              </w:rPr>
            </w:pPr>
          </w:p>
        </w:tc>
        <w:tc>
          <w:tcPr>
            <w:tcW w:w="3600" w:type="dxa"/>
            <w:vAlign w:val="bottom"/>
          </w:tcPr>
          <w:p>
            <w:pPr>
              <w:ind w:left="260"/>
              <w:spacing w:after="0"/>
              <w:rPr>
                <w:sz w:val="20"/>
                <w:szCs w:val="20"/>
                <w:color w:val="auto"/>
              </w:rPr>
            </w:pPr>
            <w:r>
              <w:rPr>
                <w:rFonts w:ascii="Arial" w:cs="Arial" w:eastAsia="Arial" w:hAnsi="Arial"/>
                <w:sz w:val="16"/>
                <w:szCs w:val="16"/>
                <w:color w:val="auto"/>
              </w:rPr>
              <w:t>officers) are also entitled to annual executive</w:t>
            </w:r>
          </w:p>
        </w:tc>
        <w:tc>
          <w:tcPr>
            <w:tcW w:w="120" w:type="dxa"/>
            <w:vAlign w:val="bottom"/>
          </w:tcPr>
          <w:p>
            <w:pPr>
              <w:spacing w:after="0"/>
              <w:rPr>
                <w:sz w:val="16"/>
                <w:szCs w:val="16"/>
                <w:color w:val="auto"/>
              </w:rPr>
            </w:pPr>
          </w:p>
        </w:tc>
      </w:tr>
      <w:tr>
        <w:trPr>
          <w:trHeight w:val="213"/>
        </w:trPr>
        <w:tc>
          <w:tcPr>
            <w:tcW w:w="200" w:type="dxa"/>
            <w:vAlign w:val="bottom"/>
          </w:tcPr>
          <w:p>
            <w:pPr>
              <w:spacing w:after="0"/>
              <w:rPr>
                <w:sz w:val="18"/>
                <w:szCs w:val="18"/>
                <w:color w:val="auto"/>
              </w:rPr>
            </w:pPr>
          </w:p>
        </w:tc>
        <w:tc>
          <w:tcPr>
            <w:tcW w:w="3600" w:type="dxa"/>
            <w:vAlign w:val="bottom"/>
          </w:tcPr>
          <w:p>
            <w:pPr>
              <w:ind w:left="260"/>
              <w:spacing w:after="0"/>
              <w:rPr>
                <w:sz w:val="20"/>
                <w:szCs w:val="20"/>
                <w:color w:val="auto"/>
              </w:rPr>
            </w:pPr>
            <w:r>
              <w:rPr>
                <w:rFonts w:ascii="Arial" w:cs="Arial" w:eastAsia="Arial" w:hAnsi="Arial"/>
                <w:sz w:val="16"/>
                <w:szCs w:val="16"/>
                <w:color w:val="auto"/>
              </w:rPr>
              <w:t>physicals.</w:t>
            </w:r>
          </w:p>
        </w:tc>
        <w:tc>
          <w:tcPr>
            <w:tcW w:w="120" w:type="dxa"/>
            <w:vAlign w:val="bottom"/>
          </w:tcPr>
          <w:p>
            <w:pPr>
              <w:spacing w:after="0"/>
              <w:rPr>
                <w:sz w:val="18"/>
                <w:szCs w:val="18"/>
                <w:color w:val="auto"/>
              </w:rPr>
            </w:pPr>
          </w:p>
        </w:tc>
      </w:tr>
    </w:tbl>
    <w:p>
      <w:pPr>
        <w:spacing w:after="0" w:line="154" w:lineRule="exact"/>
        <w:rPr>
          <w:sz w:val="20"/>
          <w:szCs w:val="20"/>
          <w:color w:val="auto"/>
        </w:rPr>
      </w:pPr>
    </w:p>
    <w:p>
      <w:pPr>
        <w:sectPr>
          <w:pgSz w:w="11900" w:h="16838" w:orient="portrait"/>
          <w:cols w:equalWidth="0" w:num="3">
            <w:col w:w="2020" w:space="140"/>
            <w:col w:w="2140" w:space="351"/>
            <w:col w:w="4368"/>
          </w:cols>
          <w:pgMar w:left="1440" w:top="262" w:right="1440" w:bottom="1440" w:gutter="0" w:footer="0" w:header="0"/>
          <w:type w:val="continuous"/>
        </w:sectPr>
      </w:pPr>
    </w:p>
    <w:p>
      <w:pPr>
        <w:ind w:left="640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121285</wp:posOffset>
            </wp:positionV>
            <wp:extent cx="693801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-158750</wp:posOffset>
            </wp:positionV>
            <wp:extent cx="594995" cy="170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40" w:name="page41"/>
    <w:bookmarkEnd w:id="40"/>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179" w:lineRule="exact"/>
        <w:rPr>
          <w:sz w:val="20"/>
          <w:szCs w:val="20"/>
          <w:color w:val="auto"/>
        </w:rPr>
      </w:pPr>
    </w:p>
    <w:p>
      <w:pPr>
        <w:ind w:left="320" w:right="359"/>
        <w:spacing w:after="0" w:line="257" w:lineRule="auto"/>
        <w:rPr>
          <w:sz w:val="20"/>
          <w:szCs w:val="20"/>
          <w:color w:val="auto"/>
        </w:rPr>
      </w:pPr>
      <w:r>
        <w:rPr>
          <w:rFonts w:ascii="Arial" w:cs="Arial" w:eastAsia="Arial" w:hAnsi="Arial"/>
          <w:sz w:val="16"/>
          <w:szCs w:val="16"/>
          <w:color w:val="auto"/>
        </w:rPr>
        <w:t>Base salaries represent a relatively modest percentage of total compensation. Our executives have the opportunity to earn a significant portion of their compensation in the form of variable (or “at-risk”) incentive compensation. The portion of each compensation element as a percentage of total direct compensation paid in respect of 2021 to our CEO and the average of such compensation paid to our other named executive officers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154940</wp:posOffset>
            </wp:positionV>
            <wp:extent cx="4786630" cy="23298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86630" cy="232981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Executive Compensation Procedures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Role of the Compensation Committee</w:t>
      </w:r>
    </w:p>
    <w:p>
      <w:pPr>
        <w:spacing w:after="0" w:line="109" w:lineRule="exact"/>
        <w:rPr>
          <w:sz w:val="20"/>
          <w:szCs w:val="20"/>
          <w:color w:val="auto"/>
        </w:rPr>
      </w:pPr>
    </w:p>
    <w:p>
      <w:pPr>
        <w:ind w:left="320" w:right="60"/>
        <w:spacing w:after="0" w:line="246" w:lineRule="auto"/>
        <w:rPr>
          <w:sz w:val="20"/>
          <w:szCs w:val="20"/>
          <w:color w:val="auto"/>
        </w:rPr>
      </w:pPr>
      <w:r>
        <w:rPr>
          <w:rFonts w:ascii="Arial" w:cs="Arial" w:eastAsia="Arial" w:hAnsi="Arial"/>
          <w:sz w:val="16"/>
          <w:szCs w:val="16"/>
          <w:color w:val="auto"/>
        </w:rPr>
        <w:t>Our Compensation Committee is responsible for the approval, evaluation and oversight of our executive officer compensation and equity incentive compensation plans, policies and programs. Compensation Committee members discuss compensation matters with each other outside regularly scheduled meetings. The Compensation Committee may delegate its authority to subcommittees or the Chair of the Compensation Committee when it deems it appropriate and in the best interests of the Company. The Compensation Committee may also delegate to one or more officers of the Company the authority to make equity grants to employees other than our executive officers under the LTIP. As Chair of the Compensation Committee,</w:t>
      </w:r>
    </w:p>
    <w:p>
      <w:pPr>
        <w:ind w:left="320" w:right="760"/>
        <w:spacing w:after="0" w:line="262" w:lineRule="auto"/>
        <w:rPr>
          <w:sz w:val="20"/>
          <w:szCs w:val="20"/>
          <w:color w:val="auto"/>
        </w:rPr>
      </w:pPr>
      <w:r>
        <w:rPr>
          <w:rFonts w:ascii="Arial" w:cs="Arial" w:eastAsia="Arial" w:hAnsi="Arial"/>
          <w:sz w:val="16"/>
          <w:szCs w:val="16"/>
          <w:color w:val="auto"/>
        </w:rPr>
        <w:t>Mr. Ogunlesi reports to the full Board regarding compensation matters.</w:t>
      </w:r>
    </w:p>
    <w:p>
      <w:pPr>
        <w:spacing w:after="0" w:line="64" w:lineRule="exact"/>
        <w:rPr>
          <w:sz w:val="20"/>
          <w:szCs w:val="20"/>
          <w:color w:val="auto"/>
        </w:rPr>
      </w:pPr>
    </w:p>
    <w:p>
      <w:pPr>
        <w:ind w:left="320" w:right="300"/>
        <w:spacing w:after="0" w:line="263" w:lineRule="auto"/>
        <w:rPr>
          <w:sz w:val="20"/>
          <w:szCs w:val="20"/>
          <w:color w:val="auto"/>
        </w:rPr>
      </w:pPr>
      <w:r>
        <w:rPr>
          <w:rFonts w:ascii="Arial" w:cs="Arial" w:eastAsia="Arial" w:hAnsi="Arial"/>
          <w:sz w:val="16"/>
          <w:szCs w:val="16"/>
          <w:color w:val="auto"/>
        </w:rPr>
        <w:t>The Compensation Committee meets outside the presence of our Chief Executive Officer and our other named executive officers to consider the appropriate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39"/>
        <w:spacing w:after="0" w:line="246" w:lineRule="auto"/>
        <w:rPr>
          <w:sz w:val="20"/>
          <w:szCs w:val="20"/>
          <w:color w:val="auto"/>
        </w:rPr>
      </w:pPr>
      <w:r>
        <w:rPr>
          <w:rFonts w:ascii="Arial" w:cs="Arial" w:eastAsia="Arial" w:hAnsi="Arial"/>
          <w:sz w:val="16"/>
          <w:szCs w:val="16"/>
          <w:color w:val="auto"/>
        </w:rPr>
        <w:t>compensation for our Chief Executive Officer. The Compensation Committee analyzes the performance of our Chief Executive Officer and determines his base salary, any annual cash bonus and any grant of equity-based awards. For all other named executive officers, the Compensation Committee meets outside the presence of the named executive officers, except our Chief Executive Officer. Our Chief Executive Officer reviews the performance of each named executive officer (other than himself) with the Compensation Committee and makes recommendations to the Compensation Committee on the appropriate base salary, any annual bonus and any grant of equity-based awards. Our Chief Executive Officer has no role in the decision-making process for determining his compensation. For more on the Compensation Committee’s responsibilities, see “Board of Directors, Board Meetings and Committees— Committees of the Board of Directors—Compensation Committee” above.</w:t>
      </w:r>
    </w:p>
    <w:p>
      <w:pPr>
        <w:spacing w:after="0" w:line="241" w:lineRule="exact"/>
        <w:rPr>
          <w:sz w:val="20"/>
          <w:szCs w:val="20"/>
          <w:color w:val="auto"/>
        </w:rPr>
      </w:pPr>
    </w:p>
    <w:p>
      <w:pPr>
        <w:sectPr>
          <w:pgSz w:w="11900" w:h="16838" w:orient="portrait"/>
          <w:cols w:equalWidth="0" w:num="2">
            <w:col w:w="4420" w:space="20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Role of Compensation Consultant</w:t>
      </w:r>
    </w:p>
    <w:p>
      <w:pPr>
        <w:spacing w:after="0" w:line="129" w:lineRule="exact"/>
        <w:rPr>
          <w:sz w:val="20"/>
          <w:szCs w:val="20"/>
          <w:color w:val="auto"/>
        </w:rPr>
      </w:pPr>
    </w:p>
    <w:p>
      <w:pPr>
        <w:ind w:left="320"/>
        <w:spacing w:after="0" w:line="263" w:lineRule="auto"/>
        <w:rPr>
          <w:sz w:val="20"/>
          <w:szCs w:val="20"/>
          <w:color w:val="auto"/>
        </w:rPr>
      </w:pPr>
      <w:r>
        <w:rPr>
          <w:rFonts w:ascii="Arial" w:cs="Arial" w:eastAsia="Arial" w:hAnsi="Arial"/>
          <w:sz w:val="16"/>
          <w:szCs w:val="16"/>
          <w:color w:val="auto"/>
        </w:rPr>
        <w:t>Since 2011, the Compensation Committee has engaged Meridian to provide independent advice on executive compensation trends and issues,</w:t>
      </w:r>
    </w:p>
    <w:p>
      <w:pPr>
        <w:spacing w:after="0" w:line="85"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36</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920" w:type="dxa"/>
            <w:vAlign w:val="bottom"/>
            <w:vMerge w:val="continue"/>
          </w:tcPr>
          <w:p>
            <w:pPr>
              <w:spacing w:after="0"/>
              <w:rPr>
                <w:sz w:val="23"/>
                <w:szCs w:val="23"/>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-176530</wp:posOffset>
            </wp:positionV>
            <wp:extent cx="594995" cy="1701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539"/>
        <w:spacing w:after="0" w:line="282" w:lineRule="auto"/>
        <w:rPr>
          <w:sz w:val="20"/>
          <w:szCs w:val="20"/>
          <w:color w:val="auto"/>
        </w:rPr>
      </w:pPr>
      <w:r>
        <w:rPr>
          <w:rFonts w:ascii="Arial" w:cs="Arial" w:eastAsia="Arial" w:hAnsi="Arial"/>
          <w:sz w:val="16"/>
          <w:szCs w:val="16"/>
          <w:color w:val="auto"/>
        </w:rPr>
        <w:t>compensation practices within the oil and gas industry, and the design and structure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618490</wp:posOffset>
            </wp:positionV>
            <wp:extent cx="693801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2">
            <w:col w:w="4300" w:space="320"/>
            <w:col w:w="4399"/>
          </w:cols>
          <w:pgMar w:left="1440" w:top="262" w:right="1440" w:bottom="1440" w:gutter="0" w:footer="0" w:header="0"/>
          <w:type w:val="continuous"/>
        </w:sectPr>
      </w:pPr>
    </w:p>
    <w:bookmarkStart w:id="41" w:name="page42"/>
    <w:bookmarkEnd w:id="41"/>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right"/>
        <w:ind w:right="339"/>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26" w:lineRule="exact"/>
        <w:rPr>
          <w:sz w:val="20"/>
          <w:szCs w:val="20"/>
          <w:color w:val="auto"/>
        </w:rPr>
      </w:pPr>
    </w:p>
    <w:p>
      <w:pPr>
        <w:ind w:left="320" w:right="80"/>
        <w:spacing w:after="0" w:line="263" w:lineRule="auto"/>
        <w:rPr>
          <w:sz w:val="20"/>
          <w:szCs w:val="20"/>
          <w:color w:val="auto"/>
        </w:rPr>
      </w:pPr>
      <w:r>
        <w:rPr>
          <w:rFonts w:ascii="Arial" w:cs="Arial" w:eastAsia="Arial" w:hAnsi="Arial"/>
          <w:sz w:val="16"/>
          <w:szCs w:val="16"/>
          <w:color w:val="auto"/>
        </w:rPr>
        <w:t>executive compensation programs. Meridian has also provided similar information and input regarding outside director compensation.</w:t>
      </w:r>
    </w:p>
    <w:p>
      <w:pPr>
        <w:spacing w:after="0" w:line="65" w:lineRule="exact"/>
        <w:rPr>
          <w:sz w:val="20"/>
          <w:szCs w:val="20"/>
          <w:color w:val="auto"/>
        </w:rPr>
      </w:pPr>
    </w:p>
    <w:p>
      <w:pPr>
        <w:ind w:left="320"/>
        <w:spacing w:after="0" w:line="248" w:lineRule="auto"/>
        <w:rPr>
          <w:sz w:val="20"/>
          <w:szCs w:val="20"/>
          <w:color w:val="auto"/>
        </w:rPr>
      </w:pPr>
      <w:r>
        <w:rPr>
          <w:rFonts w:ascii="Arial" w:cs="Arial" w:eastAsia="Arial" w:hAnsi="Arial"/>
          <w:sz w:val="16"/>
          <w:szCs w:val="16"/>
          <w:color w:val="auto"/>
        </w:rPr>
        <w:t>Meridian reports directly and exclusively to the Compensation Committee, and at the Compensation Committee’s direction Meridian works with management to review or prepare materials for the Compensation Committee’s consideration. Meridian did not provide any other services to the Company or our management in 2021. Meridian participated in several conversations with the Compensation Committee and Committee Chair in 2021 and early 2022 and developed materials for the Compensation Committee’s consideration at meetings.</w:t>
      </w:r>
    </w:p>
    <w:p>
      <w:pPr>
        <w:spacing w:after="0" w:line="80" w:lineRule="exact"/>
        <w:rPr>
          <w:sz w:val="20"/>
          <w:szCs w:val="20"/>
          <w:color w:val="auto"/>
        </w:rPr>
      </w:pPr>
    </w:p>
    <w:p>
      <w:pPr>
        <w:ind w:left="320" w:right="60"/>
        <w:spacing w:after="0" w:line="263" w:lineRule="auto"/>
        <w:rPr>
          <w:sz w:val="20"/>
          <w:szCs w:val="20"/>
          <w:color w:val="auto"/>
        </w:rPr>
      </w:pPr>
      <w:r>
        <w:rPr>
          <w:rFonts w:ascii="Arial" w:cs="Arial" w:eastAsia="Arial" w:hAnsi="Arial"/>
          <w:sz w:val="16"/>
          <w:szCs w:val="16"/>
          <w:color w:val="auto"/>
        </w:rPr>
        <w:t>Meridian provided current information on industry compensation trends and practices and their application to Kosmos for the Company and the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359"/>
        <w:spacing w:after="0" w:line="250" w:lineRule="auto"/>
        <w:rPr>
          <w:sz w:val="20"/>
          <w:szCs w:val="20"/>
          <w:color w:val="auto"/>
        </w:rPr>
      </w:pPr>
      <w:r>
        <w:rPr>
          <w:rFonts w:ascii="Arial" w:cs="Arial" w:eastAsia="Arial" w:hAnsi="Arial"/>
          <w:sz w:val="16"/>
          <w:szCs w:val="16"/>
          <w:color w:val="auto"/>
        </w:rPr>
        <w:t>Compensation Committee to consider regarding compensation levels and incentive compensation design. Meridian provided an update to the Compensation Committee concerning recent executive compensation trends in the oil and gas exploration and production industry as context for the Compensation Committee’s annual compensation review.</w:t>
      </w:r>
    </w:p>
    <w:p>
      <w:pPr>
        <w:spacing w:after="0" w:line="78" w:lineRule="exact"/>
        <w:rPr>
          <w:sz w:val="20"/>
          <w:szCs w:val="20"/>
          <w:color w:val="auto"/>
        </w:rPr>
      </w:pPr>
    </w:p>
    <w:p>
      <w:pPr>
        <w:ind w:right="379"/>
        <w:spacing w:after="0" w:line="248" w:lineRule="auto"/>
        <w:rPr>
          <w:sz w:val="20"/>
          <w:szCs w:val="20"/>
          <w:color w:val="auto"/>
        </w:rPr>
      </w:pPr>
      <w:r>
        <w:rPr>
          <w:rFonts w:ascii="Arial" w:cs="Arial" w:eastAsia="Arial" w:hAnsi="Arial"/>
          <w:sz w:val="16"/>
          <w:szCs w:val="16"/>
          <w:color w:val="auto"/>
        </w:rPr>
        <w:t>For 2021, Meridian provided the Compensation Committee with information necessary for an evaluation of its independence in accordance with Section 10C-1 of the Exchange Act to determine whether a potential conflict of interest might arise in connection with advising the Compensation Committee. After reviewing the information provided, the Compensation Committee concluded that the advice provided by Meridian is independent and no conflicts or potential conflicts of interest exist.</w:t>
      </w:r>
    </w:p>
    <w:p>
      <w:pPr>
        <w:spacing w:after="0" w:line="115" w:lineRule="exact"/>
        <w:rPr>
          <w:sz w:val="20"/>
          <w:szCs w:val="20"/>
          <w:color w:val="auto"/>
        </w:rPr>
      </w:pPr>
    </w:p>
    <w:p>
      <w:pPr>
        <w:sectPr>
          <w:pgSz w:w="11900" w:h="16838" w:orient="portrait"/>
          <w:cols w:equalWidth="0" w:num="2">
            <w:col w:w="4360" w:space="26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Compensation Benchmarking</w:t>
      </w:r>
    </w:p>
    <w:p>
      <w:pPr>
        <w:spacing w:after="0" w:line="129" w:lineRule="exact"/>
        <w:rPr>
          <w:sz w:val="20"/>
          <w:szCs w:val="20"/>
          <w:color w:val="auto"/>
        </w:rPr>
      </w:pPr>
    </w:p>
    <w:p>
      <w:pPr>
        <w:ind w:left="320"/>
        <w:spacing w:after="0" w:line="254" w:lineRule="auto"/>
        <w:rPr>
          <w:sz w:val="20"/>
          <w:szCs w:val="20"/>
          <w:color w:val="auto"/>
        </w:rPr>
      </w:pPr>
      <w:r>
        <w:rPr>
          <w:rFonts w:ascii="Arial" w:cs="Arial" w:eastAsia="Arial" w:hAnsi="Arial"/>
          <w:sz w:val="16"/>
          <w:szCs w:val="16"/>
          <w:color w:val="auto"/>
        </w:rPr>
        <w:t>The Compensation Committee occasionally uses industry peer compensation data as a reference for pay levels and practices and considers such data relevant to, but not determinative of, its consideration of overall executive compensation matters.</w:t>
      </w:r>
    </w:p>
    <w:p>
      <w:pPr>
        <w:spacing w:after="0" w:line="71" w:lineRule="exact"/>
        <w:rPr>
          <w:sz w:val="20"/>
          <w:szCs w:val="20"/>
          <w:color w:val="auto"/>
        </w:rPr>
      </w:pPr>
    </w:p>
    <w:p>
      <w:pPr>
        <w:ind w:left="320" w:right="80"/>
        <w:spacing w:after="0" w:line="252" w:lineRule="auto"/>
        <w:rPr>
          <w:sz w:val="20"/>
          <w:szCs w:val="20"/>
          <w:color w:val="auto"/>
        </w:rPr>
      </w:pPr>
      <w:r>
        <w:rPr>
          <w:rFonts w:ascii="Arial" w:cs="Arial" w:eastAsia="Arial" w:hAnsi="Arial"/>
          <w:sz w:val="16"/>
          <w:szCs w:val="16"/>
          <w:color w:val="auto"/>
        </w:rPr>
        <w:t xml:space="preserve">In 2021, Meridian referenced compensation data collected in its proprietary industry survey of 34 North American exploration and production companies, and policies and practices researched across the industry in general. For a list of the surveyed companies, see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Proxy Statement.</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399"/>
        <w:spacing w:after="0" w:line="248" w:lineRule="auto"/>
        <w:rPr>
          <w:sz w:val="20"/>
          <w:szCs w:val="20"/>
          <w:color w:val="auto"/>
        </w:rPr>
      </w:pPr>
      <w:r>
        <w:rPr>
          <w:rFonts w:ascii="Arial" w:cs="Arial" w:eastAsia="Arial" w:hAnsi="Arial"/>
          <w:sz w:val="16"/>
          <w:szCs w:val="16"/>
          <w:color w:val="auto"/>
        </w:rPr>
        <w:t>The Compensation Committee has noted that surveyed industry companies vary in size and scope, operate in different geological basins and generally have less focus on deepwater operations than does Kosmos. In general, Kosmos competes with these companies for talent, and the Committee believes that they are currently appropriate for executive compensation comparison. When considering executive compensation decisions, the Committee takes into consideration the differences and similarities between Kosmos and any data from the surveyed companies.</w:t>
      </w:r>
    </w:p>
    <w:p>
      <w:pPr>
        <w:spacing w:after="0" w:line="233" w:lineRule="exact"/>
        <w:rPr>
          <w:sz w:val="20"/>
          <w:szCs w:val="20"/>
          <w:color w:val="auto"/>
        </w:rPr>
      </w:pPr>
    </w:p>
    <w:p>
      <w:pPr>
        <w:sectPr>
          <w:pgSz w:w="11900" w:h="16838" w:orient="portrait"/>
          <w:cols w:equalWidth="0" w:num="2">
            <w:col w:w="4360" w:space="26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Advisory Vote to Approve Named Executive Officer Compensation</w:t>
      </w:r>
    </w:p>
    <w:p>
      <w:pPr>
        <w:sectPr>
          <w:pgSz w:w="11900" w:h="16838" w:orient="portrait"/>
          <w:cols w:equalWidth="0" w:num="1">
            <w:col w:w="9019"/>
          </w:cols>
          <w:pgMar w:left="1440" w:top="262" w:right="1440" w:bottom="1440" w:gutter="0" w:footer="0" w:header="0"/>
          <w:type w:val="continuous"/>
        </w:sectPr>
      </w:pPr>
    </w:p>
    <w:p>
      <w:pPr>
        <w:spacing w:after="0" w:line="129" w:lineRule="exact"/>
        <w:rPr>
          <w:sz w:val="20"/>
          <w:szCs w:val="20"/>
          <w:color w:val="auto"/>
        </w:rPr>
      </w:pPr>
    </w:p>
    <w:p>
      <w:pPr>
        <w:ind w:left="320"/>
        <w:spacing w:after="0" w:line="248" w:lineRule="auto"/>
        <w:rPr>
          <w:sz w:val="20"/>
          <w:szCs w:val="20"/>
          <w:color w:val="auto"/>
        </w:rPr>
      </w:pPr>
      <w:r>
        <w:rPr>
          <w:rFonts w:ascii="Arial" w:cs="Arial" w:eastAsia="Arial" w:hAnsi="Arial"/>
          <w:sz w:val="16"/>
          <w:szCs w:val="16"/>
          <w:color w:val="auto"/>
        </w:rPr>
        <w:t>At our 2021 annual stockholders meeting, approximately 97% of votes cast, on an advisory basis, were in favor of our named executive officer compensation. As such, the Compensation Committee believes that our stockholders are largely satisfied with our existing named executive officer compensation program. Based on this result and our ongoing review of our compensation policies and decisions, we believe that our existing compensation program effectively aligns the interests of our named executive officers with stockholder interests and our long-term goals.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479"/>
        <w:spacing w:after="0" w:line="263" w:lineRule="auto"/>
        <w:rPr>
          <w:sz w:val="20"/>
          <w:szCs w:val="20"/>
          <w:color w:val="auto"/>
        </w:rPr>
      </w:pPr>
      <w:r>
        <w:rPr>
          <w:rFonts w:ascii="Arial" w:cs="Arial" w:eastAsia="Arial" w:hAnsi="Arial"/>
          <w:sz w:val="16"/>
          <w:szCs w:val="16"/>
          <w:color w:val="auto"/>
        </w:rPr>
        <w:t>Nevertheless, we continually consider ways to modify our executive compensation program to strengthen this alignment of interests.</w:t>
      </w:r>
    </w:p>
    <w:p>
      <w:pPr>
        <w:spacing w:after="0" w:line="65" w:lineRule="exact"/>
        <w:rPr>
          <w:sz w:val="20"/>
          <w:szCs w:val="20"/>
          <w:color w:val="auto"/>
        </w:rPr>
      </w:pPr>
    </w:p>
    <w:p>
      <w:pPr>
        <w:ind w:right="379"/>
        <w:spacing w:after="0" w:line="250" w:lineRule="auto"/>
        <w:rPr>
          <w:sz w:val="20"/>
          <w:szCs w:val="20"/>
          <w:color w:val="auto"/>
        </w:rPr>
      </w:pPr>
      <w:r>
        <w:rPr>
          <w:rFonts w:ascii="Arial" w:cs="Arial" w:eastAsia="Arial" w:hAnsi="Arial"/>
          <w:sz w:val="16"/>
          <w:szCs w:val="16"/>
          <w:color w:val="auto"/>
        </w:rPr>
        <w:t>Our stockholders will have an opportunity again this year to vote, on an advisory basis, on our named executive officer compensation. The Compensation Committee will carefully consider the results of this year’s stockholder vote, along with all stockholder views on our compensation programs that are communicated to us, when making future compensation decisions for our named executive officers.</w:t>
      </w:r>
    </w:p>
    <w:p>
      <w:pPr>
        <w:spacing w:after="0" w:line="66" w:lineRule="exact"/>
        <w:rPr>
          <w:sz w:val="20"/>
          <w:szCs w:val="20"/>
          <w:color w:val="auto"/>
        </w:rPr>
      </w:pPr>
    </w:p>
    <w:p>
      <w:pPr>
        <w:sectPr>
          <w:pgSz w:w="11900" w:h="16838" w:orient="portrait"/>
          <w:cols w:equalWidth="0" w:num="2">
            <w:col w:w="4360" w:space="260"/>
            <w:col w:w="4399"/>
          </w:cols>
          <w:pgMar w:left="1440" w:top="262" w:right="1440" w:bottom="1440" w:gutter="0" w:footer="0" w:header="0"/>
          <w:type w:val="continuous"/>
        </w:sectPr>
      </w:pPr>
    </w:p>
    <w:p>
      <w:pPr>
        <w:ind w:left="640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130175</wp:posOffset>
            </wp:positionV>
            <wp:extent cx="693801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-149860</wp:posOffset>
            </wp:positionV>
            <wp:extent cx="594995" cy="170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42" w:name="page43"/>
    <w:bookmarkEnd w:id="42"/>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Analysis of 2021 Executive Compensation Decisions</w:t>
      </w:r>
    </w:p>
    <w:p>
      <w:pPr>
        <w:sectPr>
          <w:pgSz w:w="11900" w:h="16838" w:orient="portrait"/>
          <w:cols w:equalWidth="0" w:num="1">
            <w:col w:w="9019"/>
          </w:cols>
          <w:pgMar w:left="1440" w:top="262" w:right="1440" w:bottom="1440" w:gutter="0" w:footer="0" w:header="0"/>
        </w:sectPr>
      </w:pPr>
    </w:p>
    <w:p>
      <w:pPr>
        <w:spacing w:after="0" w:line="131"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Equity Incentive Awards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Equity Compensation Overview</w:t>
      </w:r>
    </w:p>
    <w:p>
      <w:pPr>
        <w:spacing w:after="0" w:line="119" w:lineRule="exact"/>
        <w:rPr>
          <w:sz w:val="20"/>
          <w:szCs w:val="20"/>
          <w:color w:val="auto"/>
        </w:rPr>
      </w:pPr>
    </w:p>
    <w:p>
      <w:pPr>
        <w:ind w:left="320"/>
        <w:spacing w:after="0" w:line="283" w:lineRule="auto"/>
        <w:rPr>
          <w:sz w:val="20"/>
          <w:szCs w:val="20"/>
          <w:color w:val="auto"/>
        </w:rPr>
      </w:pPr>
      <w:r>
        <w:rPr>
          <w:rFonts w:ascii="Arial" w:cs="Arial" w:eastAsia="Arial" w:hAnsi="Arial"/>
          <w:sz w:val="16"/>
          <w:szCs w:val="16"/>
          <w:color w:val="auto"/>
        </w:rPr>
        <w:t>Our equity compensation program is designed to align our executives’ interests with those of our stockholders by motivating our executives to contribute significantly to the Company’s success and to create long-term stockholder value. We believe that a performance-driven, team-based culture is crucial to our future success. Therefore, we grant equity awards to all of our U.S.-based employees to align their interests with those of our stockholders and to expose them to the same upside and downside risks as our stockholders.</w:t>
      </w:r>
    </w:p>
    <w:p>
      <w:pPr>
        <w:spacing w:after="0" w:line="53" w:lineRule="exact"/>
        <w:rPr>
          <w:sz w:val="20"/>
          <w:szCs w:val="20"/>
          <w:color w:val="auto"/>
        </w:rPr>
      </w:pPr>
    </w:p>
    <w:p>
      <w:pPr>
        <w:ind w:left="320" w:right="60"/>
        <w:spacing w:after="0" w:line="273" w:lineRule="auto"/>
        <w:rPr>
          <w:sz w:val="20"/>
          <w:szCs w:val="20"/>
          <w:color w:val="auto"/>
        </w:rPr>
      </w:pPr>
      <w:r>
        <w:rPr>
          <w:rFonts w:ascii="Arial" w:cs="Arial" w:eastAsia="Arial" w:hAnsi="Arial"/>
          <w:sz w:val="16"/>
          <w:szCs w:val="16"/>
          <w:color w:val="auto"/>
        </w:rPr>
        <w:t>We have historically granted equity awards under our LTIP in the form of RSUs and PSUs. We believe that these equity awards incentivize our employees to work toward our continued success and motivate their retention with the Company. The awards align the interests of our employees with those of our stockholders, as the ultimate value received depends on the share price on the vesting date and, in the case of PSUs, the level of attainment of the multi-year 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19"/>
        <w:spacing w:after="0" w:line="252" w:lineRule="auto"/>
        <w:rPr>
          <w:sz w:val="20"/>
          <w:szCs w:val="20"/>
          <w:color w:val="auto"/>
        </w:rPr>
      </w:pPr>
      <w:r>
        <w:rPr>
          <w:rFonts w:ascii="Arial" w:cs="Arial" w:eastAsia="Arial" w:hAnsi="Arial"/>
          <w:sz w:val="16"/>
          <w:szCs w:val="16"/>
          <w:color w:val="auto"/>
        </w:rPr>
        <w:t>shareholder return (TSR) performance goal. In addition, while grants of RSUs do not have explicit performance-vesting conditions, due to the nature of the risks of the industry in which we operate, the ultimate value realized from RSUs depends significantly on our future operating performance.</w:t>
      </w:r>
    </w:p>
    <w:p>
      <w:pPr>
        <w:spacing w:after="0" w:line="59" w:lineRule="exact"/>
        <w:rPr>
          <w:sz w:val="20"/>
          <w:szCs w:val="20"/>
          <w:color w:val="auto"/>
        </w:rPr>
      </w:pPr>
    </w:p>
    <w:p>
      <w:pPr>
        <w:ind w:right="379"/>
        <w:spacing w:after="0" w:line="272" w:lineRule="auto"/>
        <w:rPr>
          <w:sz w:val="20"/>
          <w:szCs w:val="20"/>
          <w:color w:val="auto"/>
        </w:rPr>
      </w:pPr>
      <w:r>
        <w:rPr>
          <w:rFonts w:ascii="Arial" w:cs="Arial" w:eastAsia="Arial" w:hAnsi="Arial"/>
          <w:sz w:val="16"/>
          <w:szCs w:val="16"/>
          <w:color w:val="auto"/>
        </w:rPr>
        <w:t>We typically grant equity awards as part of our annual and new hire equity grant process. Our Compensation Committee grants annual equity awards in January of each year, which enables our Compensation Committee to make comprehensive compensation decisions for our executives after the end of each year (contemporaneous with decisions regarding the payment of annual bonuses and any base salary adjustments).</w:t>
      </w:r>
    </w:p>
    <w:p>
      <w:pPr>
        <w:spacing w:after="0" w:line="59" w:lineRule="exact"/>
        <w:rPr>
          <w:sz w:val="20"/>
          <w:szCs w:val="20"/>
          <w:color w:val="auto"/>
        </w:rPr>
      </w:pPr>
    </w:p>
    <w:p>
      <w:pPr>
        <w:ind w:right="499"/>
        <w:spacing w:after="0" w:line="280" w:lineRule="auto"/>
        <w:rPr>
          <w:sz w:val="20"/>
          <w:szCs w:val="20"/>
          <w:color w:val="auto"/>
        </w:rPr>
      </w:pPr>
      <w:r>
        <w:rPr>
          <w:rFonts w:ascii="Arial" w:cs="Arial" w:eastAsia="Arial" w:hAnsi="Arial"/>
          <w:sz w:val="16"/>
          <w:szCs w:val="16"/>
          <w:color w:val="auto"/>
        </w:rPr>
        <w:t>All of the outstanding equity awards held by our named executive officers are subject to our Compensation Recoupment Policy (discussed in more detail in “— Compensation Recoupment Policy” below).</w:t>
      </w:r>
    </w:p>
    <w:p>
      <w:pPr>
        <w:spacing w:after="0" w:line="395" w:lineRule="exact"/>
        <w:rPr>
          <w:sz w:val="20"/>
          <w:szCs w:val="20"/>
          <w:color w:val="auto"/>
        </w:rPr>
      </w:pPr>
    </w:p>
    <w:p>
      <w:pPr>
        <w:sectPr>
          <w:pgSz w:w="11900" w:h="16838" w:orient="portrait"/>
          <w:cols w:equalWidth="0" w:num="2">
            <w:col w:w="4380" w:space="24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18"/>
          <w:szCs w:val="18"/>
          <w:u w:val="single" w:color="auto"/>
          <w:color w:val="auto"/>
        </w:rPr>
        <w:t>2021 Annual Equity Awards</w:t>
      </w:r>
    </w:p>
    <w:p>
      <w:pPr>
        <w:spacing w:after="0" w:line="119" w:lineRule="exact"/>
        <w:rPr>
          <w:sz w:val="20"/>
          <w:szCs w:val="20"/>
          <w:color w:val="auto"/>
        </w:rPr>
      </w:pPr>
    </w:p>
    <w:p>
      <w:pPr>
        <w:ind w:left="320" w:right="20"/>
        <w:spacing w:after="0" w:line="287" w:lineRule="auto"/>
        <w:rPr>
          <w:sz w:val="20"/>
          <w:szCs w:val="20"/>
          <w:color w:val="auto"/>
        </w:rPr>
      </w:pPr>
      <w:r>
        <w:rPr>
          <w:rFonts w:ascii="Arial" w:cs="Arial" w:eastAsia="Arial" w:hAnsi="Arial"/>
          <w:sz w:val="16"/>
          <w:szCs w:val="16"/>
          <w:color w:val="auto"/>
        </w:rPr>
        <w:t>In light of the unprecedented challenges we faced due to volatility in worldwide oil prices and the COVID-19 pandemic and the related determination by the Compensation Committee not to pay annual cash bonuses to our executive officers for the 2020 performance year, in early 2021, the Compensation Committee determined to increase the total equity incentive award share quantum for the equity awards granted to our named executive officers in 2021. The total equity award quantum for 2021 included a flat year-on-year share allocation of base annual RSUs and PSUs, plus an additional one-off award of PSUs. As a result, our named executive officers’ mix of equity incentive awards for 2021 was approximately 85% in the form of PSUs and 15% in the form of RSUs.</w:t>
      </w:r>
    </w:p>
    <w:p>
      <w:pPr>
        <w:spacing w:after="0" w:line="74" w:lineRule="exact"/>
        <w:rPr>
          <w:sz w:val="20"/>
          <w:szCs w:val="20"/>
          <w:color w:val="auto"/>
        </w:rPr>
      </w:pPr>
    </w:p>
    <w:p>
      <w:pPr>
        <w:ind w:left="320"/>
        <w:spacing w:after="0" w:line="288" w:lineRule="auto"/>
        <w:rPr>
          <w:sz w:val="20"/>
          <w:szCs w:val="20"/>
          <w:color w:val="auto"/>
        </w:rPr>
      </w:pPr>
      <w:r>
        <w:rPr>
          <w:rFonts w:ascii="Arial" w:cs="Arial" w:eastAsia="Arial" w:hAnsi="Arial"/>
          <w:sz w:val="16"/>
          <w:szCs w:val="16"/>
          <w:color w:val="auto"/>
        </w:rPr>
        <w:t>The one-off additional grant of PSUs in 2021 was made to incentivize and retain the key leaders of our business (including each of our named executive officers) who are critical to the Company’s long-term plan execution and to partially compensate them for the lack of a 2020 cash bonus as a result of a challenging business environment. Despite the one-off award of PSUs granted in 2021, the aggregate grant date value of the 2021 equity awards granted to</w:t>
      </w:r>
    </w:p>
    <w:p>
      <w:pPr>
        <w:spacing w:after="0" w:line="82"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38</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80"/>
        </w:trPr>
        <w:tc>
          <w:tcPr>
            <w:tcW w:w="920" w:type="dxa"/>
            <w:vAlign w:val="bottom"/>
            <w:vMerge w:val="continue"/>
          </w:tcPr>
          <w:p>
            <w:pPr>
              <w:spacing w:after="0"/>
              <w:rPr>
                <w:sz w:val="24"/>
                <w:szCs w:val="24"/>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right="539"/>
        <w:spacing w:after="0" w:line="263" w:lineRule="auto"/>
        <w:rPr>
          <w:sz w:val="20"/>
          <w:szCs w:val="20"/>
          <w:color w:val="auto"/>
        </w:rPr>
      </w:pPr>
      <w:r>
        <w:rPr>
          <w:rFonts w:ascii="Arial" w:cs="Arial" w:eastAsia="Arial" w:hAnsi="Arial"/>
          <w:sz w:val="16"/>
          <w:szCs w:val="16"/>
          <w:color w:val="auto"/>
        </w:rPr>
        <w:t>our named executive officers remained consistent with the value of annual equity awards granted in recent years to our named executive officers.</w:t>
      </w:r>
    </w:p>
    <w:p>
      <w:pPr>
        <w:spacing w:after="0" w:line="78" w:lineRule="exact"/>
        <w:rPr>
          <w:sz w:val="20"/>
          <w:szCs w:val="20"/>
          <w:color w:val="auto"/>
        </w:rPr>
      </w:pPr>
    </w:p>
    <w:p>
      <w:pPr>
        <w:ind w:right="359"/>
        <w:spacing w:after="0" w:line="289" w:lineRule="auto"/>
        <w:rPr>
          <w:sz w:val="20"/>
          <w:szCs w:val="20"/>
          <w:color w:val="auto"/>
        </w:rPr>
      </w:pPr>
      <w:r>
        <w:rPr>
          <w:rFonts w:ascii="Arial" w:cs="Arial" w:eastAsia="Arial" w:hAnsi="Arial"/>
          <w:sz w:val="16"/>
          <w:szCs w:val="16"/>
          <w:b w:val="1"/>
          <w:bCs w:val="1"/>
          <w:i w:val="1"/>
          <w:iCs w:val="1"/>
          <w:color w:val="auto"/>
        </w:rPr>
        <w:t xml:space="preserve">2021 RSUs. </w:t>
      </w:r>
      <w:r>
        <w:rPr>
          <w:rFonts w:ascii="Arial" w:cs="Arial" w:eastAsia="Arial" w:hAnsi="Arial"/>
          <w:sz w:val="16"/>
          <w:szCs w:val="16"/>
          <w:color w:val="auto"/>
        </w:rPr>
        <w:t>RSUs are inherently aligned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of our stockholders because their ultimate value is directly linked to future appreciation in our share price. RSUs also increase the retentive value of our overall executive compensation program. The annual RSU awards granted to our named executive officers in 2021 vest one-third each year over three years based on continued service.</w:t>
      </w:r>
    </w:p>
    <w:p>
      <w:pPr>
        <w:spacing w:after="0" w:line="75" w:lineRule="exact"/>
        <w:rPr>
          <w:sz w:val="20"/>
          <w:szCs w:val="20"/>
          <w:color w:val="auto"/>
        </w:rPr>
      </w:pPr>
    </w:p>
    <w:p>
      <w:pPr>
        <w:ind w:right="399"/>
        <w:spacing w:after="0" w:line="303" w:lineRule="auto"/>
        <w:rPr>
          <w:sz w:val="20"/>
          <w:szCs w:val="20"/>
          <w:color w:val="auto"/>
        </w:rPr>
      </w:pPr>
      <w:r>
        <w:rPr>
          <w:rFonts w:ascii="Arial" w:cs="Arial" w:eastAsia="Arial" w:hAnsi="Arial"/>
          <w:sz w:val="15"/>
          <w:szCs w:val="15"/>
          <w:b w:val="1"/>
          <w:bCs w:val="1"/>
          <w:i w:val="1"/>
          <w:iCs w:val="1"/>
          <w:color w:val="auto"/>
        </w:rPr>
        <w:t xml:space="preserve">2021 PSUs. </w:t>
      </w:r>
      <w:r>
        <w:rPr>
          <w:rFonts w:ascii="Arial" w:cs="Arial" w:eastAsia="Arial" w:hAnsi="Arial"/>
          <w:sz w:val="15"/>
          <w:szCs w:val="15"/>
          <w:color w:val="auto"/>
        </w:rPr>
        <w:t>The PSUs granted in 2021 require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attainment of both a service and a performance condition. The service condition is attained one-third each year over three years, and the performance condition is attained over a three year performance period (as specified below) based on achievement of specified relative TSR performance goal. The attainment of the performance condition will be determined on the last day of the three-year performance period based on our TSR as compared to the TSR of a specified group of industry “performance peer” companies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791845</wp:posOffset>
            </wp:positionV>
            <wp:extent cx="693801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2">
            <w:col w:w="4380" w:space="240"/>
            <w:col w:w="4399"/>
          </w:cols>
          <w:pgMar w:left="1440" w:top="262" w:right="1440" w:bottom="1440" w:gutter="0" w:footer="0" w:header="0"/>
          <w:type w:val="continuous"/>
        </w:sectPr>
      </w:pPr>
    </w:p>
    <w:bookmarkStart w:id="43" w:name="page44"/>
    <w:bookmarkEnd w:id="43"/>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right"/>
        <w:ind w:right="339"/>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26" w:lineRule="exact"/>
        <w:rPr>
          <w:sz w:val="20"/>
          <w:szCs w:val="20"/>
          <w:color w:val="auto"/>
        </w:rPr>
      </w:pPr>
    </w:p>
    <w:p>
      <w:pPr>
        <w:ind w:left="320"/>
        <w:spacing w:after="0" w:line="271" w:lineRule="auto"/>
        <w:rPr>
          <w:sz w:val="20"/>
          <w:szCs w:val="20"/>
          <w:color w:val="auto"/>
        </w:rPr>
      </w:pPr>
      <w:r>
        <w:rPr>
          <w:rFonts w:ascii="Arial" w:cs="Arial" w:eastAsia="Arial" w:hAnsi="Arial"/>
          <w:sz w:val="16"/>
          <w:szCs w:val="16"/>
          <w:color w:val="auto"/>
        </w:rPr>
        <w:t>Achievement of the TSR performance goal is fixed for both the top two and bottom two TSR ranking positions. For all other TSR ranking positions, the performance condition attainment will be interpolated based on the Company’s TSR performance relative to the difference between the TSR of the second best and second worst performing peer companies. For these purposes, TSR will continue to be determined as the percentage by which the average closing price of a share of Kosmos or a share of a performance peer company on each of the 30 trading days ending on the last day of the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419"/>
        <w:spacing w:after="0" w:line="248" w:lineRule="auto"/>
        <w:rPr>
          <w:sz w:val="20"/>
          <w:szCs w:val="20"/>
          <w:color w:val="auto"/>
        </w:rPr>
      </w:pPr>
      <w:r>
        <w:rPr>
          <w:rFonts w:ascii="Arial" w:cs="Arial" w:eastAsia="Arial" w:hAnsi="Arial"/>
          <w:sz w:val="16"/>
          <w:szCs w:val="16"/>
          <w:color w:val="auto"/>
        </w:rPr>
        <w:t>performance period is more or less than the average closing price of the share on each of the 30 trading days ending on the first day of the performance period, plus the amount of any dividends or distributions that are declared during the performance period. The Compensation Committee believes this structure ensures that payouts of PSU awards accurately reflect relative performance that considers the size of absolute differences between our TSR and the TSR of the performance peer companies beyond just percentile rank.</w:t>
      </w:r>
    </w:p>
    <w:p>
      <w:pPr>
        <w:spacing w:after="0" w:line="264" w:lineRule="exact"/>
        <w:rPr>
          <w:sz w:val="20"/>
          <w:szCs w:val="20"/>
          <w:color w:val="auto"/>
        </w:rPr>
      </w:pPr>
    </w:p>
    <w:p>
      <w:pPr>
        <w:sectPr>
          <w:pgSz w:w="11900" w:h="16838" w:orient="portrait"/>
          <w:cols w:equalWidth="0" w:num="2">
            <w:col w:w="4320" w:space="300"/>
            <w:col w:w="4399"/>
          </w:cols>
          <w:pgMar w:left="1440" w:top="262" w:right="1440" w:bottom="1440" w:gutter="0" w:footer="0" w:header="0"/>
          <w:type w:val="continuous"/>
        </w:sectPr>
      </w:pPr>
    </w:p>
    <w:p>
      <w:pPr>
        <w:jc w:val="both"/>
        <w:ind w:left="320" w:right="559"/>
        <w:spacing w:after="0" w:line="289" w:lineRule="auto"/>
        <w:rPr>
          <w:sz w:val="20"/>
          <w:szCs w:val="20"/>
          <w:color w:val="auto"/>
        </w:rPr>
      </w:pPr>
      <w:r>
        <w:rPr>
          <w:rFonts w:ascii="Arial" w:cs="Arial" w:eastAsia="Arial" w:hAnsi="Arial"/>
          <w:sz w:val="16"/>
          <w:szCs w:val="16"/>
          <w:color w:val="auto"/>
        </w:rPr>
        <w:t>The performance goal for the performance awards granted to our named executive officers in 2021 will be attained based on the ranking of our TSR performance and the TSR itself relative to the TSR of our peer companies during the performance period commencing January 4, 2021 and ending January 4, 2024, as follows:</w:t>
      </w:r>
    </w:p>
    <w:p>
      <w:pPr>
        <w:spacing w:after="0" w:line="46" w:lineRule="exact"/>
        <w:rPr>
          <w:sz w:val="20"/>
          <w:szCs w:val="20"/>
          <w:color w:val="auto"/>
        </w:rPr>
      </w:pPr>
    </w:p>
    <w:tbl>
      <w:tblPr>
        <w:tblLayout w:type="fixed"/>
        <w:tblInd w:w="320" w:type="dxa"/>
        <w:tblCellMar>
          <w:top w:w="0" w:type="dxa"/>
          <w:left w:w="0" w:type="dxa"/>
          <w:bottom w:w="0" w:type="dxa"/>
          <w:right w:w="0" w:type="dxa"/>
        </w:tblCellMar>
      </w:tblPr>
      <w:tr>
        <w:trPr>
          <w:trHeight w:val="30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4520" w:type="dxa"/>
            <w:vAlign w:val="bottom"/>
            <w:shd w:val="clear" w:color="auto" w:fill="717295"/>
          </w:tcPr>
          <w:p>
            <w:pPr>
              <w:ind w:left="140"/>
              <w:spacing w:after="0"/>
              <w:rPr>
                <w:sz w:val="20"/>
                <w:szCs w:val="20"/>
                <w:color w:val="auto"/>
              </w:rPr>
            </w:pPr>
            <w:r>
              <w:rPr>
                <w:rFonts w:ascii="Arial" w:cs="Arial" w:eastAsia="Arial" w:hAnsi="Arial"/>
                <w:sz w:val="14"/>
                <w:szCs w:val="14"/>
                <w:b w:val="1"/>
                <w:bCs w:val="1"/>
                <w:color w:val="FFFFFF"/>
              </w:rPr>
              <w:t>Relative TSR (Ranking)</w:t>
            </w:r>
          </w:p>
        </w:tc>
        <w:tc>
          <w:tcPr>
            <w:tcW w:w="3820" w:type="dxa"/>
            <w:vAlign w:val="bottom"/>
            <w:gridSpan w:val="3"/>
            <w:shd w:val="clear" w:color="auto" w:fill="717295"/>
          </w:tcPr>
          <w:p>
            <w:pPr>
              <w:ind w:left="158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4"/>
                <w:szCs w:val="14"/>
                <w:b w:val="1"/>
                <w:bCs w:val="1"/>
                <w:color w:val="FFFFFF"/>
              </w:rPr>
              <w:t>Performance Goal Attainment</w:t>
            </w:r>
            <w:r>
              <w:rPr>
                <w:rFonts w:ascii="Times New Roman" w:cs="Times New Roman" w:eastAsia="Times New Roman" w:hAnsi="Times New Roman"/>
                <w:sz w:val="4"/>
                <w:szCs w:val="4"/>
                <w:color w:val="auto"/>
              </w:rPr>
              <w:t>​</w:t>
            </w:r>
          </w:p>
        </w:tc>
      </w:tr>
      <w:tr>
        <w:trPr>
          <w:trHeight w:val="26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4520" w:type="dxa"/>
            <w:vAlign w:val="bottom"/>
            <w:shd w:val="clear" w:color="auto" w:fill="ACABC0"/>
          </w:tcPr>
          <w:p>
            <w:pPr>
              <w:ind w:left="140"/>
              <w:spacing w:after="0" w:line="267" w:lineRule="exact"/>
              <w:rPr>
                <w:sz w:val="20"/>
                <w:szCs w:val="20"/>
                <w:color w:val="auto"/>
              </w:rPr>
            </w:pPr>
            <w:r>
              <w:rPr>
                <w:rFonts w:ascii="Arial" w:cs="Arial" w:eastAsia="Arial" w:hAnsi="Arial"/>
                <w:sz w:val="16"/>
                <w:szCs w:val="16"/>
                <w:color w:val="auto"/>
              </w:rPr>
              <w:t>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(highest)</w:t>
            </w:r>
          </w:p>
        </w:tc>
        <w:tc>
          <w:tcPr>
            <w:tcW w:w="2100" w:type="dxa"/>
            <w:vAlign w:val="bottom"/>
            <w:shd w:val="clear" w:color="auto" w:fill="ACABC0"/>
          </w:tcPr>
          <w:p>
            <w:pPr>
              <w:ind w:left="1580"/>
              <w:spacing w:after="0"/>
              <w:rPr>
                <w:sz w:val="20"/>
                <w:szCs w:val="20"/>
                <w:color w:val="auto"/>
              </w:rPr>
            </w:pPr>
            <w:r>
              <w:rPr>
                <w:rFonts w:ascii="Times New Roman" w:cs="Times New Roman" w:eastAsia="Times New Roman" w:hAnsi="Times New Roman"/>
                <w:sz w:val="4"/>
                <w:szCs w:val="4"/>
                <w:color w:val="auto"/>
              </w:rPr>
              <w:t>​   ​</w:t>
            </w:r>
          </w:p>
        </w:tc>
        <w:tc>
          <w:tcPr>
            <w:tcW w:w="1240" w:type="dxa"/>
            <w:vAlign w:val="bottom"/>
            <w:shd w:val="clear" w:color="auto" w:fill="ACABC0"/>
          </w:tcPr>
          <w:p>
            <w:pPr>
              <w:jc w:val="right"/>
              <w:ind w:right="280"/>
              <w:spacing w:after="0"/>
              <w:rPr>
                <w:sz w:val="20"/>
                <w:szCs w:val="20"/>
                <w:color w:val="auto"/>
              </w:rPr>
            </w:pPr>
            <w:r>
              <w:rPr>
                <w:rFonts w:ascii="Arial" w:cs="Arial" w:eastAsia="Arial" w:hAnsi="Arial"/>
                <w:sz w:val="16"/>
                <w:szCs w:val="16"/>
                <w:color w:val="auto"/>
              </w:rPr>
              <w:t>200%</w:t>
            </w:r>
          </w:p>
        </w:tc>
        <w:tc>
          <w:tcPr>
            <w:tcW w:w="480" w:type="dxa"/>
            <w:vAlign w:val="bottom"/>
            <w:shd w:val="clear" w:color="auto" w:fill="ACABC0"/>
          </w:tcPr>
          <w:p>
            <w:pPr>
              <w:ind w:left="380"/>
              <w:spacing w:after="0"/>
              <w:rPr>
                <w:sz w:val="20"/>
                <w:szCs w:val="20"/>
                <w:color w:val="auto"/>
              </w:rPr>
            </w:pPr>
            <w:r>
              <w:rPr>
                <w:rFonts w:ascii="Times New Roman" w:cs="Times New Roman" w:eastAsia="Times New Roman" w:hAnsi="Times New Roman"/>
                <w:sz w:val="4"/>
                <w:szCs w:val="4"/>
                <w:color w:val="auto"/>
              </w:rPr>
              <w:t>​</w:t>
            </w:r>
          </w:p>
        </w:tc>
      </w:tr>
      <w:tr>
        <w:trPr>
          <w:trHeight w:val="26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4520" w:type="dxa"/>
            <w:vAlign w:val="bottom"/>
            <w:shd w:val="clear" w:color="auto" w:fill="F1F2F2"/>
          </w:tcPr>
          <w:p>
            <w:pPr>
              <w:ind w:left="140"/>
              <w:spacing w:after="0" w:line="267" w:lineRule="exact"/>
              <w:rPr>
                <w:sz w:val="20"/>
                <w:szCs w:val="20"/>
                <w:color w:val="auto"/>
              </w:rPr>
            </w:pPr>
            <w:r>
              <w:rPr>
                <w:rFonts w:ascii="Arial" w:cs="Arial" w:eastAsia="Arial" w:hAnsi="Arial"/>
                <w:sz w:val="16"/>
                <w:szCs w:val="16"/>
                <w:color w:val="auto"/>
              </w:rPr>
              <w:t>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highest</w:t>
            </w:r>
          </w:p>
        </w:tc>
        <w:tc>
          <w:tcPr>
            <w:tcW w:w="2100" w:type="dxa"/>
            <w:vAlign w:val="bottom"/>
            <w:shd w:val="clear" w:color="auto" w:fill="F1F2F2"/>
          </w:tcPr>
          <w:p>
            <w:pPr>
              <w:ind w:left="1580"/>
              <w:spacing w:after="0"/>
              <w:rPr>
                <w:sz w:val="20"/>
                <w:szCs w:val="20"/>
                <w:color w:val="auto"/>
              </w:rPr>
            </w:pPr>
            <w:r>
              <w:rPr>
                <w:rFonts w:ascii="Times New Roman" w:cs="Times New Roman" w:eastAsia="Times New Roman" w:hAnsi="Times New Roman"/>
                <w:sz w:val="4"/>
                <w:szCs w:val="4"/>
                <w:color w:val="auto"/>
              </w:rPr>
              <w:t>​   ​</w:t>
            </w:r>
          </w:p>
        </w:tc>
        <w:tc>
          <w:tcPr>
            <w:tcW w:w="1240" w:type="dxa"/>
            <w:vAlign w:val="bottom"/>
            <w:shd w:val="clear" w:color="auto" w:fill="F1F2F2"/>
          </w:tcPr>
          <w:p>
            <w:pPr>
              <w:jc w:val="right"/>
              <w:ind w:right="280"/>
              <w:spacing w:after="0"/>
              <w:rPr>
                <w:sz w:val="20"/>
                <w:szCs w:val="20"/>
                <w:color w:val="auto"/>
              </w:rPr>
            </w:pPr>
            <w:r>
              <w:rPr>
                <w:rFonts w:ascii="Arial" w:cs="Arial" w:eastAsia="Arial" w:hAnsi="Arial"/>
                <w:sz w:val="16"/>
                <w:szCs w:val="16"/>
                <w:color w:val="auto"/>
              </w:rPr>
              <w:t>175%</w:t>
            </w:r>
          </w:p>
        </w:tc>
        <w:tc>
          <w:tcPr>
            <w:tcW w:w="480" w:type="dxa"/>
            <w:vAlign w:val="bottom"/>
            <w:shd w:val="clear" w:color="auto" w:fill="F1F2F2"/>
          </w:tcPr>
          <w:p>
            <w:pPr>
              <w:ind w:left="380"/>
              <w:spacing w:after="0"/>
              <w:rPr>
                <w:sz w:val="20"/>
                <w:szCs w:val="20"/>
                <w:color w:val="auto"/>
              </w:rPr>
            </w:pPr>
            <w:r>
              <w:rPr>
                <w:rFonts w:ascii="Times New Roman" w:cs="Times New Roman" w:eastAsia="Times New Roman" w:hAnsi="Times New Roman"/>
                <w:sz w:val="4"/>
                <w:szCs w:val="4"/>
                <w:color w:val="auto"/>
              </w:rPr>
              <w:t>​</w:t>
            </w:r>
          </w:p>
        </w:tc>
      </w:tr>
      <w:tr>
        <w:trPr>
          <w:trHeight w:val="26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4520" w:type="dxa"/>
            <w:vAlign w:val="bottom"/>
            <w:shd w:val="clear" w:color="auto" w:fill="ACABC0"/>
          </w:tcPr>
          <w:p>
            <w:pPr>
              <w:ind w:left="140"/>
              <w:spacing w:after="0" w:line="267" w:lineRule="exact"/>
              <w:rPr>
                <w:sz w:val="20"/>
                <w:szCs w:val="20"/>
                <w:color w:val="auto"/>
              </w:rPr>
            </w:pPr>
            <w:r>
              <w:rPr>
                <w:rFonts w:ascii="Arial" w:cs="Arial" w:eastAsia="Arial" w:hAnsi="Arial"/>
                <w:sz w:val="16"/>
                <w:szCs w:val="16"/>
                <w:color w:val="auto"/>
              </w:rPr>
              <w:t>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highest –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lowest (“Middle Zone”)</w:t>
            </w:r>
          </w:p>
        </w:tc>
        <w:tc>
          <w:tcPr>
            <w:tcW w:w="2100" w:type="dxa"/>
            <w:vAlign w:val="bottom"/>
            <w:shd w:val="clear" w:color="auto" w:fill="ACABC0"/>
          </w:tcPr>
          <w:p>
            <w:pPr>
              <w:ind w:left="1580"/>
              <w:spacing w:after="0"/>
              <w:rPr>
                <w:sz w:val="20"/>
                <w:szCs w:val="20"/>
                <w:color w:val="auto"/>
              </w:rPr>
            </w:pPr>
            <w:r>
              <w:rPr>
                <w:rFonts w:ascii="Times New Roman" w:cs="Times New Roman" w:eastAsia="Times New Roman" w:hAnsi="Times New Roman"/>
                <w:sz w:val="4"/>
                <w:szCs w:val="4"/>
                <w:color w:val="auto"/>
              </w:rPr>
              <w:t>​   ​</w:t>
            </w:r>
          </w:p>
        </w:tc>
        <w:tc>
          <w:tcPr>
            <w:tcW w:w="1240" w:type="dxa"/>
            <w:vAlign w:val="bottom"/>
            <w:shd w:val="clear" w:color="auto" w:fill="ACABC0"/>
          </w:tcPr>
          <w:p>
            <w:pPr>
              <w:jc w:val="right"/>
              <w:ind w:right="360"/>
              <w:spacing w:after="0"/>
              <w:rPr>
                <w:sz w:val="20"/>
                <w:szCs w:val="20"/>
                <w:color w:val="auto"/>
              </w:rPr>
            </w:pPr>
            <w:r>
              <w:rPr>
                <w:rFonts w:ascii="Arial" w:cs="Arial" w:eastAsia="Arial" w:hAnsi="Arial"/>
                <w:sz w:val="16"/>
                <w:szCs w:val="16"/>
                <w:color w:val="auto"/>
              </w:rPr>
              <w:t>*</w:t>
            </w:r>
          </w:p>
        </w:tc>
        <w:tc>
          <w:tcPr>
            <w:tcW w:w="480" w:type="dxa"/>
            <w:vAlign w:val="bottom"/>
            <w:shd w:val="clear" w:color="auto" w:fill="ACABC0"/>
          </w:tcPr>
          <w:p>
            <w:pPr>
              <w:ind w:left="380"/>
              <w:spacing w:after="0"/>
              <w:rPr>
                <w:sz w:val="20"/>
                <w:szCs w:val="20"/>
                <w:color w:val="auto"/>
              </w:rPr>
            </w:pPr>
            <w:r>
              <w:rPr>
                <w:rFonts w:ascii="Times New Roman" w:cs="Times New Roman" w:eastAsia="Times New Roman" w:hAnsi="Times New Roman"/>
                <w:sz w:val="4"/>
                <w:szCs w:val="4"/>
                <w:color w:val="auto"/>
              </w:rPr>
              <w:t>​</w:t>
            </w:r>
          </w:p>
        </w:tc>
      </w:tr>
      <w:tr>
        <w:trPr>
          <w:trHeight w:val="26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4520" w:type="dxa"/>
            <w:vAlign w:val="bottom"/>
            <w:shd w:val="clear" w:color="auto" w:fill="F1F2F2"/>
          </w:tcPr>
          <w:p>
            <w:pPr>
              <w:ind w:left="140"/>
              <w:spacing w:after="0" w:line="267" w:lineRule="exact"/>
              <w:rPr>
                <w:sz w:val="20"/>
                <w:szCs w:val="20"/>
                <w:color w:val="auto"/>
              </w:rPr>
            </w:pPr>
            <w:r>
              <w:rPr>
                <w:rFonts w:ascii="Arial" w:cs="Arial" w:eastAsia="Arial" w:hAnsi="Arial"/>
                <w:sz w:val="16"/>
                <w:szCs w:val="16"/>
                <w:color w:val="auto"/>
              </w:rPr>
              <w:t>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lowest</w:t>
            </w:r>
          </w:p>
        </w:tc>
        <w:tc>
          <w:tcPr>
            <w:tcW w:w="2100" w:type="dxa"/>
            <w:vAlign w:val="bottom"/>
            <w:shd w:val="clear" w:color="auto" w:fill="F1F2F2"/>
          </w:tcPr>
          <w:p>
            <w:pPr>
              <w:ind w:left="1580"/>
              <w:spacing w:after="0"/>
              <w:rPr>
                <w:sz w:val="20"/>
                <w:szCs w:val="20"/>
                <w:color w:val="auto"/>
              </w:rPr>
            </w:pPr>
            <w:r>
              <w:rPr>
                <w:rFonts w:ascii="Times New Roman" w:cs="Times New Roman" w:eastAsia="Times New Roman" w:hAnsi="Times New Roman"/>
                <w:sz w:val="4"/>
                <w:szCs w:val="4"/>
                <w:color w:val="auto"/>
              </w:rPr>
              <w:t>​   ​</w:t>
            </w:r>
          </w:p>
        </w:tc>
        <w:tc>
          <w:tcPr>
            <w:tcW w:w="1240" w:type="dxa"/>
            <w:vAlign w:val="bottom"/>
            <w:shd w:val="clear" w:color="auto" w:fill="F1F2F2"/>
          </w:tcPr>
          <w:p>
            <w:pPr>
              <w:jc w:val="right"/>
              <w:ind w:right="280"/>
              <w:spacing w:after="0"/>
              <w:rPr>
                <w:sz w:val="20"/>
                <w:szCs w:val="20"/>
                <w:color w:val="auto"/>
              </w:rPr>
            </w:pPr>
            <w:r>
              <w:rPr>
                <w:rFonts w:ascii="Arial" w:cs="Arial" w:eastAsia="Arial" w:hAnsi="Arial"/>
                <w:sz w:val="16"/>
                <w:szCs w:val="16"/>
                <w:color w:val="auto"/>
              </w:rPr>
              <w:t>25%</w:t>
            </w:r>
          </w:p>
        </w:tc>
        <w:tc>
          <w:tcPr>
            <w:tcW w:w="480" w:type="dxa"/>
            <w:vAlign w:val="bottom"/>
            <w:shd w:val="clear" w:color="auto" w:fill="F1F2F2"/>
          </w:tcPr>
          <w:p>
            <w:pPr>
              <w:ind w:left="380"/>
              <w:spacing w:after="0"/>
              <w:rPr>
                <w:sz w:val="20"/>
                <w:szCs w:val="20"/>
                <w:color w:val="auto"/>
              </w:rPr>
            </w:pPr>
            <w:r>
              <w:rPr>
                <w:rFonts w:ascii="Times New Roman" w:cs="Times New Roman" w:eastAsia="Times New Roman" w:hAnsi="Times New Roman"/>
                <w:sz w:val="4"/>
                <w:szCs w:val="4"/>
                <w:color w:val="auto"/>
              </w:rPr>
              <w:t>​</w:t>
            </w:r>
          </w:p>
        </w:tc>
      </w:tr>
      <w:tr>
        <w:trPr>
          <w:trHeight w:val="254"/>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4520" w:type="dxa"/>
            <w:vAlign w:val="bottom"/>
            <w:shd w:val="clear" w:color="auto" w:fill="ACABC0"/>
          </w:tcPr>
          <w:p>
            <w:pPr>
              <w:ind w:left="140"/>
              <w:spacing w:after="0"/>
              <w:rPr>
                <w:sz w:val="20"/>
                <w:szCs w:val="20"/>
                <w:color w:val="auto"/>
              </w:rPr>
            </w:pPr>
            <w:r>
              <w:rPr>
                <w:rFonts w:ascii="Arial" w:cs="Arial" w:eastAsia="Arial" w:hAnsi="Arial"/>
                <w:sz w:val="16"/>
                <w:szCs w:val="16"/>
                <w:color w:val="auto"/>
              </w:rPr>
              <w:t>Lowest</w:t>
            </w:r>
          </w:p>
        </w:tc>
        <w:tc>
          <w:tcPr>
            <w:tcW w:w="2100" w:type="dxa"/>
            <w:vAlign w:val="bottom"/>
            <w:shd w:val="clear" w:color="auto" w:fill="ACABC0"/>
          </w:tcPr>
          <w:p>
            <w:pPr>
              <w:ind w:left="1580"/>
              <w:spacing w:after="0"/>
              <w:rPr>
                <w:sz w:val="20"/>
                <w:szCs w:val="20"/>
                <w:color w:val="auto"/>
              </w:rPr>
            </w:pPr>
            <w:r>
              <w:rPr>
                <w:rFonts w:ascii="Times New Roman" w:cs="Times New Roman" w:eastAsia="Times New Roman" w:hAnsi="Times New Roman"/>
                <w:sz w:val="4"/>
                <w:szCs w:val="4"/>
                <w:color w:val="auto"/>
              </w:rPr>
              <w:t>​   ​</w:t>
            </w:r>
          </w:p>
        </w:tc>
        <w:tc>
          <w:tcPr>
            <w:tcW w:w="1240" w:type="dxa"/>
            <w:vAlign w:val="bottom"/>
            <w:shd w:val="clear" w:color="auto" w:fill="ACABC0"/>
          </w:tcPr>
          <w:p>
            <w:pPr>
              <w:jc w:val="right"/>
              <w:ind w:right="300"/>
              <w:spacing w:after="0"/>
              <w:rPr>
                <w:sz w:val="20"/>
                <w:szCs w:val="20"/>
                <w:color w:val="auto"/>
              </w:rPr>
            </w:pPr>
            <w:r>
              <w:rPr>
                <w:rFonts w:ascii="Arial" w:cs="Arial" w:eastAsia="Arial" w:hAnsi="Arial"/>
                <w:sz w:val="16"/>
                <w:szCs w:val="16"/>
                <w:color w:val="auto"/>
              </w:rPr>
              <w:t>0%</w:t>
            </w:r>
          </w:p>
        </w:tc>
        <w:tc>
          <w:tcPr>
            <w:tcW w:w="480" w:type="dxa"/>
            <w:vAlign w:val="bottom"/>
            <w:shd w:val="clear" w:color="auto" w:fill="ACABC0"/>
          </w:tcPr>
          <w:p>
            <w:pPr>
              <w:ind w:left="380"/>
              <w:spacing w:after="0"/>
              <w:rPr>
                <w:sz w:val="20"/>
                <w:szCs w:val="20"/>
                <w:color w:val="auto"/>
              </w:rPr>
            </w:pPr>
            <w:r>
              <w:rPr>
                <w:rFonts w:ascii="Times New Roman" w:cs="Times New Roman" w:eastAsia="Times New Roman" w:hAnsi="Times New Roman"/>
                <w:sz w:val="4"/>
                <w:szCs w:val="4"/>
                <w:color w:val="auto"/>
              </w:rPr>
              <w:t>​</w:t>
            </w:r>
          </w:p>
        </w:tc>
      </w:tr>
    </w:tbl>
    <w:p>
      <w:pPr>
        <w:spacing w:after="0" w:line="36" w:lineRule="exact"/>
        <w:rPr>
          <w:sz w:val="20"/>
          <w:szCs w:val="20"/>
          <w:color w:val="auto"/>
        </w:rPr>
      </w:pPr>
    </w:p>
    <w:p>
      <w:pPr>
        <w:ind w:left="680" w:right="399" w:hanging="354"/>
        <w:spacing w:after="0" w:line="190" w:lineRule="auto"/>
        <w:tabs>
          <w:tab w:leader="none" w:pos="6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If Kosmos’ TSR ranking is in the “Middle Zone”, the percentage at which the performance goal will be deemed attained will be interpolated for performance between 25% and 175% based on the proportional position of Kosmos’ TSR between the TSR of the performance peer company with the 2</w:t>
      </w:r>
      <w:r>
        <w:rPr>
          <w:rFonts w:ascii="Arial" w:cs="Arial" w:eastAsia="Arial" w:hAnsi="Arial"/>
          <w:sz w:val="25"/>
          <w:szCs w:val="25"/>
          <w:color w:val="auto"/>
          <w:vertAlign w:val="superscript"/>
        </w:rPr>
        <w:t>nd</w:t>
      </w:r>
      <w:r>
        <w:rPr>
          <w:rFonts w:ascii="Arial" w:cs="Arial" w:eastAsia="Arial" w:hAnsi="Arial"/>
          <w:sz w:val="15"/>
          <w:szCs w:val="15"/>
          <w:color w:val="auto"/>
        </w:rPr>
        <w:t xml:space="preserve"> highest ranking and the TSR of the performance peer company with the 2</w:t>
      </w:r>
      <w:r>
        <w:rPr>
          <w:rFonts w:ascii="Arial" w:cs="Arial" w:eastAsia="Arial" w:hAnsi="Arial"/>
          <w:sz w:val="25"/>
          <w:szCs w:val="25"/>
          <w:color w:val="auto"/>
          <w:vertAlign w:val="superscript"/>
        </w:rPr>
        <w:t>nd</w:t>
      </w:r>
      <w:r>
        <w:rPr>
          <w:rFonts w:ascii="Arial" w:cs="Arial" w:eastAsia="Arial" w:hAnsi="Arial"/>
          <w:sz w:val="15"/>
          <w:szCs w:val="15"/>
          <w:color w:val="auto"/>
        </w:rPr>
        <w:t xml:space="preserve"> lowest ranking. If there are less than four performance peer companies on the last day of the performance period, the Compensation Committee will make such adjustments to the composition of the Middle Zone as it deems necessary or appropriate.</w:t>
      </w:r>
    </w:p>
    <w:p>
      <w:pPr>
        <w:spacing w:after="0" w:line="73" w:lineRule="exact"/>
        <w:rPr>
          <w:sz w:val="20"/>
          <w:szCs w:val="20"/>
          <w:color w:val="auto"/>
        </w:rPr>
      </w:pPr>
    </w:p>
    <w:p>
      <w:pPr>
        <w:ind w:left="320" w:right="419"/>
        <w:spacing w:after="0" w:line="284" w:lineRule="auto"/>
        <w:rPr>
          <w:sz w:val="20"/>
          <w:szCs w:val="20"/>
          <w:color w:val="auto"/>
        </w:rPr>
      </w:pPr>
      <w:r>
        <w:rPr>
          <w:rFonts w:ascii="Arial" w:cs="Arial" w:eastAsia="Arial" w:hAnsi="Arial"/>
          <w:sz w:val="16"/>
          <w:szCs w:val="16"/>
          <w:color w:val="auto"/>
        </w:rPr>
        <w:t>To the extent that the performance goal is attained above the 100% target performance level, our Compensation Committee, in its sole discretion, may provide for settlement of any such above-target portion of the PSU awards in cash in lieu of shares. This discretion to settle the PSUs in cash is intended to provide our Compensation Committee flexibility to preserve shares under the LTIP for future new hire and annual equity awards and to reduce dilution to stockholders.</w:t>
      </w:r>
    </w:p>
    <w:p>
      <w:pPr>
        <w:spacing w:after="0" w:line="63" w:lineRule="exact"/>
        <w:rPr>
          <w:sz w:val="20"/>
          <w:szCs w:val="20"/>
          <w:color w:val="auto"/>
        </w:rPr>
      </w:pPr>
    </w:p>
    <w:p>
      <w:pPr>
        <w:ind w:left="320" w:right="419"/>
        <w:spacing w:after="0" w:line="280" w:lineRule="auto"/>
        <w:rPr>
          <w:sz w:val="20"/>
          <w:szCs w:val="20"/>
          <w:color w:val="auto"/>
        </w:rPr>
      </w:pPr>
      <w:r>
        <w:rPr>
          <w:rFonts w:ascii="Arial" w:cs="Arial" w:eastAsia="Arial" w:hAnsi="Arial"/>
          <w:sz w:val="16"/>
          <w:szCs w:val="16"/>
          <w:color w:val="auto"/>
        </w:rPr>
        <w:t>The nine industry performance peer companies for PSUs granted to our named executive officers in 2021 are listed below. Unless otherwise determined by the Compensation Committee, if a peer company is no longer publicly traded on the last day of the performance period, it will be removed from the group of performance peers and will not be replaced. These companies were selected because they are the oil and gas exploration and production companies most like Kosmos in terms of geographic reach, development stage, and who potentially compete with the Company for executive talent.</w:t>
      </w:r>
    </w:p>
    <w:p>
      <w:pPr>
        <w:spacing w:after="0" w:line="52"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260" w:type="dxa"/>
            <w:vAlign w:val="bottom"/>
            <w:shd w:val="clear" w:color="auto" w:fill="606489"/>
          </w:tcPr>
          <w:p>
            <w:pPr>
              <w:spacing w:after="0"/>
              <w:rPr>
                <w:sz w:val="17"/>
                <w:szCs w:val="17"/>
                <w:color w:val="auto"/>
              </w:rPr>
            </w:pPr>
          </w:p>
        </w:tc>
        <w:tc>
          <w:tcPr>
            <w:tcW w:w="4740" w:type="dxa"/>
            <w:vAlign w:val="bottom"/>
            <w:gridSpan w:val="3"/>
            <w:vMerge w:val="restart"/>
            <w:shd w:val="clear" w:color="auto" w:fill="606489"/>
          </w:tcPr>
          <w:p>
            <w:pPr>
              <w:jc w:val="center"/>
              <w:ind w:right="860"/>
              <w:spacing w:after="0"/>
              <w:rPr>
                <w:sz w:val="20"/>
                <w:szCs w:val="20"/>
                <w:color w:val="auto"/>
              </w:rPr>
            </w:pPr>
            <w:r>
              <w:rPr>
                <w:rFonts w:ascii="Arial" w:cs="Arial" w:eastAsia="Arial" w:hAnsi="Arial"/>
                <w:sz w:val="14"/>
                <w:szCs w:val="14"/>
                <w:b w:val="1"/>
                <w:bCs w:val="1"/>
                <w:color w:val="FFFFFF"/>
              </w:rPr>
              <w:t>2021 PSUs: Performance Peer Companies</w:t>
            </w:r>
          </w:p>
        </w:tc>
        <w:tc>
          <w:tcPr>
            <w:tcW w:w="1340" w:type="dxa"/>
            <w:vAlign w:val="bottom"/>
            <w:shd w:val="clear" w:color="auto" w:fill="606489"/>
          </w:tcPr>
          <w:p>
            <w:pPr>
              <w:ind w:left="12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60" w:type="dxa"/>
            <w:vAlign w:val="bottom"/>
            <w:shd w:val="clear" w:color="auto" w:fill="606489"/>
          </w:tcPr>
          <w:p>
            <w:pPr>
              <w:spacing w:after="0"/>
              <w:rPr>
                <w:sz w:val="9"/>
                <w:szCs w:val="9"/>
                <w:color w:val="auto"/>
              </w:rPr>
            </w:pPr>
          </w:p>
        </w:tc>
        <w:tc>
          <w:tcPr>
            <w:tcW w:w="4740" w:type="dxa"/>
            <w:vAlign w:val="bottom"/>
            <w:gridSpan w:val="3"/>
            <w:vMerge w:val="continue"/>
            <w:shd w:val="clear" w:color="auto" w:fill="606489"/>
          </w:tcPr>
          <w:p>
            <w:pPr>
              <w:spacing w:after="0"/>
              <w:rPr>
                <w:sz w:val="9"/>
                <w:szCs w:val="9"/>
                <w:color w:val="auto"/>
              </w:rPr>
            </w:pPr>
          </w:p>
        </w:tc>
        <w:tc>
          <w:tcPr>
            <w:tcW w:w="1340" w:type="dxa"/>
            <w:vAlign w:val="bottom"/>
            <w:shd w:val="clear" w:color="auto" w:fill="606489"/>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260" w:type="dxa"/>
            <w:vAlign w:val="bottom"/>
            <w:tcBorders>
              <w:bottom w:val="single" w:sz="8" w:color="ACABC0"/>
            </w:tcBorders>
            <w:shd w:val="clear" w:color="auto" w:fill="ACABC0"/>
          </w:tcPr>
          <w:p>
            <w:pPr>
              <w:ind w:left="140"/>
              <w:spacing w:after="0"/>
              <w:rPr>
                <w:sz w:val="20"/>
                <w:szCs w:val="20"/>
                <w:color w:val="auto"/>
              </w:rPr>
            </w:pPr>
            <w:r>
              <w:rPr>
                <w:rFonts w:ascii="Arial" w:cs="Arial" w:eastAsia="Arial" w:hAnsi="Arial"/>
                <w:sz w:val="16"/>
                <w:szCs w:val="16"/>
                <w:color w:val="auto"/>
              </w:rPr>
              <w:t>Africa Oil Corp.</w:t>
            </w:r>
          </w:p>
        </w:tc>
        <w:tc>
          <w:tcPr>
            <w:tcW w:w="1840" w:type="dxa"/>
            <w:vAlign w:val="bottom"/>
            <w:tcBorders>
              <w:bottom w:val="single" w:sz="8" w:color="ACABC0"/>
            </w:tcBorders>
            <w:shd w:val="clear" w:color="auto" w:fill="ACABC0"/>
          </w:tcPr>
          <w:p>
            <w:pPr>
              <w:ind w:left="18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CABC0"/>
            </w:tcBorders>
            <w:shd w:val="clear" w:color="auto" w:fill="ACABC0"/>
          </w:tcPr>
          <w:p>
            <w:pPr>
              <w:jc w:val="center"/>
              <w:ind w:left="11"/>
              <w:spacing w:after="0"/>
              <w:rPr>
                <w:sz w:val="20"/>
                <w:szCs w:val="20"/>
                <w:color w:val="auto"/>
              </w:rPr>
            </w:pPr>
            <w:r>
              <w:rPr>
                <w:rFonts w:ascii="Times New Roman" w:cs="Times New Roman" w:eastAsia="Times New Roman" w:hAnsi="Times New Roman"/>
                <w:sz w:val="2"/>
                <w:szCs w:val="2"/>
                <w:color w:val="auto"/>
                <w:w w:val="4294942296"/>
              </w:rPr>
              <w:t>​</w:t>
            </w:r>
          </w:p>
        </w:tc>
        <w:tc>
          <w:tcPr>
            <w:tcW w:w="2800" w:type="dxa"/>
            <w:vAlign w:val="bottom"/>
            <w:tcBorders>
              <w:bottom w:val="single" w:sz="8" w:color="ACABC0"/>
            </w:tcBorders>
            <w:shd w:val="clear" w:color="auto" w:fill="ACABC0"/>
          </w:tcPr>
          <w:p>
            <w:pPr>
              <w:ind w:left="40"/>
              <w:spacing w:after="0"/>
              <w:rPr>
                <w:sz w:val="20"/>
                <w:szCs w:val="20"/>
                <w:color w:val="auto"/>
              </w:rPr>
            </w:pPr>
            <w:r>
              <w:rPr>
                <w:rFonts w:ascii="Arial" w:cs="Arial" w:eastAsia="Arial" w:hAnsi="Arial"/>
                <w:sz w:val="16"/>
                <w:szCs w:val="16"/>
                <w:color w:val="auto"/>
              </w:rPr>
              <w:t>Aker BP ASA</w:t>
            </w:r>
          </w:p>
        </w:tc>
        <w:tc>
          <w:tcPr>
            <w:tcW w:w="1340" w:type="dxa"/>
            <w:vAlign w:val="bottom"/>
            <w:tcBorders>
              <w:bottom w:val="single" w:sz="8" w:color="ACABC0"/>
            </w:tcBorders>
            <w:shd w:val="clear" w:color="auto" w:fill="ACABC0"/>
          </w:tcPr>
          <w:p>
            <w:pPr>
              <w:ind w:left="12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2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6"/>
                <w:szCs w:val="16"/>
                <w:color w:val="auto"/>
              </w:rPr>
              <w:t>Capricorn Energy plc</w:t>
            </w:r>
          </w:p>
        </w:tc>
        <w:tc>
          <w:tcPr>
            <w:tcW w:w="1840" w:type="dxa"/>
            <w:vAlign w:val="bottom"/>
            <w:tcBorders>
              <w:bottom w:val="single" w:sz="8" w:color="F1F2F2"/>
            </w:tcBorders>
            <w:shd w:val="clear" w:color="auto" w:fill="F1F2F2"/>
          </w:tcPr>
          <w:p>
            <w:pPr>
              <w:ind w:left="18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F1F2F2"/>
            </w:tcBorders>
            <w:shd w:val="clear" w:color="auto" w:fill="F1F2F2"/>
          </w:tcPr>
          <w:p>
            <w:pPr>
              <w:jc w:val="center"/>
              <w:ind w:left="11"/>
              <w:spacing w:after="0"/>
              <w:rPr>
                <w:sz w:val="20"/>
                <w:szCs w:val="20"/>
                <w:color w:val="auto"/>
              </w:rPr>
            </w:pPr>
            <w:r>
              <w:rPr>
                <w:rFonts w:ascii="Times New Roman" w:cs="Times New Roman" w:eastAsia="Times New Roman" w:hAnsi="Times New Roman"/>
                <w:sz w:val="2"/>
                <w:szCs w:val="2"/>
                <w:color w:val="auto"/>
                <w:w w:val="4294942296"/>
              </w:rPr>
              <w:t>​</w:t>
            </w:r>
          </w:p>
        </w:tc>
        <w:tc>
          <w:tcPr>
            <w:tcW w:w="2800" w:type="dxa"/>
            <w:vAlign w:val="bottom"/>
            <w:tcBorders>
              <w:bottom w:val="single" w:sz="8" w:color="F1F2F2"/>
            </w:tcBorders>
            <w:shd w:val="clear" w:color="auto" w:fill="F1F2F2"/>
          </w:tcPr>
          <w:p>
            <w:pPr>
              <w:ind w:left="40"/>
              <w:spacing w:after="0"/>
              <w:rPr>
                <w:sz w:val="20"/>
                <w:szCs w:val="20"/>
                <w:color w:val="auto"/>
              </w:rPr>
            </w:pPr>
            <w:r>
              <w:rPr>
                <w:rFonts w:ascii="Arial" w:cs="Arial" w:eastAsia="Arial" w:hAnsi="Arial"/>
                <w:sz w:val="16"/>
                <w:szCs w:val="16"/>
                <w:color w:val="auto"/>
              </w:rPr>
              <w:t>Genel Energy plc</w:t>
            </w:r>
          </w:p>
        </w:tc>
        <w:tc>
          <w:tcPr>
            <w:tcW w:w="1340" w:type="dxa"/>
            <w:vAlign w:val="bottom"/>
            <w:tcBorders>
              <w:bottom w:val="single" w:sz="8" w:color="F1F2F2"/>
            </w:tcBorders>
            <w:shd w:val="clear" w:color="auto" w:fill="F1F2F2"/>
          </w:tcPr>
          <w:p>
            <w:pPr>
              <w:ind w:left="12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260" w:type="dxa"/>
            <w:vAlign w:val="bottom"/>
            <w:tcBorders>
              <w:bottom w:val="single" w:sz="8" w:color="ACABC0"/>
            </w:tcBorders>
            <w:shd w:val="clear" w:color="auto" w:fill="ACABC0"/>
          </w:tcPr>
          <w:p>
            <w:pPr>
              <w:ind w:left="140"/>
              <w:spacing w:after="0"/>
              <w:rPr>
                <w:sz w:val="20"/>
                <w:szCs w:val="20"/>
                <w:color w:val="auto"/>
              </w:rPr>
            </w:pPr>
            <w:r>
              <w:rPr>
                <w:rFonts w:ascii="Arial" w:cs="Arial" w:eastAsia="Arial" w:hAnsi="Arial"/>
                <w:sz w:val="16"/>
                <w:szCs w:val="16"/>
                <w:color w:val="auto"/>
              </w:rPr>
              <w:t>Harbour Energy Plc</w:t>
            </w:r>
          </w:p>
        </w:tc>
        <w:tc>
          <w:tcPr>
            <w:tcW w:w="1840" w:type="dxa"/>
            <w:vAlign w:val="bottom"/>
            <w:tcBorders>
              <w:bottom w:val="single" w:sz="8" w:color="ACABC0"/>
            </w:tcBorders>
            <w:shd w:val="clear" w:color="auto" w:fill="ACABC0"/>
          </w:tcPr>
          <w:p>
            <w:pPr>
              <w:ind w:left="18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CABC0"/>
            </w:tcBorders>
            <w:shd w:val="clear" w:color="auto" w:fill="ACABC0"/>
          </w:tcPr>
          <w:p>
            <w:pPr>
              <w:jc w:val="center"/>
              <w:ind w:left="11"/>
              <w:spacing w:after="0"/>
              <w:rPr>
                <w:sz w:val="20"/>
                <w:szCs w:val="20"/>
                <w:color w:val="auto"/>
              </w:rPr>
            </w:pPr>
            <w:r>
              <w:rPr>
                <w:rFonts w:ascii="Times New Roman" w:cs="Times New Roman" w:eastAsia="Times New Roman" w:hAnsi="Times New Roman"/>
                <w:sz w:val="2"/>
                <w:szCs w:val="2"/>
                <w:color w:val="auto"/>
                <w:w w:val="4294942296"/>
              </w:rPr>
              <w:t>​</w:t>
            </w:r>
          </w:p>
        </w:tc>
        <w:tc>
          <w:tcPr>
            <w:tcW w:w="2800" w:type="dxa"/>
            <w:vAlign w:val="bottom"/>
            <w:tcBorders>
              <w:bottom w:val="single" w:sz="8" w:color="ACABC0"/>
            </w:tcBorders>
            <w:shd w:val="clear" w:color="auto" w:fill="ACABC0"/>
          </w:tcPr>
          <w:p>
            <w:pPr>
              <w:ind w:left="40"/>
              <w:spacing w:after="0"/>
              <w:rPr>
                <w:sz w:val="20"/>
                <w:szCs w:val="20"/>
                <w:color w:val="auto"/>
              </w:rPr>
            </w:pPr>
            <w:r>
              <w:rPr>
                <w:rFonts w:ascii="Arial" w:cs="Arial" w:eastAsia="Arial" w:hAnsi="Arial"/>
                <w:sz w:val="16"/>
                <w:szCs w:val="16"/>
                <w:color w:val="auto"/>
              </w:rPr>
              <w:t>Lundin Petroleum AB</w:t>
            </w:r>
          </w:p>
        </w:tc>
        <w:tc>
          <w:tcPr>
            <w:tcW w:w="1340" w:type="dxa"/>
            <w:vAlign w:val="bottom"/>
            <w:tcBorders>
              <w:bottom w:val="single" w:sz="8" w:color="ACABC0"/>
            </w:tcBorders>
            <w:shd w:val="clear" w:color="auto" w:fill="ACABC0"/>
          </w:tcPr>
          <w:p>
            <w:pPr>
              <w:ind w:left="12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260" w:type="dxa"/>
            <w:vAlign w:val="bottom"/>
            <w:tcBorders>
              <w:bottom w:val="single" w:sz="8" w:color="F1F2F2"/>
            </w:tcBorders>
            <w:shd w:val="clear" w:color="auto" w:fill="F1F2F2"/>
          </w:tcPr>
          <w:p>
            <w:pPr>
              <w:ind w:left="140"/>
              <w:spacing w:after="0"/>
              <w:rPr>
                <w:sz w:val="20"/>
                <w:szCs w:val="20"/>
                <w:color w:val="auto"/>
              </w:rPr>
            </w:pPr>
            <w:r>
              <w:rPr>
                <w:rFonts w:ascii="Arial" w:cs="Arial" w:eastAsia="Arial" w:hAnsi="Arial"/>
                <w:sz w:val="16"/>
                <w:szCs w:val="16"/>
                <w:color w:val="auto"/>
              </w:rPr>
              <w:t>Murphy Oil Corporation</w:t>
            </w:r>
          </w:p>
        </w:tc>
        <w:tc>
          <w:tcPr>
            <w:tcW w:w="1840" w:type="dxa"/>
            <w:vAlign w:val="bottom"/>
            <w:tcBorders>
              <w:bottom w:val="single" w:sz="8" w:color="F1F2F2"/>
            </w:tcBorders>
            <w:shd w:val="clear" w:color="auto" w:fill="F1F2F2"/>
          </w:tcPr>
          <w:p>
            <w:pPr>
              <w:ind w:left="18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F1F2F2"/>
            </w:tcBorders>
            <w:shd w:val="clear" w:color="auto" w:fill="F1F2F2"/>
          </w:tcPr>
          <w:p>
            <w:pPr>
              <w:jc w:val="center"/>
              <w:ind w:left="11"/>
              <w:spacing w:after="0"/>
              <w:rPr>
                <w:sz w:val="20"/>
                <w:szCs w:val="20"/>
                <w:color w:val="auto"/>
              </w:rPr>
            </w:pPr>
            <w:r>
              <w:rPr>
                <w:rFonts w:ascii="Times New Roman" w:cs="Times New Roman" w:eastAsia="Times New Roman" w:hAnsi="Times New Roman"/>
                <w:sz w:val="2"/>
                <w:szCs w:val="2"/>
                <w:color w:val="auto"/>
                <w:w w:val="4294942296"/>
              </w:rPr>
              <w:t>​</w:t>
            </w:r>
          </w:p>
        </w:tc>
        <w:tc>
          <w:tcPr>
            <w:tcW w:w="2800" w:type="dxa"/>
            <w:vAlign w:val="bottom"/>
            <w:tcBorders>
              <w:bottom w:val="single" w:sz="8" w:color="F1F2F2"/>
            </w:tcBorders>
            <w:shd w:val="clear" w:color="auto" w:fill="F1F2F2"/>
          </w:tcPr>
          <w:p>
            <w:pPr>
              <w:ind w:left="40"/>
              <w:spacing w:after="0"/>
              <w:rPr>
                <w:sz w:val="20"/>
                <w:szCs w:val="20"/>
                <w:color w:val="auto"/>
              </w:rPr>
            </w:pPr>
            <w:r>
              <w:rPr>
                <w:rFonts w:ascii="Arial" w:cs="Arial" w:eastAsia="Arial" w:hAnsi="Arial"/>
                <w:sz w:val="16"/>
                <w:szCs w:val="16"/>
                <w:color w:val="auto"/>
              </w:rPr>
              <w:t>Talos Energy Inc.</w:t>
            </w:r>
          </w:p>
        </w:tc>
        <w:tc>
          <w:tcPr>
            <w:tcW w:w="1340" w:type="dxa"/>
            <w:vAlign w:val="bottom"/>
            <w:tcBorders>
              <w:bottom w:val="single" w:sz="8" w:color="F1F2F2"/>
            </w:tcBorders>
            <w:shd w:val="clear" w:color="auto" w:fill="F1F2F2"/>
          </w:tcPr>
          <w:p>
            <w:pPr>
              <w:ind w:left="12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260" w:type="dxa"/>
            <w:vAlign w:val="bottom"/>
            <w:shd w:val="clear" w:color="auto" w:fill="ACABC0"/>
          </w:tcPr>
          <w:p>
            <w:pPr>
              <w:ind w:left="140"/>
              <w:spacing w:after="0"/>
              <w:rPr>
                <w:sz w:val="20"/>
                <w:szCs w:val="20"/>
                <w:color w:val="auto"/>
              </w:rPr>
            </w:pPr>
            <w:r>
              <w:rPr>
                <w:rFonts w:ascii="Arial" w:cs="Arial" w:eastAsia="Arial" w:hAnsi="Arial"/>
                <w:sz w:val="16"/>
                <w:szCs w:val="16"/>
                <w:color w:val="auto"/>
              </w:rPr>
              <w:t>Tullow Oil plc</w:t>
            </w:r>
          </w:p>
        </w:tc>
        <w:tc>
          <w:tcPr>
            <w:tcW w:w="1840" w:type="dxa"/>
            <w:vAlign w:val="bottom"/>
            <w:shd w:val="clear" w:color="auto" w:fill="ACABC0"/>
          </w:tcPr>
          <w:p>
            <w:pPr>
              <w:ind w:left="18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ACABC0"/>
          </w:tcPr>
          <w:p>
            <w:pPr>
              <w:jc w:val="center"/>
              <w:ind w:left="11"/>
              <w:spacing w:after="0"/>
              <w:rPr>
                <w:sz w:val="20"/>
                <w:szCs w:val="20"/>
                <w:color w:val="auto"/>
              </w:rPr>
            </w:pPr>
            <w:r>
              <w:rPr>
                <w:rFonts w:ascii="Times New Roman" w:cs="Times New Roman" w:eastAsia="Times New Roman" w:hAnsi="Times New Roman"/>
                <w:sz w:val="2"/>
                <w:szCs w:val="2"/>
                <w:color w:val="auto"/>
                <w:w w:val="4294942296"/>
              </w:rPr>
              <w:t>​</w:t>
            </w:r>
          </w:p>
        </w:tc>
        <w:tc>
          <w:tcPr>
            <w:tcW w:w="2800" w:type="dxa"/>
            <w:vAlign w:val="bottom"/>
            <w:shd w:val="clear" w:color="auto" w:fill="ACABC0"/>
          </w:tcPr>
          <w:p>
            <w:pPr>
              <w:spacing w:after="0"/>
              <w:rPr>
                <w:sz w:val="22"/>
                <w:szCs w:val="22"/>
                <w:color w:val="auto"/>
              </w:rPr>
            </w:pPr>
          </w:p>
        </w:tc>
        <w:tc>
          <w:tcPr>
            <w:tcW w:w="1340" w:type="dxa"/>
            <w:vAlign w:val="bottom"/>
            <w:shd w:val="clear" w:color="auto" w:fill="ACABC0"/>
          </w:tcPr>
          <w:p>
            <w:pPr>
              <w:ind w:left="12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sectPr>
          <w:pgSz w:w="11900" w:h="16838" w:orient="portrait"/>
          <w:cols w:equalWidth="0" w:num="1">
            <w:col w:w="9019"/>
          </w:cols>
          <w:pgMar w:left="1440" w:top="262" w:right="1440" w:bottom="1440" w:gutter="0" w:footer="0" w:header="0"/>
          <w:type w:val="continuous"/>
        </w:sectPr>
      </w:pPr>
    </w:p>
    <w:p>
      <w:pPr>
        <w:spacing w:after="0" w:line="13" w:lineRule="exact"/>
        <w:rPr>
          <w:sz w:val="20"/>
          <w:szCs w:val="20"/>
          <w:color w:val="auto"/>
        </w:rPr>
      </w:pPr>
    </w:p>
    <w:p>
      <w:pPr>
        <w:ind w:left="320"/>
        <w:spacing w:after="0" w:line="289" w:lineRule="auto"/>
        <w:rPr>
          <w:sz w:val="20"/>
          <w:szCs w:val="20"/>
          <w:color w:val="auto"/>
        </w:rPr>
      </w:pPr>
      <w:r>
        <w:rPr>
          <w:rFonts w:ascii="Arial" w:cs="Arial" w:eastAsia="Arial" w:hAnsi="Arial"/>
          <w:sz w:val="16"/>
          <w:szCs w:val="16"/>
          <w:color w:val="auto"/>
        </w:rPr>
        <w:t>To receive any payout under the RSUs and PSUs, our named executive officers and other employees generally must remain employed with us through the vesting date and, in the case of PSUs, the TSR performance condition must be satisfied. However, the awards are subject to accelerated vesting under specified circumstances (see “2021 Compensation—Potential Payments Upon Termination</w:t>
      </w:r>
    </w:p>
    <w:p>
      <w:pPr>
        <w:spacing w:after="0" w:line="20" w:lineRule="exact"/>
        <w:rPr>
          <w:sz w:val="20"/>
          <w:szCs w:val="20"/>
          <w:color w:val="auto"/>
        </w:rPr>
      </w:pPr>
      <w:r>
        <w:rPr>
          <w:sz w:val="20"/>
          <w:szCs w:val="20"/>
          <w:color w:val="auto"/>
        </w:rPr>
        <w:br w:type="column"/>
      </w:r>
    </w:p>
    <w:p>
      <w:pPr>
        <w:ind w:right="399"/>
        <w:spacing w:after="0" w:line="250" w:lineRule="auto"/>
        <w:rPr>
          <w:sz w:val="20"/>
          <w:szCs w:val="20"/>
          <w:color w:val="auto"/>
        </w:rPr>
      </w:pPr>
      <w:r>
        <w:rPr>
          <w:rFonts w:ascii="Arial" w:cs="Arial" w:eastAsia="Arial" w:hAnsi="Arial"/>
          <w:sz w:val="16"/>
          <w:szCs w:val="16"/>
          <w:color w:val="auto"/>
        </w:rPr>
        <w:t>or Change in Control” below). Our outstanding equity awards generally vest on a “double-trigger” basis in connection with a change in control—i.e., the awards accelerate in connection with a change in control if a qualifying termination of employment occurs on or within one year after the change in control—which we believe further aligns our equity compensation program with the interests of our stockholders. Our</w:t>
      </w:r>
    </w:p>
    <w:p>
      <w:pPr>
        <w:spacing w:after="0" w:line="320" w:lineRule="exact"/>
        <w:rPr>
          <w:sz w:val="20"/>
          <w:szCs w:val="20"/>
          <w:color w:val="auto"/>
        </w:rPr>
      </w:pPr>
    </w:p>
    <w:p>
      <w:pPr>
        <w:ind w:left="178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121285</wp:posOffset>
            </wp:positionV>
            <wp:extent cx="693801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-158750</wp:posOffset>
            </wp:positionV>
            <wp:extent cx="594995" cy="170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2">
            <w:col w:w="4340" w:space="280"/>
            <w:col w:w="4399"/>
          </w:cols>
          <w:pgMar w:left="1440" w:top="262" w:right="1440" w:bottom="1440" w:gutter="0" w:footer="0" w:header="0"/>
          <w:type w:val="continuous"/>
        </w:sectPr>
      </w:pPr>
    </w:p>
    <w:bookmarkStart w:id="44" w:name="page45"/>
    <w:bookmarkEnd w:id="44"/>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06" w:lineRule="exact"/>
        <w:rPr>
          <w:sz w:val="20"/>
          <w:szCs w:val="20"/>
          <w:color w:val="auto"/>
        </w:rPr>
      </w:pPr>
    </w:p>
    <w:p>
      <w:pPr>
        <w:ind w:left="320"/>
        <w:spacing w:after="0"/>
        <w:tabs>
          <w:tab w:leader="none" w:pos="4600" w:val="left"/>
        </w:tabs>
        <w:rPr>
          <w:sz w:val="20"/>
          <w:szCs w:val="20"/>
          <w:color w:val="auto"/>
        </w:rPr>
      </w:pPr>
      <w:r>
        <w:rPr>
          <w:rFonts w:ascii="Arial" w:cs="Arial" w:eastAsia="Arial" w:hAnsi="Arial"/>
          <w:sz w:val="16"/>
          <w:szCs w:val="16"/>
          <w:color w:val="auto"/>
        </w:rPr>
        <w:t>CEO has certain enhanced protections for his equity</w:t>
      </w:r>
      <w:r>
        <w:rPr>
          <w:sz w:val="20"/>
          <w:szCs w:val="20"/>
          <w:color w:val="auto"/>
        </w:rPr>
        <w:tab/>
      </w:r>
      <w:r>
        <w:rPr>
          <w:rFonts w:ascii="Arial" w:cs="Arial" w:eastAsia="Arial" w:hAnsi="Arial"/>
          <w:sz w:val="15"/>
          <w:szCs w:val="15"/>
          <w:color w:val="auto"/>
        </w:rPr>
        <w:t>Compensation—Potential Payments Upon Termination</w:t>
      </w:r>
    </w:p>
    <w:p>
      <w:pPr>
        <w:spacing w:after="0" w:line="19" w:lineRule="exact"/>
        <w:rPr>
          <w:sz w:val="20"/>
          <w:szCs w:val="20"/>
          <w:color w:val="auto"/>
        </w:rPr>
      </w:pPr>
    </w:p>
    <w:p>
      <w:pPr>
        <w:ind w:left="320"/>
        <w:spacing w:after="0"/>
        <w:tabs>
          <w:tab w:leader="none" w:pos="4600" w:val="left"/>
        </w:tabs>
        <w:rPr>
          <w:sz w:val="20"/>
          <w:szCs w:val="20"/>
          <w:color w:val="auto"/>
        </w:rPr>
      </w:pPr>
      <w:r>
        <w:rPr>
          <w:rFonts w:ascii="Arial" w:cs="Arial" w:eastAsia="Arial" w:hAnsi="Arial"/>
          <w:sz w:val="16"/>
          <w:szCs w:val="16"/>
          <w:color w:val="auto"/>
        </w:rPr>
        <w:t>awards in connection with a change in control, as</w:t>
      </w:r>
      <w:r>
        <w:rPr>
          <w:sz w:val="20"/>
          <w:szCs w:val="20"/>
          <w:color w:val="auto"/>
        </w:rPr>
        <w:tab/>
      </w:r>
      <w:r>
        <w:rPr>
          <w:rFonts w:ascii="Arial" w:cs="Arial" w:eastAsia="Arial" w:hAnsi="Arial"/>
          <w:sz w:val="16"/>
          <w:szCs w:val="16"/>
          <w:color w:val="auto"/>
        </w:rPr>
        <w:t>or Change in Control—Equity Awards” below.</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described in more detail in “2021</w:t>
      </w:r>
    </w:p>
    <w:p>
      <w:pPr>
        <w:spacing w:after="0" w:line="95" w:lineRule="exact"/>
        <w:rPr>
          <w:sz w:val="20"/>
          <w:szCs w:val="20"/>
          <w:color w:val="auto"/>
        </w:rPr>
      </w:pPr>
    </w:p>
    <w:p>
      <w:pPr>
        <w:ind w:left="320" w:right="459"/>
        <w:spacing w:after="0" w:line="289" w:lineRule="auto"/>
        <w:rPr>
          <w:sz w:val="20"/>
          <w:szCs w:val="20"/>
          <w:color w:val="auto"/>
        </w:rPr>
      </w:pPr>
      <w:r>
        <w:rPr>
          <w:rFonts w:ascii="Arial" w:cs="Arial" w:eastAsia="Arial" w:hAnsi="Arial"/>
          <w:sz w:val="16"/>
          <w:szCs w:val="16"/>
          <w:color w:val="auto"/>
        </w:rPr>
        <w:t>For details on the outstanding equity awards granted to our named executive officers in 2021 and prior years, including the numbers of shares, dollar values, vesting schedules and acceleration and forfeiture provisions, see the tables and narrative under “2021 Compensation” below.</w:t>
      </w:r>
    </w:p>
    <w:p>
      <w:pPr>
        <w:sectPr>
          <w:pgSz w:w="11900" w:h="16838" w:orient="portrait"/>
          <w:cols w:equalWidth="0" w:num="1">
            <w:col w:w="9019"/>
          </w:cols>
          <w:pgMar w:left="1440" w:top="262" w:right="1440" w:bottom="1440" w:gutter="0" w:footer="0" w:header="0"/>
        </w:sectPr>
      </w:pP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2022 Annual Equity Awards</w:t>
      </w:r>
    </w:p>
    <w:p>
      <w:pPr>
        <w:spacing w:after="0" w:line="106" w:lineRule="exact"/>
        <w:rPr>
          <w:sz w:val="20"/>
          <w:szCs w:val="20"/>
          <w:color w:val="auto"/>
        </w:rPr>
      </w:pPr>
    </w:p>
    <w:p>
      <w:pPr>
        <w:ind w:left="320"/>
        <w:spacing w:after="0" w:line="250" w:lineRule="auto"/>
        <w:rPr>
          <w:sz w:val="20"/>
          <w:szCs w:val="20"/>
          <w:color w:val="auto"/>
        </w:rPr>
      </w:pPr>
      <w:r>
        <w:rPr>
          <w:rFonts w:ascii="Arial" w:cs="Arial" w:eastAsia="Arial" w:hAnsi="Arial"/>
          <w:sz w:val="16"/>
          <w:szCs w:val="16"/>
          <w:color w:val="auto"/>
        </w:rPr>
        <w:t>In January 2022, our Compensation Committee determined to grant our named executive officers equity incentive awards consistent with our historical annual grant practice prior to 2021 and our pay for performance philosophy. As a result, in early 2022, our Compensation Committee granted each of our named executive officers 2022 annual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right="399"/>
        <w:spacing w:after="0" w:line="254" w:lineRule="auto"/>
        <w:rPr>
          <w:sz w:val="20"/>
          <w:szCs w:val="20"/>
          <w:color w:val="auto"/>
        </w:rPr>
      </w:pPr>
      <w:r>
        <w:rPr>
          <w:rFonts w:ascii="Arial" w:cs="Arial" w:eastAsia="Arial" w:hAnsi="Arial"/>
          <w:sz w:val="16"/>
          <w:szCs w:val="16"/>
          <w:color w:val="auto"/>
        </w:rPr>
        <w:t>incentive awards, of which approximately 2/3 were in the form of PSUs and approximately 1/3 were the form of RSUs. Additional details regarding the equity awards granted to our named executive officers in 2022 will be disclosed in our 2023 annual proxy statement.</w:t>
      </w:r>
    </w:p>
    <w:p>
      <w:pPr>
        <w:spacing w:after="0" w:line="493" w:lineRule="exact"/>
        <w:rPr>
          <w:sz w:val="20"/>
          <w:szCs w:val="20"/>
          <w:color w:val="auto"/>
        </w:rPr>
      </w:pPr>
    </w:p>
    <w:p>
      <w:pPr>
        <w:sectPr>
          <w:pgSz w:w="11900" w:h="16838" w:orient="portrait"/>
          <w:cols w:equalWidth="0" w:num="2">
            <w:col w:w="4360" w:space="26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Annual Cash Bonuses</w:t>
      </w:r>
    </w:p>
    <w:p>
      <w:pPr>
        <w:spacing w:after="0" w:line="129" w:lineRule="exact"/>
        <w:rPr>
          <w:sz w:val="20"/>
          <w:szCs w:val="20"/>
          <w:color w:val="auto"/>
        </w:rPr>
      </w:pPr>
    </w:p>
    <w:p>
      <w:pPr>
        <w:ind w:left="320"/>
        <w:spacing w:after="0" w:line="273" w:lineRule="auto"/>
        <w:rPr>
          <w:sz w:val="20"/>
          <w:szCs w:val="20"/>
          <w:color w:val="auto"/>
        </w:rPr>
      </w:pPr>
      <w:r>
        <w:rPr>
          <w:rFonts w:ascii="Arial" w:cs="Arial" w:eastAsia="Arial" w:hAnsi="Arial"/>
          <w:sz w:val="16"/>
          <w:szCs w:val="16"/>
          <w:color w:val="auto"/>
        </w:rPr>
        <w:t>Each year, the Compensation Committee establishes an annual cash bonus program for eligible employees (including our named executive officers). The base bonus pool under the annual cash bonus program is determined by reference to the aggregate amount of each eligible employee’s target bonus opportunity. The actual bonus pool is determined by the Compensation Committee based on its quantitative and qualitative assessment of the level of achievement of Company “key performance indicators” (which we refer to as “KPIs”), as well as overall Company financial and operating performance. The KPIs, which are all weighted equally for performance and bonus determinations, are established by the Compensation Committee at the beginning of each year and are derived from our strategic and operational plan and demonstrate year-over-year improvement. Actual individual bonus amounts are then determined by the Compensation Committee based on its review and assessment of individual performance (taking into account our Chief Executive Officer’s assessment of individual performance of each executive, other than himself). The bonus range for each named executive officer was 0% − 200% of the executive officer’s target bonus opportunity. For information on each of our named executive officers’ target and maximum annual bonus opportunity established by the Compensation Committee at the beginning of 2021, see the “2021 Grants of Plan Based Awards” table below.</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40</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80"/>
        </w:trPr>
        <w:tc>
          <w:tcPr>
            <w:tcW w:w="920" w:type="dxa"/>
            <w:vAlign w:val="bottom"/>
            <w:vMerge w:val="continue"/>
          </w:tcPr>
          <w:p>
            <w:pPr>
              <w:spacing w:after="0"/>
              <w:rPr>
                <w:sz w:val="24"/>
                <w:szCs w:val="24"/>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359"/>
        <w:spacing w:after="0" w:line="274" w:lineRule="auto"/>
        <w:rPr>
          <w:sz w:val="20"/>
          <w:szCs w:val="20"/>
          <w:color w:val="auto"/>
        </w:rPr>
      </w:pPr>
      <w:r>
        <w:rPr>
          <w:rFonts w:ascii="Arial" w:cs="Arial" w:eastAsia="Arial" w:hAnsi="Arial"/>
          <w:sz w:val="16"/>
          <w:szCs w:val="16"/>
          <w:color w:val="auto"/>
        </w:rPr>
        <w:t>The base bonus pool for each performance year (which we refer to as the “Base Bonus Pool”) is determined with reference to the aggregate target bonus of all bonus eligible employees. The actual bonus pool available for bonus payments with respect to all employees of the Company for the applicable performance year (which we refer to as the “Actual Bonus Pool”) may be funded up to 120% of the Base Bonus Pool if all KPIs are achieved, as determined by our Compensation Committee based on its quantitative and qualitative assessment of the level of achievement of the KPIs and overall Company financial and operating performance. Actual individual bonus amounts payable to our named executive officers were then determined based on the Compensation Committee’s review and assessment of the individual performance (taking into account our Chief Executive Officer’s assessment of individual performance of each executive, other than himself). The actual aggregate amount of cash bonuses paid to all of our employees, including our current named executive officers, for any performance year cannot exceed the Actual Bonus Pool approved by our Compensation Committee for such year.</w:t>
      </w:r>
    </w:p>
    <w:p>
      <w:pPr>
        <w:spacing w:after="0" w:line="69" w:lineRule="exact"/>
        <w:rPr>
          <w:sz w:val="20"/>
          <w:szCs w:val="20"/>
          <w:color w:val="auto"/>
        </w:rPr>
      </w:pPr>
    </w:p>
    <w:p>
      <w:pPr>
        <w:ind w:right="359"/>
        <w:spacing w:after="0" w:line="252" w:lineRule="auto"/>
        <w:rPr>
          <w:sz w:val="20"/>
          <w:szCs w:val="20"/>
          <w:color w:val="auto"/>
        </w:rPr>
      </w:pPr>
      <w:r>
        <w:rPr>
          <w:rFonts w:ascii="Arial" w:cs="Arial" w:eastAsia="Arial" w:hAnsi="Arial"/>
          <w:sz w:val="16"/>
          <w:szCs w:val="16"/>
          <w:color w:val="auto"/>
        </w:rPr>
        <w:t>In January 2022, the Compensation Committee reviewed a comprehensive report prepared by management summarizing the Company’s performance against the pre-established 2021 KPIs and the Company’s strategic, financial, exploration, development and production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514350</wp:posOffset>
            </wp:positionV>
            <wp:extent cx="693801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2">
            <w:col w:w="4400" w:space="220"/>
            <w:col w:w="4399"/>
          </w:cols>
          <w:pgMar w:left="1440" w:top="262" w:right="1440" w:bottom="1440" w:gutter="0" w:footer="0" w:header="0"/>
          <w:type w:val="continuous"/>
        </w:sectPr>
      </w:pPr>
    </w:p>
    <w:bookmarkStart w:id="45" w:name="page46"/>
    <w:bookmarkEnd w:id="45"/>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57785</wp:posOffset>
            </wp:positionV>
            <wp:extent cx="530542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191" w:lineRule="exact"/>
        <w:rPr>
          <w:sz w:val="20"/>
          <w:szCs w:val="20"/>
          <w:color w:val="auto"/>
        </w:rPr>
      </w:pPr>
    </w:p>
    <w:p>
      <w:pPr>
        <w:ind w:left="320" w:right="359"/>
        <w:spacing w:after="0" w:line="282" w:lineRule="auto"/>
        <w:rPr>
          <w:sz w:val="20"/>
          <w:szCs w:val="20"/>
          <w:color w:val="auto"/>
        </w:rPr>
      </w:pPr>
      <w:r>
        <w:rPr>
          <w:rFonts w:ascii="Arial" w:cs="Arial" w:eastAsia="Arial" w:hAnsi="Arial"/>
          <w:sz w:val="16"/>
          <w:szCs w:val="16"/>
          <w:color w:val="auto"/>
        </w:rPr>
        <w:t>The KPIs for the 2021 performance year, as judged by the Compensation Committee in January 2022, are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23495</wp:posOffset>
            </wp:positionV>
            <wp:extent cx="5305425" cy="50165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05425" cy="5016500"/>
                    </a:xfrm>
                    <a:prstGeom prst="rect">
                      <a:avLst/>
                    </a:prstGeom>
                    <a:noFill/>
                  </pic:spPr>
                </pic:pic>
              </a:graphicData>
            </a:graphic>
          </wp:anchor>
        </w:drawing>
      </w:r>
    </w:p>
    <w:p>
      <w:pPr>
        <w:spacing w:after="0" w:line="17" w:lineRule="exact"/>
        <w:rPr>
          <w:sz w:val="20"/>
          <w:szCs w:val="20"/>
          <w:color w:val="auto"/>
        </w:rPr>
      </w:pPr>
    </w:p>
    <w:tbl>
      <w:tblPr>
        <w:tblLayout w:type="fixed"/>
        <w:tblInd w:w="340" w:type="dxa"/>
        <w:tblCellMar>
          <w:top w:w="0" w:type="dxa"/>
          <w:left w:w="0" w:type="dxa"/>
          <w:bottom w:w="0" w:type="dxa"/>
          <w:right w:w="0" w:type="dxa"/>
        </w:tblCellMar>
      </w:tblPr>
      <w:tr>
        <w:trPr>
          <w:trHeight w:val="211"/>
        </w:trPr>
        <w:tc>
          <w:tcPr>
            <w:tcW w:w="1520" w:type="dxa"/>
            <w:vAlign w:val="bottom"/>
            <w:shd w:val="clear" w:color="auto" w:fill="CCCCCC"/>
          </w:tcPr>
          <w:p>
            <w:pPr>
              <w:spacing w:after="0"/>
              <w:rPr>
                <w:sz w:val="20"/>
                <w:szCs w:val="20"/>
                <w:color w:val="auto"/>
              </w:rPr>
            </w:pPr>
            <w:r>
              <w:rPr>
                <w:rFonts w:ascii="Times New Roman" w:cs="Times New Roman" w:eastAsia="Times New Roman" w:hAnsi="Times New Roman"/>
                <w:sz w:val="4"/>
                <w:szCs w:val="4"/>
                <w:color w:val="auto"/>
              </w:rPr>
              <w:t>​</w:t>
            </w:r>
          </w:p>
        </w:tc>
        <w:tc>
          <w:tcPr>
            <w:tcW w:w="5220" w:type="dxa"/>
            <w:vAlign w:val="bottom"/>
            <w:shd w:val="clear" w:color="auto" w:fill="CCCCCC"/>
          </w:tcPr>
          <w:p>
            <w:pPr>
              <w:ind w:left="1500"/>
              <w:spacing w:after="0"/>
              <w:rPr>
                <w:sz w:val="20"/>
                <w:szCs w:val="20"/>
                <w:color w:val="auto"/>
              </w:rPr>
            </w:pPr>
            <w:r>
              <w:rPr>
                <w:rFonts w:ascii="Arial" w:cs="Arial" w:eastAsia="Arial" w:hAnsi="Arial"/>
                <w:sz w:val="14"/>
                <w:szCs w:val="14"/>
                <w:b w:val="1"/>
                <w:bCs w:val="1"/>
                <w:color w:val="auto"/>
              </w:rPr>
              <w:t>2021 Key Performance Indicators</w:t>
            </w:r>
          </w:p>
        </w:tc>
        <w:tc>
          <w:tcPr>
            <w:tcW w:w="1600" w:type="dxa"/>
            <w:vAlign w:val="bottom"/>
            <w:shd w:val="clear" w:color="auto" w:fill="CCCCCC"/>
          </w:tcPr>
          <w:p>
            <w:pPr>
              <w:ind w:left="1480"/>
              <w:spacing w:after="0"/>
              <w:rPr>
                <w:sz w:val="20"/>
                <w:szCs w:val="20"/>
                <w:color w:val="auto"/>
              </w:rPr>
            </w:pPr>
            <w:r>
              <w:rPr>
                <w:rFonts w:ascii="Times New Roman" w:cs="Times New Roman" w:eastAsia="Times New Roman" w:hAnsi="Times New Roman"/>
                <w:sz w:val="4"/>
                <w:szCs w:val="4"/>
                <w:color w:val="auto"/>
              </w:rPr>
              <w:t>​</w:t>
            </w:r>
          </w:p>
        </w:tc>
      </w:tr>
      <w:tr>
        <w:trPr>
          <w:trHeight w:val="111"/>
        </w:trPr>
        <w:tc>
          <w:tcPr>
            <w:tcW w:w="1520" w:type="dxa"/>
            <w:vAlign w:val="bottom"/>
            <w:shd w:val="clear" w:color="auto" w:fill="CCCCCC"/>
          </w:tcPr>
          <w:p>
            <w:pPr>
              <w:spacing w:after="0"/>
              <w:rPr>
                <w:sz w:val="9"/>
                <w:szCs w:val="9"/>
                <w:color w:val="auto"/>
              </w:rPr>
            </w:pPr>
          </w:p>
        </w:tc>
        <w:tc>
          <w:tcPr>
            <w:tcW w:w="5220" w:type="dxa"/>
            <w:vAlign w:val="bottom"/>
            <w:shd w:val="clear" w:color="auto" w:fill="CCCCCC"/>
          </w:tcPr>
          <w:p>
            <w:pPr>
              <w:spacing w:after="0"/>
              <w:rPr>
                <w:sz w:val="9"/>
                <w:szCs w:val="9"/>
                <w:color w:val="auto"/>
              </w:rPr>
            </w:pPr>
          </w:p>
        </w:tc>
        <w:tc>
          <w:tcPr>
            <w:tcW w:w="1600" w:type="dxa"/>
            <w:vAlign w:val="bottom"/>
            <w:shd w:val="clear" w:color="auto" w:fill="CCCCCC"/>
          </w:tcPr>
          <w:p>
            <w:pPr>
              <w:spacing w:after="0"/>
              <w:rPr>
                <w:sz w:val="9"/>
                <w:szCs w:val="9"/>
                <w:color w:val="auto"/>
              </w:rPr>
            </w:pP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80" w:type="dxa"/>
            <w:vAlign w:val="bottom"/>
            <w:tcBorders>
              <w:top w:val="single" w:sz="8" w:color="2A3D6C"/>
            </w:tcBorders>
          </w:tcPr>
          <w:p>
            <w:pPr>
              <w:spacing w:after="0"/>
              <w:rPr>
                <w:sz w:val="20"/>
                <w:szCs w:val="20"/>
                <w:color w:val="auto"/>
              </w:rPr>
            </w:pPr>
            <w:r>
              <w:rPr>
                <w:rFonts w:ascii="Times New Roman" w:cs="Times New Roman" w:eastAsia="Times New Roman" w:hAnsi="Times New Roman"/>
                <w:sz w:val="4"/>
                <w:szCs w:val="4"/>
                <w:color w:val="auto"/>
              </w:rPr>
              <w:t>​</w:t>
            </w:r>
          </w:p>
        </w:tc>
        <w:tc>
          <w:tcPr>
            <w:tcW w:w="3100" w:type="dxa"/>
            <w:vAlign w:val="bottom"/>
            <w:tcBorders>
              <w:top w:val="single" w:sz="8" w:color="2A3D6C"/>
            </w:tcBorders>
            <w:vMerge w:val="restart"/>
            <w:shd w:val="clear" w:color="auto" w:fill="CCCCCC"/>
          </w:tcPr>
          <w:p>
            <w:pPr>
              <w:ind w:left="1440"/>
              <w:spacing w:after="0"/>
              <w:rPr>
                <w:sz w:val="20"/>
                <w:szCs w:val="20"/>
                <w:color w:val="auto"/>
              </w:rPr>
            </w:pPr>
            <w:r>
              <w:rPr>
                <w:rFonts w:ascii="Arial" w:cs="Arial" w:eastAsia="Arial" w:hAnsi="Arial"/>
                <w:sz w:val="16"/>
                <w:szCs w:val="16"/>
                <w:b w:val="1"/>
                <w:bCs w:val="1"/>
                <w:color w:val="auto"/>
              </w:rPr>
              <w:t>KPI</w:t>
            </w:r>
          </w:p>
        </w:tc>
        <w:tc>
          <w:tcPr>
            <w:tcW w:w="140" w:type="dxa"/>
            <w:vAlign w:val="bottom"/>
            <w:tcBorders>
              <w:top w:val="single" w:sz="8" w:color="2A3D6C"/>
            </w:tcBorders>
            <w:shd w:val="clear" w:color="auto" w:fill="CCCCCC"/>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top w:val="single" w:sz="8" w:color="2A3D6C"/>
            </w:tcBorders>
            <w:shd w:val="clear" w:color="auto" w:fill="CCCCC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Borders>
              <w:top w:val="single" w:sz="8" w:color="2A3D6C"/>
            </w:tcBorders>
            <w:shd w:val="clear" w:color="auto" w:fill="CCCCCC"/>
          </w:tcPr>
          <w:p>
            <w:pPr>
              <w:jc w:val="center"/>
              <w:spacing w:after="0"/>
              <w:rPr>
                <w:sz w:val="20"/>
                <w:szCs w:val="20"/>
                <w:color w:val="auto"/>
              </w:rPr>
            </w:pPr>
            <w:r>
              <w:rPr>
                <w:rFonts w:ascii="Arial" w:cs="Arial" w:eastAsia="Arial" w:hAnsi="Arial"/>
                <w:sz w:val="16"/>
                <w:szCs w:val="16"/>
                <w:b w:val="1"/>
                <w:bCs w:val="1"/>
                <w:color w:val="auto"/>
              </w:rPr>
              <w:t>Level of</w:t>
            </w:r>
          </w:p>
        </w:tc>
        <w:tc>
          <w:tcPr>
            <w:tcW w:w="120" w:type="dxa"/>
            <w:vAlign w:val="bottom"/>
            <w:tcBorders>
              <w:top w:val="single" w:sz="8" w:color="2A3D6C"/>
            </w:tcBorders>
            <w:shd w:val="clear" w:color="auto" w:fill="CCCCC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Borders>
              <w:top w:val="single" w:sz="8" w:color="2A3D6C"/>
            </w:tcBorders>
            <w:shd w:val="clear" w:color="auto" w:fill="2A3D6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top w:val="single" w:sz="8" w:color="2A3D6C"/>
              <w:left w:val="single" w:sz="8" w:color="2A3D6C"/>
            </w:tcBorders>
            <w:shd w:val="clear" w:color="auto" w:fill="CCCCCC"/>
          </w:tcPr>
          <w:p>
            <w:pPr>
              <w:spacing w:after="0"/>
              <w:rPr>
                <w:sz w:val="19"/>
                <w:szCs w:val="19"/>
                <w:color w:val="auto"/>
              </w:rPr>
            </w:pPr>
          </w:p>
        </w:tc>
        <w:tc>
          <w:tcPr>
            <w:tcW w:w="2780" w:type="dxa"/>
            <w:vAlign w:val="bottom"/>
            <w:tcBorders>
              <w:top w:val="single" w:sz="8" w:color="2A3D6C"/>
            </w:tcBorders>
            <w:vMerge w:val="restart"/>
            <w:shd w:val="clear" w:color="auto" w:fill="CCCCCC"/>
          </w:tcPr>
          <w:p>
            <w:pPr>
              <w:ind w:left="540"/>
              <w:spacing w:after="0"/>
              <w:rPr>
                <w:sz w:val="20"/>
                <w:szCs w:val="20"/>
                <w:color w:val="auto"/>
              </w:rPr>
            </w:pPr>
            <w:r>
              <w:rPr>
                <w:rFonts w:ascii="Arial" w:cs="Arial" w:eastAsia="Arial" w:hAnsi="Arial"/>
                <w:sz w:val="16"/>
                <w:szCs w:val="16"/>
                <w:b w:val="1"/>
                <w:bCs w:val="1"/>
                <w:color w:val="auto"/>
              </w:rPr>
              <w:t>Commentary</w:t>
            </w:r>
          </w:p>
        </w:tc>
        <w:tc>
          <w:tcPr>
            <w:tcW w:w="140" w:type="dxa"/>
            <w:vAlign w:val="bottom"/>
            <w:tcBorders>
              <w:top w:val="single" w:sz="8" w:color="2A3D6C"/>
            </w:tcBorders>
            <w:shd w:val="clear" w:color="auto" w:fill="CCCCC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34"/>
        </w:trPr>
        <w:tc>
          <w:tcPr>
            <w:tcW w:w="80" w:type="dxa"/>
            <w:vAlign w:val="bottom"/>
            <w:tcBorders>
              <w:bottom w:val="single" w:sz="8" w:color="606489"/>
            </w:tcBorders>
          </w:tcPr>
          <w:p>
            <w:pPr>
              <w:spacing w:after="0"/>
              <w:rPr>
                <w:sz w:val="20"/>
                <w:szCs w:val="20"/>
                <w:color w:val="auto"/>
              </w:rPr>
            </w:pPr>
          </w:p>
        </w:tc>
        <w:tc>
          <w:tcPr>
            <w:tcW w:w="3100" w:type="dxa"/>
            <w:vAlign w:val="bottom"/>
            <w:tcBorders>
              <w:bottom w:val="single" w:sz="8" w:color="606489"/>
            </w:tcBorders>
            <w:vMerge w:val="continue"/>
            <w:shd w:val="clear" w:color="auto" w:fill="CCCCCC"/>
          </w:tcPr>
          <w:p>
            <w:pPr>
              <w:spacing w:after="0"/>
              <w:rPr>
                <w:sz w:val="20"/>
                <w:szCs w:val="20"/>
                <w:color w:val="auto"/>
              </w:rPr>
            </w:pPr>
          </w:p>
        </w:tc>
        <w:tc>
          <w:tcPr>
            <w:tcW w:w="140" w:type="dxa"/>
            <w:vAlign w:val="bottom"/>
            <w:tcBorders>
              <w:bottom w:val="single" w:sz="8" w:color="606489"/>
            </w:tcBorders>
            <w:shd w:val="clear" w:color="auto" w:fill="CCCCCC"/>
          </w:tcPr>
          <w:p>
            <w:pPr>
              <w:spacing w:after="0"/>
              <w:rPr>
                <w:sz w:val="20"/>
                <w:szCs w:val="20"/>
                <w:color w:val="auto"/>
              </w:rPr>
            </w:pPr>
          </w:p>
        </w:tc>
        <w:tc>
          <w:tcPr>
            <w:tcW w:w="100" w:type="dxa"/>
            <w:vAlign w:val="bottom"/>
            <w:tcBorders>
              <w:bottom w:val="single" w:sz="8" w:color="606489"/>
            </w:tcBorders>
            <w:shd w:val="clear" w:color="auto" w:fill="CCCCCC"/>
          </w:tcPr>
          <w:p>
            <w:pPr>
              <w:spacing w:after="0"/>
              <w:rPr>
                <w:sz w:val="20"/>
                <w:szCs w:val="20"/>
                <w:color w:val="auto"/>
              </w:rPr>
            </w:pPr>
          </w:p>
        </w:tc>
        <w:tc>
          <w:tcPr>
            <w:tcW w:w="1040" w:type="dxa"/>
            <w:vAlign w:val="bottom"/>
            <w:tcBorders>
              <w:bottom w:val="single" w:sz="8" w:color="606489"/>
            </w:tcBorders>
            <w:shd w:val="clear" w:color="auto" w:fill="CCCCCC"/>
          </w:tcPr>
          <w:p>
            <w:pPr>
              <w:jc w:val="center"/>
              <w:spacing w:after="0"/>
              <w:rPr>
                <w:sz w:val="20"/>
                <w:szCs w:val="20"/>
                <w:color w:val="auto"/>
              </w:rPr>
            </w:pPr>
            <w:r>
              <w:rPr>
                <w:rFonts w:ascii="Arial" w:cs="Arial" w:eastAsia="Arial" w:hAnsi="Arial"/>
                <w:sz w:val="16"/>
                <w:szCs w:val="16"/>
                <w:b w:val="1"/>
                <w:bCs w:val="1"/>
                <w:color w:val="auto"/>
              </w:rPr>
              <w:t>Achievement</w:t>
            </w:r>
          </w:p>
        </w:tc>
        <w:tc>
          <w:tcPr>
            <w:tcW w:w="120" w:type="dxa"/>
            <w:vAlign w:val="bottom"/>
            <w:tcBorders>
              <w:bottom w:val="single" w:sz="8" w:color="606489"/>
            </w:tcBorders>
            <w:shd w:val="clear" w:color="auto" w:fill="CCCCCC"/>
          </w:tcPr>
          <w:p>
            <w:pPr>
              <w:spacing w:after="0"/>
              <w:rPr>
                <w:sz w:val="20"/>
                <w:szCs w:val="20"/>
                <w:color w:val="auto"/>
              </w:rPr>
            </w:pPr>
          </w:p>
        </w:tc>
        <w:tc>
          <w:tcPr>
            <w:tcW w:w="20" w:type="dxa"/>
            <w:vAlign w:val="bottom"/>
            <w:tcBorders>
              <w:bottom w:val="single" w:sz="8" w:color="2A3D6C"/>
            </w:tcBorders>
            <w:shd w:val="clear" w:color="auto" w:fill="2A3D6C"/>
          </w:tcPr>
          <w:p>
            <w:pPr>
              <w:spacing w:after="0"/>
              <w:rPr>
                <w:sz w:val="20"/>
                <w:szCs w:val="20"/>
                <w:color w:val="auto"/>
              </w:rPr>
            </w:pPr>
          </w:p>
        </w:tc>
        <w:tc>
          <w:tcPr>
            <w:tcW w:w="820" w:type="dxa"/>
            <w:vAlign w:val="bottom"/>
            <w:tcBorders>
              <w:left w:val="single" w:sz="8" w:color="2A3D6C"/>
              <w:bottom w:val="single" w:sz="8" w:color="606489"/>
            </w:tcBorders>
            <w:shd w:val="clear" w:color="auto" w:fill="CCCCCC"/>
          </w:tcPr>
          <w:p>
            <w:pPr>
              <w:spacing w:after="0"/>
              <w:rPr>
                <w:sz w:val="20"/>
                <w:szCs w:val="20"/>
                <w:color w:val="auto"/>
              </w:rPr>
            </w:pPr>
          </w:p>
        </w:tc>
        <w:tc>
          <w:tcPr>
            <w:tcW w:w="2780" w:type="dxa"/>
            <w:vAlign w:val="bottom"/>
            <w:tcBorders>
              <w:bottom w:val="single" w:sz="8" w:color="606489"/>
            </w:tcBorders>
            <w:vMerge w:val="continue"/>
            <w:shd w:val="clear" w:color="auto" w:fill="CCCCCC"/>
          </w:tcPr>
          <w:p>
            <w:pPr>
              <w:spacing w:after="0"/>
              <w:rPr>
                <w:sz w:val="20"/>
                <w:szCs w:val="20"/>
                <w:color w:val="auto"/>
              </w:rPr>
            </w:pPr>
          </w:p>
        </w:tc>
        <w:tc>
          <w:tcPr>
            <w:tcW w:w="140" w:type="dxa"/>
            <w:vAlign w:val="bottom"/>
            <w:tcBorders>
              <w:bottom w:val="single" w:sz="8" w:color="606489"/>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80" w:type="dxa"/>
            <w:vAlign w:val="bottom"/>
            <w:shd w:val="clear" w:color="auto" w:fill="606489"/>
          </w:tcPr>
          <w:p>
            <w:pPr>
              <w:spacing w:after="0"/>
              <w:rPr>
                <w:sz w:val="20"/>
                <w:szCs w:val="20"/>
                <w:color w:val="auto"/>
              </w:rPr>
            </w:pPr>
            <w:r>
              <w:rPr>
                <w:rFonts w:ascii="Times New Roman" w:cs="Times New Roman" w:eastAsia="Times New Roman" w:hAnsi="Times New Roman"/>
                <w:sz w:val="4"/>
                <w:szCs w:val="4"/>
                <w:color w:val="auto"/>
              </w:rPr>
              <w:t>​</w:t>
            </w:r>
          </w:p>
        </w:tc>
        <w:tc>
          <w:tcPr>
            <w:tcW w:w="5340" w:type="dxa"/>
            <w:vAlign w:val="bottom"/>
            <w:gridSpan w:val="7"/>
            <w:shd w:val="clear" w:color="auto" w:fill="606489"/>
          </w:tcPr>
          <w:p>
            <w:pPr>
              <w:ind w:left="3000"/>
              <w:spacing w:after="0" w:line="148" w:lineRule="exact"/>
              <w:rPr>
                <w:sz w:val="20"/>
                <w:szCs w:val="20"/>
                <w:color w:val="auto"/>
              </w:rPr>
            </w:pPr>
            <w:r>
              <w:rPr>
                <w:rFonts w:ascii="Arial" w:cs="Arial" w:eastAsia="Arial" w:hAnsi="Arial"/>
                <w:sz w:val="16"/>
                <w:szCs w:val="16"/>
                <w:b w:val="1"/>
                <w:bCs w:val="1"/>
                <w:color w:val="FFFFFF"/>
              </w:rPr>
              <w:t>Enhance License to Operate</w:t>
            </w:r>
          </w:p>
        </w:tc>
        <w:tc>
          <w:tcPr>
            <w:tcW w:w="2780" w:type="dxa"/>
            <w:vAlign w:val="bottom"/>
            <w:shd w:val="clear" w:color="auto" w:fill="606489"/>
          </w:tcPr>
          <w:p>
            <w:pPr>
              <w:spacing w:after="0"/>
              <w:rPr>
                <w:sz w:val="13"/>
                <w:szCs w:val="13"/>
                <w:color w:val="auto"/>
              </w:rPr>
            </w:pPr>
          </w:p>
        </w:tc>
        <w:tc>
          <w:tcPr>
            <w:tcW w:w="140" w:type="dxa"/>
            <w:vAlign w:val="bottom"/>
            <w:shd w:val="clear" w:color="auto" w:fill="60648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24"/>
        </w:trPr>
        <w:tc>
          <w:tcPr>
            <w:tcW w:w="80" w:type="dxa"/>
            <w:vAlign w:val="bottom"/>
            <w:tcBorders>
              <w:bottom w:val="single" w:sz="8" w:color="2A3D6C"/>
            </w:tcBorders>
            <w:shd w:val="clear" w:color="auto" w:fill="606489"/>
          </w:tcPr>
          <w:p>
            <w:pPr>
              <w:spacing w:after="0"/>
              <w:rPr>
                <w:sz w:val="10"/>
                <w:szCs w:val="10"/>
                <w:color w:val="auto"/>
              </w:rPr>
            </w:pPr>
          </w:p>
        </w:tc>
        <w:tc>
          <w:tcPr>
            <w:tcW w:w="3100" w:type="dxa"/>
            <w:vAlign w:val="bottom"/>
            <w:tcBorders>
              <w:bottom w:val="single" w:sz="8" w:color="2A3D6C"/>
            </w:tcBorders>
            <w:shd w:val="clear" w:color="auto" w:fill="606489"/>
          </w:tcPr>
          <w:p>
            <w:pPr>
              <w:spacing w:after="0"/>
              <w:rPr>
                <w:sz w:val="10"/>
                <w:szCs w:val="10"/>
                <w:color w:val="auto"/>
              </w:rPr>
            </w:pPr>
          </w:p>
        </w:tc>
        <w:tc>
          <w:tcPr>
            <w:tcW w:w="140" w:type="dxa"/>
            <w:vAlign w:val="bottom"/>
            <w:tcBorders>
              <w:bottom w:val="single" w:sz="8" w:color="2A3D6C"/>
            </w:tcBorders>
            <w:shd w:val="clear" w:color="auto" w:fill="606489"/>
          </w:tcPr>
          <w:p>
            <w:pPr>
              <w:spacing w:after="0"/>
              <w:rPr>
                <w:sz w:val="10"/>
                <w:szCs w:val="10"/>
                <w:color w:val="auto"/>
              </w:rPr>
            </w:pPr>
          </w:p>
        </w:tc>
        <w:tc>
          <w:tcPr>
            <w:tcW w:w="100" w:type="dxa"/>
            <w:vAlign w:val="bottom"/>
            <w:tcBorders>
              <w:bottom w:val="single" w:sz="8" w:color="2A3D6C"/>
            </w:tcBorders>
            <w:shd w:val="clear" w:color="auto" w:fill="606489"/>
          </w:tcPr>
          <w:p>
            <w:pPr>
              <w:spacing w:after="0"/>
              <w:rPr>
                <w:sz w:val="10"/>
                <w:szCs w:val="10"/>
                <w:color w:val="auto"/>
              </w:rPr>
            </w:pPr>
          </w:p>
        </w:tc>
        <w:tc>
          <w:tcPr>
            <w:tcW w:w="1040" w:type="dxa"/>
            <w:vAlign w:val="bottom"/>
            <w:tcBorders>
              <w:bottom w:val="single" w:sz="8" w:color="2A3D6C"/>
            </w:tcBorders>
            <w:shd w:val="clear" w:color="auto" w:fill="606489"/>
          </w:tcPr>
          <w:p>
            <w:pPr>
              <w:spacing w:after="0"/>
              <w:rPr>
                <w:sz w:val="10"/>
                <w:szCs w:val="10"/>
                <w:color w:val="auto"/>
              </w:rPr>
            </w:pPr>
          </w:p>
        </w:tc>
        <w:tc>
          <w:tcPr>
            <w:tcW w:w="120" w:type="dxa"/>
            <w:vAlign w:val="bottom"/>
            <w:tcBorders>
              <w:bottom w:val="single" w:sz="8" w:color="2A3D6C"/>
            </w:tcBorders>
            <w:shd w:val="clear" w:color="auto" w:fill="606489"/>
          </w:tcPr>
          <w:p>
            <w:pPr>
              <w:spacing w:after="0"/>
              <w:rPr>
                <w:sz w:val="10"/>
                <w:szCs w:val="10"/>
                <w:color w:val="auto"/>
              </w:rPr>
            </w:pPr>
          </w:p>
        </w:tc>
        <w:tc>
          <w:tcPr>
            <w:tcW w:w="20" w:type="dxa"/>
            <w:vAlign w:val="bottom"/>
            <w:tcBorders>
              <w:bottom w:val="single" w:sz="8" w:color="2A3D6C"/>
            </w:tcBorders>
            <w:shd w:val="clear" w:color="auto" w:fill="606489"/>
          </w:tcPr>
          <w:p>
            <w:pPr>
              <w:spacing w:after="0"/>
              <w:rPr>
                <w:sz w:val="10"/>
                <w:szCs w:val="10"/>
                <w:color w:val="auto"/>
              </w:rPr>
            </w:pPr>
          </w:p>
        </w:tc>
        <w:tc>
          <w:tcPr>
            <w:tcW w:w="3600" w:type="dxa"/>
            <w:vAlign w:val="bottom"/>
            <w:tcBorders>
              <w:left w:val="single" w:sz="8" w:color="606489"/>
              <w:bottom w:val="single" w:sz="8" w:color="2A3D6C"/>
            </w:tcBorders>
            <w:gridSpan w:val="2"/>
            <w:shd w:val="clear" w:color="auto" w:fill="606489"/>
          </w:tcPr>
          <w:p>
            <w:pPr>
              <w:spacing w:after="0"/>
              <w:rPr>
                <w:sz w:val="10"/>
                <w:szCs w:val="10"/>
                <w:color w:val="auto"/>
              </w:rPr>
            </w:pPr>
          </w:p>
        </w:tc>
        <w:tc>
          <w:tcPr>
            <w:tcW w:w="140" w:type="dxa"/>
            <w:vAlign w:val="bottom"/>
            <w:tcBorders>
              <w:bottom w:val="single" w:sz="8" w:color="2A3D6C"/>
            </w:tcBorders>
            <w:shd w:val="clear" w:color="auto" w:fill="606489"/>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Zero anticorruption violations</w:t>
            </w:r>
          </w:p>
        </w:tc>
        <w:tc>
          <w:tcPr>
            <w:tcW w:w="140" w:type="dxa"/>
            <w:vAlign w:val="bottom"/>
          </w:tcPr>
          <w:p>
            <w:pPr>
              <w:spacing w:after="0"/>
              <w:rPr>
                <w:sz w:val="17"/>
                <w:szCs w:val="17"/>
                <w:color w:val="auto"/>
              </w:rPr>
            </w:pPr>
          </w:p>
        </w:tc>
        <w:tc>
          <w:tcPr>
            <w:tcW w:w="100" w:type="dxa"/>
            <w:vAlign w:val="bottom"/>
            <w:shd w:val="clear" w:color="auto" w:fill="00FF00"/>
          </w:tcPr>
          <w:p>
            <w:pPr>
              <w:spacing w:after="0"/>
              <w:rPr>
                <w:sz w:val="17"/>
                <w:szCs w:val="17"/>
                <w:color w:val="auto"/>
              </w:rPr>
            </w:pPr>
          </w:p>
        </w:tc>
        <w:tc>
          <w:tcPr>
            <w:tcW w:w="1040" w:type="dxa"/>
            <w:vAlign w:val="bottom"/>
            <w:shd w:val="clear" w:color="auto" w:fill="00FF00"/>
          </w:tcPr>
          <w:p>
            <w:pPr>
              <w:jc w:val="center"/>
              <w:spacing w:after="0"/>
              <w:rPr>
                <w:sz w:val="20"/>
                <w:szCs w:val="20"/>
                <w:color w:val="auto"/>
              </w:rPr>
            </w:pPr>
            <w:r>
              <w:rPr>
                <w:rFonts w:ascii="Arial" w:cs="Arial" w:eastAsia="Arial" w:hAnsi="Arial"/>
                <w:sz w:val="16"/>
                <w:szCs w:val="16"/>
                <w:b w:val="1"/>
                <w:bCs w:val="1"/>
                <w:color w:val="auto"/>
                <w:w w:val="98"/>
              </w:rPr>
              <w:t>Achieved</w:t>
            </w:r>
          </w:p>
        </w:tc>
        <w:tc>
          <w:tcPr>
            <w:tcW w:w="120" w:type="dxa"/>
            <w:vAlign w:val="bottom"/>
            <w:shd w:val="clear" w:color="auto" w:fill="00FF00"/>
          </w:tcPr>
          <w:p>
            <w:pPr>
              <w:spacing w:after="0"/>
              <w:rPr>
                <w:sz w:val="17"/>
                <w:szCs w:val="17"/>
                <w:color w:val="auto"/>
              </w:rPr>
            </w:pPr>
          </w:p>
        </w:tc>
        <w:tc>
          <w:tcPr>
            <w:tcW w:w="20" w:type="dxa"/>
            <w:vAlign w:val="bottom"/>
            <w:shd w:val="clear" w:color="auto" w:fill="2A3D6C"/>
          </w:tcPr>
          <w:p>
            <w:pPr>
              <w:spacing w:after="0"/>
              <w:rPr>
                <w:sz w:val="17"/>
                <w:szCs w:val="17"/>
                <w:color w:val="auto"/>
              </w:rPr>
            </w:pPr>
          </w:p>
        </w:tc>
        <w:tc>
          <w:tcPr>
            <w:tcW w:w="3600" w:type="dxa"/>
            <w:vAlign w:val="bottom"/>
            <w:gridSpan w:val="2"/>
          </w:tcPr>
          <w:p>
            <w:pPr>
              <w:ind w:left="80"/>
              <w:spacing w:after="0"/>
              <w:rPr>
                <w:sz w:val="20"/>
                <w:szCs w:val="20"/>
                <w:color w:val="auto"/>
              </w:rPr>
            </w:pPr>
            <w:r>
              <w:rPr>
                <w:rFonts w:ascii="Arial" w:cs="Arial" w:eastAsia="Arial" w:hAnsi="Arial"/>
                <w:sz w:val="16"/>
                <w:szCs w:val="16"/>
                <w:color w:val="auto"/>
              </w:rPr>
              <w:t>Continued to satisfy anticorruption compliance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10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00FF0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shd w:val="clear" w:color="auto" w:fill="00FF00"/>
          </w:tcPr>
          <w:p>
            <w:pPr>
              <w:spacing w:after="0"/>
              <w:rPr>
                <w:sz w:val="16"/>
                <w:szCs w:val="16"/>
                <w:color w:val="auto"/>
              </w:rPr>
            </w:pPr>
          </w:p>
        </w:tc>
        <w:tc>
          <w:tcPr>
            <w:tcW w:w="120" w:type="dxa"/>
            <w:vAlign w:val="bottom"/>
            <w:shd w:val="clear" w:color="auto" w:fill="00FF0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740" w:type="dxa"/>
            <w:vAlign w:val="bottom"/>
            <w:gridSpan w:val="3"/>
          </w:tcPr>
          <w:p>
            <w:pPr>
              <w:ind w:left="80"/>
              <w:spacing w:after="0"/>
              <w:rPr>
                <w:sz w:val="20"/>
                <w:szCs w:val="20"/>
                <w:color w:val="auto"/>
              </w:rPr>
            </w:pPr>
            <w:r>
              <w:rPr>
                <w:rFonts w:ascii="Arial" w:cs="Arial" w:eastAsia="Arial" w:hAnsi="Arial"/>
                <w:sz w:val="16"/>
                <w:szCs w:val="16"/>
                <w:color w:val="auto"/>
              </w:rPr>
              <w:t xml:space="preserve">requirements via proactive diligence and training,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00FF00"/>
            </w:tcBorders>
            <w:shd w:val="clear" w:color="auto" w:fill="00FF00"/>
          </w:tcPr>
          <w:p>
            <w:pPr>
              <w:spacing w:after="0"/>
              <w:rPr>
                <w:sz w:val="21"/>
                <w:szCs w:val="21"/>
                <w:color w:val="auto"/>
              </w:rPr>
            </w:pPr>
          </w:p>
        </w:tc>
        <w:tc>
          <w:tcPr>
            <w:tcW w:w="1040" w:type="dxa"/>
            <w:vAlign w:val="bottom"/>
            <w:tcBorders>
              <w:bottom w:val="single" w:sz="8" w:color="00FF00"/>
            </w:tcBorders>
            <w:shd w:val="clear" w:color="auto" w:fill="00FF00"/>
          </w:tcPr>
          <w:p>
            <w:pPr>
              <w:spacing w:after="0"/>
              <w:rPr>
                <w:sz w:val="21"/>
                <w:szCs w:val="21"/>
                <w:color w:val="auto"/>
              </w:rPr>
            </w:pPr>
          </w:p>
        </w:tc>
        <w:tc>
          <w:tcPr>
            <w:tcW w:w="120" w:type="dxa"/>
            <w:vAlign w:val="bottom"/>
            <w:tcBorders>
              <w:bottom w:val="single" w:sz="8" w:color="00FF00"/>
            </w:tcBorders>
            <w:shd w:val="clear" w:color="auto" w:fill="00FF00"/>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3600" w:type="dxa"/>
            <w:vAlign w:val="bottom"/>
            <w:gridSpan w:val="2"/>
          </w:tcPr>
          <w:p>
            <w:pPr>
              <w:ind w:left="80"/>
              <w:spacing w:after="0"/>
              <w:rPr>
                <w:sz w:val="20"/>
                <w:szCs w:val="20"/>
                <w:color w:val="auto"/>
              </w:rPr>
            </w:pPr>
            <w:r>
              <w:rPr>
                <w:rFonts w:ascii="Arial" w:cs="Arial" w:eastAsia="Arial" w:hAnsi="Arial"/>
                <w:sz w:val="16"/>
                <w:szCs w:val="16"/>
                <w:color w:val="auto"/>
              </w:rPr>
              <w:t>and constant compliance vigilance.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0" w:type="dxa"/>
            <w:vAlign w:val="bottom"/>
            <w:tcBorders>
              <w:top w:val="single" w:sz="8" w:color="2A3D6C"/>
            </w:tcBorders>
          </w:tcPr>
          <w:p>
            <w:pPr>
              <w:spacing w:after="0"/>
              <w:rPr>
                <w:sz w:val="17"/>
                <w:szCs w:val="17"/>
                <w:color w:val="auto"/>
              </w:rPr>
            </w:pPr>
          </w:p>
        </w:tc>
        <w:tc>
          <w:tcPr>
            <w:tcW w:w="310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Deliver Health, Safety, Environment and</w:t>
            </w:r>
          </w:p>
        </w:tc>
        <w:tc>
          <w:tcPr>
            <w:tcW w:w="140" w:type="dxa"/>
            <w:vAlign w:val="bottom"/>
            <w:tcBorders>
              <w:top w:val="single" w:sz="8" w:color="2A3D6C"/>
            </w:tcBorders>
          </w:tcPr>
          <w:p>
            <w:pPr>
              <w:spacing w:after="0"/>
              <w:rPr>
                <w:sz w:val="17"/>
                <w:szCs w:val="17"/>
                <w:color w:val="auto"/>
              </w:rPr>
            </w:pPr>
          </w:p>
        </w:tc>
        <w:tc>
          <w:tcPr>
            <w:tcW w:w="100" w:type="dxa"/>
            <w:vAlign w:val="bottom"/>
            <w:tcBorders>
              <w:top w:val="single" w:sz="8" w:color="2A3D6C"/>
            </w:tcBorders>
            <w:shd w:val="clear" w:color="auto" w:fill="FFFF00"/>
          </w:tcPr>
          <w:p>
            <w:pPr>
              <w:spacing w:after="0"/>
              <w:rPr>
                <w:sz w:val="17"/>
                <w:szCs w:val="17"/>
                <w:color w:val="auto"/>
              </w:rPr>
            </w:pPr>
          </w:p>
        </w:tc>
        <w:tc>
          <w:tcPr>
            <w:tcW w:w="1040" w:type="dxa"/>
            <w:vAlign w:val="bottom"/>
            <w:tcBorders>
              <w:top w:val="single" w:sz="8" w:color="2A3D6C"/>
            </w:tcBorders>
            <w:shd w:val="clear" w:color="auto" w:fill="FFFF00"/>
          </w:tcPr>
          <w:p>
            <w:pPr>
              <w:jc w:val="center"/>
              <w:spacing w:after="0"/>
              <w:rPr>
                <w:sz w:val="20"/>
                <w:szCs w:val="20"/>
                <w:color w:val="auto"/>
              </w:rPr>
            </w:pPr>
            <w:r>
              <w:rPr>
                <w:rFonts w:ascii="Arial" w:cs="Arial" w:eastAsia="Arial" w:hAnsi="Arial"/>
                <w:sz w:val="16"/>
                <w:szCs w:val="16"/>
                <w:b w:val="1"/>
                <w:bCs w:val="1"/>
                <w:color w:val="auto"/>
                <w:w w:val="99"/>
              </w:rPr>
              <w:t>Partially</w:t>
            </w:r>
          </w:p>
        </w:tc>
        <w:tc>
          <w:tcPr>
            <w:tcW w:w="120" w:type="dxa"/>
            <w:vAlign w:val="bottom"/>
            <w:tcBorders>
              <w:top w:val="single" w:sz="8" w:color="2A3D6C"/>
            </w:tcBorders>
            <w:shd w:val="clear" w:color="auto" w:fill="FFFF00"/>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3600" w:type="dxa"/>
            <w:vAlign w:val="bottom"/>
            <w:tcBorders>
              <w:top w:val="single" w:sz="8" w:color="2A3D6C"/>
            </w:tcBorders>
            <w:gridSpan w:val="2"/>
          </w:tcPr>
          <w:p>
            <w:pPr>
              <w:ind w:left="80"/>
              <w:spacing w:after="0"/>
              <w:rPr>
                <w:sz w:val="20"/>
                <w:szCs w:val="20"/>
                <w:color w:val="auto"/>
              </w:rPr>
            </w:pPr>
            <w:r>
              <w:rPr>
                <w:rFonts w:ascii="Arial" w:cs="Arial" w:eastAsia="Arial" w:hAnsi="Arial"/>
                <w:sz w:val="16"/>
                <w:szCs w:val="16"/>
                <w:color w:val="auto"/>
              </w:rPr>
              <w:t>Delivered all five HSES plan targets, with one</w:t>
            </w:r>
          </w:p>
        </w:tc>
        <w:tc>
          <w:tcPr>
            <w:tcW w:w="140" w:type="dxa"/>
            <w:vAlign w:val="bottom"/>
            <w:tcBorders>
              <w:top w:val="single" w:sz="8" w:color="2A3D6C"/>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100" w:type="dxa"/>
            <w:vAlign w:val="bottom"/>
          </w:tcPr>
          <w:p>
            <w:pPr>
              <w:ind w:left="60"/>
              <w:spacing w:after="0"/>
              <w:rPr>
                <w:sz w:val="20"/>
                <w:szCs w:val="20"/>
                <w:color w:val="auto"/>
              </w:rPr>
            </w:pPr>
            <w:r>
              <w:rPr>
                <w:rFonts w:ascii="Arial" w:cs="Arial" w:eastAsia="Arial" w:hAnsi="Arial"/>
                <w:sz w:val="16"/>
                <w:szCs w:val="16"/>
                <w:color w:val="auto"/>
              </w:rPr>
              <w:t>Sustainability (HSES) plan targets</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FFFF0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shd w:val="clear" w:color="auto" w:fill="FFFF00"/>
          </w:tcPr>
          <w:p>
            <w:pPr>
              <w:jc w:val="center"/>
              <w:spacing w:after="0"/>
              <w:rPr>
                <w:sz w:val="20"/>
                <w:szCs w:val="20"/>
                <w:color w:val="auto"/>
              </w:rPr>
            </w:pPr>
            <w:r>
              <w:rPr>
                <w:rFonts w:ascii="Arial" w:cs="Arial" w:eastAsia="Arial" w:hAnsi="Arial"/>
                <w:sz w:val="16"/>
                <w:szCs w:val="16"/>
                <w:b w:val="1"/>
                <w:bCs w:val="1"/>
                <w:color w:val="auto"/>
                <w:w w:val="98"/>
              </w:rPr>
              <w:t>Achieved</w:t>
            </w:r>
          </w:p>
        </w:tc>
        <w:tc>
          <w:tcPr>
            <w:tcW w:w="120" w:type="dxa"/>
            <w:vAlign w:val="bottom"/>
            <w:shd w:val="clear" w:color="auto" w:fill="FFFF0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600" w:type="dxa"/>
            <w:vAlign w:val="bottom"/>
            <w:gridSpan w:val="2"/>
          </w:tcPr>
          <w:p>
            <w:pPr>
              <w:ind w:left="80"/>
              <w:spacing w:after="0"/>
              <w:rPr>
                <w:sz w:val="20"/>
                <w:szCs w:val="20"/>
                <w:color w:val="auto"/>
              </w:rPr>
            </w:pPr>
            <w:r>
              <w:rPr>
                <w:rFonts w:ascii="Arial" w:cs="Arial" w:eastAsia="Arial" w:hAnsi="Arial"/>
                <w:sz w:val="16"/>
                <w:szCs w:val="16"/>
                <w:color w:val="auto"/>
              </w:rPr>
              <w:t>fatality on the West Neptune Drilling Rig (Gulf of</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FFFF00"/>
            </w:tcBorders>
            <w:shd w:val="clear" w:color="auto" w:fill="FFFF00"/>
          </w:tcPr>
          <w:p>
            <w:pPr>
              <w:spacing w:after="0"/>
              <w:rPr>
                <w:sz w:val="21"/>
                <w:szCs w:val="21"/>
                <w:color w:val="auto"/>
              </w:rPr>
            </w:pPr>
          </w:p>
        </w:tc>
        <w:tc>
          <w:tcPr>
            <w:tcW w:w="1040" w:type="dxa"/>
            <w:vAlign w:val="bottom"/>
            <w:tcBorders>
              <w:bottom w:val="single" w:sz="8" w:color="FFFF00"/>
            </w:tcBorders>
            <w:shd w:val="clear" w:color="auto" w:fill="FFFF00"/>
          </w:tcPr>
          <w:p>
            <w:pPr>
              <w:spacing w:after="0"/>
              <w:rPr>
                <w:sz w:val="21"/>
                <w:szCs w:val="21"/>
                <w:color w:val="auto"/>
              </w:rPr>
            </w:pPr>
          </w:p>
        </w:tc>
        <w:tc>
          <w:tcPr>
            <w:tcW w:w="120" w:type="dxa"/>
            <w:vAlign w:val="bottom"/>
            <w:tcBorders>
              <w:bottom w:val="single" w:sz="8" w:color="FFFF00"/>
            </w:tcBorders>
            <w:shd w:val="clear" w:color="auto" w:fill="FFFF00"/>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Mexico).</w:t>
            </w:r>
          </w:p>
        </w:tc>
        <w:tc>
          <w:tcPr>
            <w:tcW w:w="2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80" w:type="dxa"/>
            <w:vAlign w:val="bottom"/>
            <w:tcBorders>
              <w:top w:val="single" w:sz="8" w:color="2A3D6C"/>
            </w:tcBorders>
          </w:tcPr>
          <w:p>
            <w:pPr>
              <w:spacing w:after="0"/>
              <w:rPr>
                <w:sz w:val="16"/>
                <w:szCs w:val="16"/>
                <w:color w:val="auto"/>
              </w:rPr>
            </w:pPr>
          </w:p>
        </w:tc>
        <w:tc>
          <w:tcPr>
            <w:tcW w:w="310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Establish Kosmos as a company</w:t>
            </w:r>
          </w:p>
        </w:tc>
        <w:tc>
          <w:tcPr>
            <w:tcW w:w="140" w:type="dxa"/>
            <w:vAlign w:val="bottom"/>
            <w:tcBorders>
              <w:top w:val="single" w:sz="8" w:color="2A3D6C"/>
            </w:tcBorders>
          </w:tcPr>
          <w:p>
            <w:pPr>
              <w:spacing w:after="0"/>
              <w:rPr>
                <w:sz w:val="16"/>
                <w:szCs w:val="16"/>
                <w:color w:val="auto"/>
              </w:rPr>
            </w:pPr>
          </w:p>
        </w:tc>
        <w:tc>
          <w:tcPr>
            <w:tcW w:w="100" w:type="dxa"/>
            <w:vAlign w:val="bottom"/>
            <w:tcBorders>
              <w:top w:val="single" w:sz="8" w:color="2A3D6C"/>
            </w:tcBorders>
            <w:shd w:val="clear" w:color="auto" w:fill="00FF00"/>
          </w:tcPr>
          <w:p>
            <w:pPr>
              <w:spacing w:after="0"/>
              <w:rPr>
                <w:sz w:val="16"/>
                <w:szCs w:val="16"/>
                <w:color w:val="auto"/>
              </w:rPr>
            </w:pPr>
          </w:p>
        </w:tc>
        <w:tc>
          <w:tcPr>
            <w:tcW w:w="1040" w:type="dxa"/>
            <w:vAlign w:val="bottom"/>
            <w:tcBorders>
              <w:top w:val="single" w:sz="8" w:color="2A3D6C"/>
            </w:tcBorders>
            <w:shd w:val="clear" w:color="auto" w:fill="00FF00"/>
          </w:tcPr>
          <w:p>
            <w:pPr>
              <w:jc w:val="center"/>
              <w:spacing w:after="0"/>
              <w:rPr>
                <w:sz w:val="20"/>
                <w:szCs w:val="20"/>
                <w:color w:val="auto"/>
              </w:rPr>
            </w:pPr>
            <w:r>
              <w:rPr>
                <w:rFonts w:ascii="Arial" w:cs="Arial" w:eastAsia="Arial" w:hAnsi="Arial"/>
                <w:sz w:val="16"/>
                <w:szCs w:val="16"/>
                <w:b w:val="1"/>
                <w:bCs w:val="1"/>
                <w:color w:val="auto"/>
                <w:w w:val="98"/>
              </w:rPr>
              <w:t>Achieved</w:t>
            </w:r>
          </w:p>
        </w:tc>
        <w:tc>
          <w:tcPr>
            <w:tcW w:w="120" w:type="dxa"/>
            <w:vAlign w:val="bottom"/>
            <w:tcBorders>
              <w:top w:val="single" w:sz="8" w:color="2A3D6C"/>
            </w:tcBorders>
            <w:shd w:val="clear" w:color="auto" w:fill="00FF00"/>
          </w:tcPr>
          <w:p>
            <w:pPr>
              <w:spacing w:after="0"/>
              <w:rPr>
                <w:sz w:val="16"/>
                <w:szCs w:val="16"/>
                <w:color w:val="auto"/>
              </w:rPr>
            </w:pPr>
          </w:p>
        </w:tc>
        <w:tc>
          <w:tcPr>
            <w:tcW w:w="20" w:type="dxa"/>
            <w:vAlign w:val="bottom"/>
            <w:tcBorders>
              <w:top w:val="single" w:sz="8" w:color="2A3D6C"/>
            </w:tcBorders>
            <w:shd w:val="clear" w:color="auto" w:fill="2A3D6C"/>
          </w:tcPr>
          <w:p>
            <w:pPr>
              <w:spacing w:after="0"/>
              <w:rPr>
                <w:sz w:val="16"/>
                <w:szCs w:val="16"/>
                <w:color w:val="auto"/>
              </w:rPr>
            </w:pPr>
          </w:p>
        </w:tc>
        <w:tc>
          <w:tcPr>
            <w:tcW w:w="3600" w:type="dxa"/>
            <w:vAlign w:val="bottom"/>
            <w:tcBorders>
              <w:top w:val="single" w:sz="8" w:color="2A3D6C"/>
            </w:tcBorders>
            <w:gridSpan w:val="2"/>
          </w:tcPr>
          <w:p>
            <w:pPr>
              <w:ind w:left="80"/>
              <w:spacing w:after="0"/>
              <w:rPr>
                <w:sz w:val="20"/>
                <w:szCs w:val="20"/>
                <w:color w:val="auto"/>
              </w:rPr>
            </w:pPr>
            <w:r>
              <w:rPr>
                <w:rFonts w:ascii="Arial" w:cs="Arial" w:eastAsia="Arial" w:hAnsi="Arial"/>
                <w:sz w:val="16"/>
                <w:szCs w:val="16"/>
                <w:color w:val="auto"/>
              </w:rPr>
              <w:t>Recognized by Newsweek as one of America’s</w:t>
            </w:r>
          </w:p>
        </w:tc>
        <w:tc>
          <w:tcPr>
            <w:tcW w:w="140" w:type="dxa"/>
            <w:vAlign w:val="bottom"/>
            <w:tcBorders>
              <w:top w:val="single" w:sz="8" w:color="2A3D6C"/>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recognized for its leading ESG credentials</w:t>
            </w:r>
          </w:p>
        </w:tc>
        <w:tc>
          <w:tcPr>
            <w:tcW w:w="140" w:type="dxa"/>
            <w:vAlign w:val="bottom"/>
          </w:tcPr>
          <w:p>
            <w:pPr>
              <w:spacing w:after="0"/>
              <w:rPr>
                <w:sz w:val="17"/>
                <w:szCs w:val="17"/>
                <w:color w:val="auto"/>
              </w:rPr>
            </w:pPr>
          </w:p>
        </w:tc>
        <w:tc>
          <w:tcPr>
            <w:tcW w:w="100" w:type="dxa"/>
            <w:vAlign w:val="bottom"/>
            <w:shd w:val="clear" w:color="auto" w:fill="00FF00"/>
          </w:tcPr>
          <w:p>
            <w:pPr>
              <w:spacing w:after="0"/>
              <w:rPr>
                <w:sz w:val="17"/>
                <w:szCs w:val="17"/>
                <w:color w:val="auto"/>
              </w:rPr>
            </w:pPr>
          </w:p>
        </w:tc>
        <w:tc>
          <w:tcPr>
            <w:tcW w:w="1040" w:type="dxa"/>
            <w:vAlign w:val="bottom"/>
            <w:shd w:val="clear" w:color="auto" w:fill="00FF00"/>
          </w:tcPr>
          <w:p>
            <w:pPr>
              <w:spacing w:after="0"/>
              <w:rPr>
                <w:sz w:val="17"/>
                <w:szCs w:val="17"/>
                <w:color w:val="auto"/>
              </w:rPr>
            </w:pPr>
          </w:p>
        </w:tc>
        <w:tc>
          <w:tcPr>
            <w:tcW w:w="120" w:type="dxa"/>
            <w:vAlign w:val="bottom"/>
            <w:shd w:val="clear" w:color="auto" w:fill="00FF00"/>
          </w:tcPr>
          <w:p>
            <w:pPr>
              <w:spacing w:after="0"/>
              <w:rPr>
                <w:sz w:val="17"/>
                <w:szCs w:val="17"/>
                <w:color w:val="auto"/>
              </w:rPr>
            </w:pPr>
          </w:p>
        </w:tc>
        <w:tc>
          <w:tcPr>
            <w:tcW w:w="20" w:type="dxa"/>
            <w:vAlign w:val="bottom"/>
            <w:shd w:val="clear" w:color="auto" w:fill="2A3D6C"/>
          </w:tcPr>
          <w:p>
            <w:pPr>
              <w:spacing w:after="0"/>
              <w:rPr>
                <w:sz w:val="17"/>
                <w:szCs w:val="17"/>
                <w:color w:val="auto"/>
              </w:rPr>
            </w:pPr>
          </w:p>
        </w:tc>
        <w:tc>
          <w:tcPr>
            <w:tcW w:w="3600" w:type="dxa"/>
            <w:vAlign w:val="bottom"/>
            <w:gridSpan w:val="2"/>
          </w:tcPr>
          <w:p>
            <w:pPr>
              <w:ind w:left="80"/>
              <w:spacing w:after="0" w:line="199" w:lineRule="exact"/>
              <w:rPr>
                <w:sz w:val="20"/>
                <w:szCs w:val="20"/>
                <w:color w:val="auto"/>
              </w:rPr>
            </w:pPr>
            <w:r>
              <w:rPr>
                <w:rFonts w:ascii="Arial" w:cs="Arial" w:eastAsia="Arial" w:hAnsi="Arial"/>
                <w:sz w:val="15"/>
                <w:szCs w:val="15"/>
                <w:color w:val="auto"/>
              </w:rPr>
              <w:t>top 500 Most Responsible Companies (2</w:t>
            </w:r>
            <w:r>
              <w:rPr>
                <w:rFonts w:ascii="Arial" w:cs="Arial" w:eastAsia="Arial" w:hAnsi="Arial"/>
                <w:sz w:val="23"/>
                <w:szCs w:val="23"/>
                <w:color w:val="auto"/>
                <w:vertAlign w:val="superscript"/>
              </w:rPr>
              <w:t>nd</w:t>
            </w:r>
            <w:r>
              <w:rPr>
                <w:rFonts w:ascii="Arial" w:cs="Arial" w:eastAsia="Arial" w:hAnsi="Arial"/>
                <w:sz w:val="15"/>
                <w:szCs w:val="15"/>
                <w:color w:val="auto"/>
              </w:rPr>
              <w:t xml:space="preserve"> place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100" w:type="dxa"/>
            <w:vAlign w:val="bottom"/>
          </w:tcPr>
          <w:p>
            <w:pPr>
              <w:ind w:left="60"/>
              <w:spacing w:after="0" w:line="177" w:lineRule="exact"/>
              <w:rPr>
                <w:sz w:val="20"/>
                <w:szCs w:val="20"/>
                <w:color w:val="auto"/>
              </w:rPr>
            </w:pPr>
            <w:r>
              <w:rPr>
                <w:rFonts w:ascii="Arial" w:cs="Arial" w:eastAsia="Arial" w:hAnsi="Arial"/>
                <w:sz w:val="16"/>
                <w:szCs w:val="16"/>
                <w:color w:val="auto"/>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00FF0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shd w:val="clear" w:color="auto" w:fill="00FF00"/>
          </w:tcPr>
          <w:p>
            <w:pPr>
              <w:spacing w:after="0"/>
              <w:rPr>
                <w:sz w:val="15"/>
                <w:szCs w:val="15"/>
                <w:color w:val="auto"/>
              </w:rPr>
            </w:pPr>
          </w:p>
        </w:tc>
        <w:tc>
          <w:tcPr>
            <w:tcW w:w="120" w:type="dxa"/>
            <w:vAlign w:val="bottom"/>
            <w:shd w:val="clear" w:color="auto" w:fill="00FF0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600" w:type="dxa"/>
            <w:vAlign w:val="bottom"/>
            <w:gridSpan w:val="2"/>
          </w:tcPr>
          <w:p>
            <w:pPr>
              <w:ind w:left="80"/>
              <w:spacing w:after="0" w:line="177" w:lineRule="exact"/>
              <w:rPr>
                <w:sz w:val="20"/>
                <w:szCs w:val="20"/>
                <w:color w:val="auto"/>
              </w:rPr>
            </w:pPr>
            <w:r>
              <w:rPr>
                <w:rFonts w:ascii="Arial" w:cs="Arial" w:eastAsia="Arial" w:hAnsi="Arial"/>
                <w:sz w:val="16"/>
                <w:szCs w:val="16"/>
                <w:color w:val="auto"/>
              </w:rPr>
              <w:t>E&amp;P company on the list).</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   Secure opportunities in 2021 to</w:t>
            </w:r>
          </w:p>
        </w:tc>
        <w:tc>
          <w:tcPr>
            <w:tcW w:w="140" w:type="dxa"/>
            <w:vAlign w:val="bottom"/>
          </w:tcPr>
          <w:p>
            <w:pPr>
              <w:spacing w:after="0"/>
              <w:rPr>
                <w:sz w:val="17"/>
                <w:szCs w:val="17"/>
                <w:color w:val="auto"/>
              </w:rPr>
            </w:pPr>
          </w:p>
        </w:tc>
        <w:tc>
          <w:tcPr>
            <w:tcW w:w="100" w:type="dxa"/>
            <w:vAlign w:val="bottom"/>
            <w:shd w:val="clear" w:color="auto" w:fill="00FF00"/>
          </w:tcPr>
          <w:p>
            <w:pPr>
              <w:spacing w:after="0"/>
              <w:rPr>
                <w:sz w:val="17"/>
                <w:szCs w:val="17"/>
                <w:color w:val="auto"/>
              </w:rPr>
            </w:pPr>
          </w:p>
        </w:tc>
        <w:tc>
          <w:tcPr>
            <w:tcW w:w="1040" w:type="dxa"/>
            <w:vAlign w:val="bottom"/>
            <w:shd w:val="clear" w:color="auto" w:fill="00FF00"/>
          </w:tcPr>
          <w:p>
            <w:pPr>
              <w:spacing w:after="0"/>
              <w:rPr>
                <w:sz w:val="17"/>
                <w:szCs w:val="17"/>
                <w:color w:val="auto"/>
              </w:rPr>
            </w:pPr>
          </w:p>
        </w:tc>
        <w:tc>
          <w:tcPr>
            <w:tcW w:w="120" w:type="dxa"/>
            <w:vAlign w:val="bottom"/>
            <w:shd w:val="clear" w:color="auto" w:fill="00FF00"/>
          </w:tcPr>
          <w:p>
            <w:pPr>
              <w:spacing w:after="0"/>
              <w:rPr>
                <w:sz w:val="17"/>
                <w:szCs w:val="17"/>
                <w:color w:val="auto"/>
              </w:rPr>
            </w:pPr>
          </w:p>
        </w:tc>
        <w:tc>
          <w:tcPr>
            <w:tcW w:w="20" w:type="dxa"/>
            <w:vAlign w:val="bottom"/>
            <w:shd w:val="clear" w:color="auto" w:fill="2A3D6C"/>
          </w:tcPr>
          <w:p>
            <w:pPr>
              <w:spacing w:after="0"/>
              <w:rPr>
                <w:sz w:val="17"/>
                <w:szCs w:val="17"/>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 </w:t>
            </w: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100" w:type="dxa"/>
            <w:vAlign w:val="bottom"/>
          </w:tcPr>
          <w:p>
            <w:pPr>
              <w:ind w:left="320"/>
              <w:spacing w:after="0"/>
              <w:rPr>
                <w:sz w:val="20"/>
                <w:szCs w:val="20"/>
                <w:color w:val="auto"/>
              </w:rPr>
            </w:pPr>
            <w:r>
              <w:rPr>
                <w:rFonts w:ascii="Arial" w:cs="Arial" w:eastAsia="Arial" w:hAnsi="Arial"/>
                <w:sz w:val="16"/>
                <w:szCs w:val="16"/>
                <w:color w:val="auto"/>
              </w:rPr>
              <w:t>mitigate Scope 1 and Scope 2 carbon</w:t>
            </w: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40" w:type="dxa"/>
            <w:vAlign w:val="bottom"/>
            <w:shd w:val="clear" w:color="auto" w:fill="00FF00"/>
          </w:tcPr>
          <w:p>
            <w:pPr>
              <w:spacing w:after="0"/>
              <w:rPr>
                <w:sz w:val="16"/>
                <w:szCs w:val="16"/>
                <w:color w:val="auto"/>
              </w:rPr>
            </w:pPr>
          </w:p>
        </w:tc>
        <w:tc>
          <w:tcPr>
            <w:tcW w:w="12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00" w:type="dxa"/>
            <w:vAlign w:val="bottom"/>
            <w:gridSpan w:val="2"/>
          </w:tcPr>
          <w:p>
            <w:pPr>
              <w:ind w:left="80"/>
              <w:spacing w:after="0"/>
              <w:rPr>
                <w:sz w:val="20"/>
                <w:szCs w:val="20"/>
                <w:color w:val="auto"/>
              </w:rPr>
            </w:pPr>
            <w:r>
              <w:rPr>
                <w:rFonts w:ascii="Arial" w:cs="Arial" w:eastAsia="Arial" w:hAnsi="Arial"/>
                <w:sz w:val="16"/>
                <w:szCs w:val="16"/>
                <w:color w:val="auto"/>
              </w:rPr>
              <w:t>Secured opportunities in 2021 to mitigate Scope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3100" w:type="dxa"/>
            <w:vAlign w:val="bottom"/>
          </w:tcPr>
          <w:p>
            <w:pPr>
              <w:ind w:left="320"/>
              <w:spacing w:after="0"/>
              <w:rPr>
                <w:sz w:val="20"/>
                <w:szCs w:val="20"/>
                <w:color w:val="auto"/>
              </w:rPr>
            </w:pPr>
            <w:r>
              <w:rPr>
                <w:rFonts w:ascii="Arial" w:cs="Arial" w:eastAsia="Arial" w:hAnsi="Arial"/>
                <w:sz w:val="16"/>
                <w:szCs w:val="16"/>
                <w:color w:val="auto"/>
              </w:rPr>
              <w:t>emissions</w:t>
            </w:r>
          </w:p>
        </w:tc>
        <w:tc>
          <w:tcPr>
            <w:tcW w:w="140" w:type="dxa"/>
            <w:vAlign w:val="bottom"/>
          </w:tcPr>
          <w:p>
            <w:pPr>
              <w:spacing w:after="0"/>
              <w:rPr>
                <w:sz w:val="21"/>
                <w:szCs w:val="21"/>
                <w:color w:val="auto"/>
              </w:rPr>
            </w:pPr>
          </w:p>
        </w:tc>
        <w:tc>
          <w:tcPr>
            <w:tcW w:w="100" w:type="dxa"/>
            <w:vAlign w:val="bottom"/>
            <w:tcBorders>
              <w:bottom w:val="single" w:sz="8" w:color="00FF00"/>
            </w:tcBorders>
            <w:shd w:val="clear" w:color="auto" w:fill="00FF00"/>
          </w:tcPr>
          <w:p>
            <w:pPr>
              <w:spacing w:after="0"/>
              <w:rPr>
                <w:sz w:val="21"/>
                <w:szCs w:val="21"/>
                <w:color w:val="auto"/>
              </w:rPr>
            </w:pPr>
          </w:p>
        </w:tc>
        <w:tc>
          <w:tcPr>
            <w:tcW w:w="1040" w:type="dxa"/>
            <w:vAlign w:val="bottom"/>
            <w:tcBorders>
              <w:bottom w:val="single" w:sz="8" w:color="00FF00"/>
            </w:tcBorders>
            <w:shd w:val="clear" w:color="auto" w:fill="00FF00"/>
          </w:tcPr>
          <w:p>
            <w:pPr>
              <w:spacing w:after="0"/>
              <w:rPr>
                <w:sz w:val="21"/>
                <w:szCs w:val="21"/>
                <w:color w:val="auto"/>
              </w:rPr>
            </w:pPr>
          </w:p>
        </w:tc>
        <w:tc>
          <w:tcPr>
            <w:tcW w:w="120" w:type="dxa"/>
            <w:vAlign w:val="bottom"/>
            <w:tcBorders>
              <w:bottom w:val="single" w:sz="8" w:color="00FF00"/>
            </w:tcBorders>
            <w:shd w:val="clear" w:color="auto" w:fill="00FF00"/>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3600" w:type="dxa"/>
            <w:vAlign w:val="bottom"/>
            <w:gridSpan w:val="2"/>
          </w:tcPr>
          <w:p>
            <w:pPr>
              <w:ind w:left="80"/>
              <w:spacing w:after="0"/>
              <w:rPr>
                <w:sz w:val="20"/>
                <w:szCs w:val="20"/>
                <w:color w:val="auto"/>
              </w:rPr>
            </w:pPr>
            <w:r>
              <w:rPr>
                <w:rFonts w:ascii="Arial" w:cs="Arial" w:eastAsia="Arial" w:hAnsi="Arial"/>
                <w:sz w:val="16"/>
                <w:szCs w:val="16"/>
                <w:color w:val="auto"/>
              </w:rPr>
              <w:t>1 and Scope 2 carbon emissions.</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0" w:type="dxa"/>
            <w:vAlign w:val="bottom"/>
            <w:tcBorders>
              <w:top w:val="single" w:sz="8" w:color="2A3D6C"/>
            </w:tcBorders>
          </w:tcPr>
          <w:p>
            <w:pPr>
              <w:spacing w:after="0"/>
              <w:rPr>
                <w:sz w:val="17"/>
                <w:szCs w:val="17"/>
                <w:color w:val="auto"/>
              </w:rPr>
            </w:pPr>
          </w:p>
        </w:tc>
        <w:tc>
          <w:tcPr>
            <w:tcW w:w="310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Effectively manage above ground country</w:t>
            </w:r>
          </w:p>
        </w:tc>
        <w:tc>
          <w:tcPr>
            <w:tcW w:w="140" w:type="dxa"/>
            <w:vAlign w:val="bottom"/>
            <w:tcBorders>
              <w:top w:val="single" w:sz="8" w:color="2A3D6C"/>
            </w:tcBorders>
          </w:tcPr>
          <w:p>
            <w:pPr>
              <w:spacing w:after="0"/>
              <w:rPr>
                <w:sz w:val="17"/>
                <w:szCs w:val="17"/>
                <w:color w:val="auto"/>
              </w:rPr>
            </w:pPr>
          </w:p>
        </w:tc>
        <w:tc>
          <w:tcPr>
            <w:tcW w:w="100" w:type="dxa"/>
            <w:vAlign w:val="bottom"/>
            <w:tcBorders>
              <w:top w:val="single" w:sz="8" w:color="2A3D6C"/>
            </w:tcBorders>
            <w:shd w:val="clear" w:color="auto" w:fill="00FF00"/>
          </w:tcPr>
          <w:p>
            <w:pPr>
              <w:spacing w:after="0"/>
              <w:rPr>
                <w:sz w:val="17"/>
                <w:szCs w:val="17"/>
                <w:color w:val="auto"/>
              </w:rPr>
            </w:pPr>
          </w:p>
        </w:tc>
        <w:tc>
          <w:tcPr>
            <w:tcW w:w="1040" w:type="dxa"/>
            <w:vAlign w:val="bottom"/>
            <w:tcBorders>
              <w:top w:val="single" w:sz="8" w:color="2A3D6C"/>
            </w:tcBorders>
            <w:shd w:val="clear" w:color="auto" w:fill="00FF00"/>
          </w:tcPr>
          <w:p>
            <w:pPr>
              <w:jc w:val="center"/>
              <w:spacing w:after="0"/>
              <w:rPr>
                <w:sz w:val="20"/>
                <w:szCs w:val="20"/>
                <w:color w:val="auto"/>
              </w:rPr>
            </w:pPr>
            <w:r>
              <w:rPr>
                <w:rFonts w:ascii="Arial" w:cs="Arial" w:eastAsia="Arial" w:hAnsi="Arial"/>
                <w:sz w:val="16"/>
                <w:szCs w:val="16"/>
                <w:b w:val="1"/>
                <w:bCs w:val="1"/>
                <w:color w:val="auto"/>
                <w:w w:val="98"/>
              </w:rPr>
              <w:t>Achieved</w:t>
            </w:r>
          </w:p>
        </w:tc>
        <w:tc>
          <w:tcPr>
            <w:tcW w:w="120" w:type="dxa"/>
            <w:vAlign w:val="bottom"/>
            <w:tcBorders>
              <w:top w:val="single" w:sz="8" w:color="2A3D6C"/>
            </w:tcBorders>
            <w:shd w:val="clear" w:color="auto" w:fill="00FF00"/>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820" w:type="dxa"/>
            <w:vAlign w:val="bottom"/>
            <w:tcBorders>
              <w:top w:val="single" w:sz="8" w:color="2A3D6C"/>
            </w:tcBorders>
            <w:vMerge w:val="restart"/>
          </w:tcPr>
          <w:p>
            <w:pPr>
              <w:ind w:left="80"/>
              <w:spacing w:after="0"/>
              <w:rPr>
                <w:sz w:val="20"/>
                <w:szCs w:val="20"/>
                <w:color w:val="auto"/>
              </w:rPr>
            </w:pPr>
            <w:r>
              <w:rPr>
                <w:rFonts w:ascii="Arial" w:cs="Arial" w:eastAsia="Arial" w:hAnsi="Arial"/>
                <w:sz w:val="16"/>
                <w:szCs w:val="16"/>
                <w:color w:val="auto"/>
                <w:w w:val="98"/>
              </w:rPr>
              <w:t>Continued</w:t>
            </w:r>
            <w:r>
              <w:rPr>
                <w:rFonts w:ascii="Arial" w:cs="Arial" w:eastAsia="Arial" w:hAnsi="Arial"/>
                <w:sz w:val="16"/>
                <w:szCs w:val="16"/>
                <w:i w:val="1"/>
                <w:iCs w:val="1"/>
                <w:color w:val="auto"/>
                <w:w w:val="98"/>
              </w:rPr>
              <w:t>​</w:t>
            </w:r>
          </w:p>
        </w:tc>
        <w:tc>
          <w:tcPr>
            <w:tcW w:w="2780" w:type="dxa"/>
            <w:vAlign w:val="bottom"/>
            <w:tcBorders>
              <w:top w:val="single" w:sz="8" w:color="2A3D6C"/>
            </w:tcBorders>
            <w:vMerge w:val="restart"/>
          </w:tcPr>
          <w:p>
            <w:pPr>
              <w:ind w:left="20"/>
              <w:spacing w:after="0"/>
              <w:rPr>
                <w:sz w:val="20"/>
                <w:szCs w:val="20"/>
                <w:color w:val="auto"/>
              </w:rPr>
            </w:pPr>
            <w:r>
              <w:rPr>
                <w:rFonts w:ascii="Arial" w:cs="Arial" w:eastAsia="Arial" w:hAnsi="Arial"/>
                <w:sz w:val="16"/>
                <w:szCs w:val="16"/>
                <w:color w:val="auto"/>
              </w:rPr>
              <w:t>to effectively manage our country</w:t>
            </w:r>
          </w:p>
        </w:tc>
        <w:tc>
          <w:tcPr>
            <w:tcW w:w="140" w:type="dxa"/>
            <w:vAlign w:val="bottom"/>
            <w:tcBorders>
              <w:top w:val="single" w:sz="8" w:color="2A3D6C"/>
            </w:tcBorders>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80" w:type="dxa"/>
            <w:vAlign w:val="bottom"/>
          </w:tcPr>
          <w:p>
            <w:pPr>
              <w:spacing w:after="0"/>
              <w:rPr>
                <w:sz w:val="5"/>
                <w:szCs w:val="5"/>
                <w:color w:val="auto"/>
              </w:rPr>
            </w:pPr>
          </w:p>
        </w:tc>
        <w:tc>
          <w:tcPr>
            <w:tcW w:w="3100" w:type="dxa"/>
            <w:vAlign w:val="bottom"/>
            <w:vMerge w:val="restart"/>
          </w:tcPr>
          <w:p>
            <w:pPr>
              <w:ind w:left="60"/>
              <w:spacing w:after="0"/>
              <w:rPr>
                <w:sz w:val="20"/>
                <w:szCs w:val="20"/>
                <w:color w:val="auto"/>
              </w:rPr>
            </w:pPr>
            <w:r>
              <w:rPr>
                <w:rFonts w:ascii="Arial" w:cs="Arial" w:eastAsia="Arial" w:hAnsi="Arial"/>
                <w:sz w:val="16"/>
                <w:szCs w:val="16"/>
                <w:color w:val="auto"/>
              </w:rPr>
              <w:t>risk through leveraging Kosmos brand</w:t>
            </w:r>
          </w:p>
        </w:tc>
        <w:tc>
          <w:tcPr>
            <w:tcW w:w="140" w:type="dxa"/>
            <w:vAlign w:val="bottom"/>
          </w:tcPr>
          <w:p>
            <w:pPr>
              <w:spacing w:after="0"/>
              <w:rPr>
                <w:sz w:val="5"/>
                <w:szCs w:val="5"/>
                <w:color w:val="auto"/>
              </w:rPr>
            </w:pPr>
          </w:p>
        </w:tc>
        <w:tc>
          <w:tcPr>
            <w:tcW w:w="100" w:type="dxa"/>
            <w:vAlign w:val="bottom"/>
            <w:shd w:val="clear" w:color="auto" w:fill="00FF00"/>
          </w:tcPr>
          <w:p>
            <w:pPr>
              <w:spacing w:after="0"/>
              <w:rPr>
                <w:sz w:val="5"/>
                <w:szCs w:val="5"/>
                <w:color w:val="auto"/>
              </w:rPr>
            </w:pPr>
          </w:p>
        </w:tc>
        <w:tc>
          <w:tcPr>
            <w:tcW w:w="1040" w:type="dxa"/>
            <w:vAlign w:val="bottom"/>
            <w:shd w:val="clear" w:color="auto" w:fill="00FF00"/>
          </w:tcPr>
          <w:p>
            <w:pPr>
              <w:spacing w:after="0"/>
              <w:rPr>
                <w:sz w:val="5"/>
                <w:szCs w:val="5"/>
                <w:color w:val="auto"/>
              </w:rPr>
            </w:pPr>
          </w:p>
        </w:tc>
        <w:tc>
          <w:tcPr>
            <w:tcW w:w="120" w:type="dxa"/>
            <w:vAlign w:val="bottom"/>
            <w:shd w:val="clear" w:color="auto" w:fill="00FF00"/>
          </w:tcPr>
          <w:p>
            <w:pPr>
              <w:spacing w:after="0"/>
              <w:rPr>
                <w:sz w:val="5"/>
                <w:szCs w:val="5"/>
                <w:color w:val="auto"/>
              </w:rPr>
            </w:pPr>
          </w:p>
        </w:tc>
        <w:tc>
          <w:tcPr>
            <w:tcW w:w="20" w:type="dxa"/>
            <w:vAlign w:val="bottom"/>
            <w:shd w:val="clear" w:color="auto" w:fill="2A3D6C"/>
          </w:tcPr>
          <w:p>
            <w:pPr>
              <w:spacing w:after="0"/>
              <w:rPr>
                <w:sz w:val="5"/>
                <w:szCs w:val="5"/>
                <w:color w:val="auto"/>
              </w:rPr>
            </w:pPr>
          </w:p>
        </w:tc>
        <w:tc>
          <w:tcPr>
            <w:tcW w:w="820" w:type="dxa"/>
            <w:vAlign w:val="bottom"/>
            <w:vMerge w:val="continue"/>
          </w:tcPr>
          <w:p>
            <w:pPr>
              <w:spacing w:after="0"/>
              <w:rPr>
                <w:sz w:val="5"/>
                <w:szCs w:val="5"/>
                <w:color w:val="auto"/>
              </w:rPr>
            </w:pPr>
          </w:p>
        </w:tc>
        <w:tc>
          <w:tcPr>
            <w:tcW w:w="27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shd w:val="clear" w:color="auto" w:fill="00FF00"/>
          </w:tcPr>
          <w:p>
            <w:pPr>
              <w:spacing w:after="0"/>
              <w:rPr>
                <w:sz w:val="12"/>
                <w:szCs w:val="12"/>
                <w:color w:val="auto"/>
              </w:rPr>
            </w:pPr>
          </w:p>
        </w:tc>
        <w:tc>
          <w:tcPr>
            <w:tcW w:w="1040" w:type="dxa"/>
            <w:vAlign w:val="bottom"/>
            <w:shd w:val="clear" w:color="auto" w:fill="00FF00"/>
          </w:tcPr>
          <w:p>
            <w:pPr>
              <w:spacing w:after="0"/>
              <w:rPr>
                <w:sz w:val="12"/>
                <w:szCs w:val="12"/>
                <w:color w:val="auto"/>
              </w:rPr>
            </w:pPr>
          </w:p>
        </w:tc>
        <w:tc>
          <w:tcPr>
            <w:tcW w:w="120" w:type="dxa"/>
            <w:vAlign w:val="bottom"/>
            <w:shd w:val="clear" w:color="auto" w:fill="00FF00"/>
          </w:tcPr>
          <w:p>
            <w:pPr>
              <w:spacing w:after="0"/>
              <w:rPr>
                <w:sz w:val="12"/>
                <w:szCs w:val="12"/>
                <w:color w:val="auto"/>
              </w:rPr>
            </w:pPr>
          </w:p>
        </w:tc>
        <w:tc>
          <w:tcPr>
            <w:tcW w:w="20" w:type="dxa"/>
            <w:vAlign w:val="bottom"/>
            <w:shd w:val="clear" w:color="auto" w:fill="2A3D6C"/>
          </w:tcPr>
          <w:p>
            <w:pPr>
              <w:spacing w:after="0"/>
              <w:rPr>
                <w:sz w:val="12"/>
                <w:szCs w:val="12"/>
                <w:color w:val="auto"/>
              </w:rPr>
            </w:pPr>
          </w:p>
        </w:tc>
        <w:tc>
          <w:tcPr>
            <w:tcW w:w="3600" w:type="dxa"/>
            <w:vAlign w:val="bottom"/>
            <w:gridSpan w:val="2"/>
            <w:vMerge w:val="restart"/>
          </w:tcPr>
          <w:p>
            <w:pPr>
              <w:ind w:left="80"/>
              <w:spacing w:after="0"/>
              <w:rPr>
                <w:sz w:val="20"/>
                <w:szCs w:val="20"/>
                <w:color w:val="auto"/>
              </w:rPr>
            </w:pPr>
            <w:r>
              <w:rPr>
                <w:rFonts w:ascii="Arial" w:cs="Arial" w:eastAsia="Arial" w:hAnsi="Arial"/>
                <w:sz w:val="16"/>
                <w:szCs w:val="16"/>
                <w:color w:val="auto"/>
              </w:rPr>
              <w:t>strategies by leveraging the Kosmos brand to</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shd w:val="clear" w:color="auto" w:fill="00FF00"/>
          </w:tcPr>
          <w:p>
            <w:pPr>
              <w:spacing w:after="0"/>
              <w:rPr>
                <w:sz w:val="3"/>
                <w:szCs w:val="3"/>
                <w:color w:val="auto"/>
              </w:rPr>
            </w:pPr>
          </w:p>
        </w:tc>
        <w:tc>
          <w:tcPr>
            <w:tcW w:w="1040" w:type="dxa"/>
            <w:vAlign w:val="bottom"/>
            <w:shd w:val="clear" w:color="auto" w:fill="00FF00"/>
          </w:tcPr>
          <w:p>
            <w:pPr>
              <w:spacing w:after="0"/>
              <w:rPr>
                <w:sz w:val="3"/>
                <w:szCs w:val="3"/>
                <w:color w:val="auto"/>
              </w:rPr>
            </w:pPr>
          </w:p>
        </w:tc>
        <w:tc>
          <w:tcPr>
            <w:tcW w:w="120" w:type="dxa"/>
            <w:vAlign w:val="bottom"/>
            <w:shd w:val="clear" w:color="auto" w:fill="00FF00"/>
          </w:tcPr>
          <w:p>
            <w:pPr>
              <w:spacing w:after="0"/>
              <w:rPr>
                <w:sz w:val="3"/>
                <w:szCs w:val="3"/>
                <w:color w:val="auto"/>
              </w:rPr>
            </w:pPr>
          </w:p>
        </w:tc>
        <w:tc>
          <w:tcPr>
            <w:tcW w:w="20" w:type="dxa"/>
            <w:vAlign w:val="bottom"/>
            <w:shd w:val="clear" w:color="auto" w:fill="2A3D6C"/>
          </w:tcPr>
          <w:p>
            <w:pPr>
              <w:spacing w:after="0"/>
              <w:rPr>
                <w:sz w:val="3"/>
                <w:szCs w:val="3"/>
                <w:color w:val="auto"/>
              </w:rPr>
            </w:pPr>
          </w:p>
        </w:tc>
        <w:tc>
          <w:tcPr>
            <w:tcW w:w="36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40" w:type="dxa"/>
            <w:vAlign w:val="bottom"/>
            <w:shd w:val="clear" w:color="auto" w:fill="00FF00"/>
          </w:tcPr>
          <w:p>
            <w:pPr>
              <w:spacing w:after="0"/>
              <w:rPr>
                <w:sz w:val="16"/>
                <w:szCs w:val="16"/>
                <w:color w:val="auto"/>
              </w:rPr>
            </w:pPr>
          </w:p>
        </w:tc>
        <w:tc>
          <w:tcPr>
            <w:tcW w:w="12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00" w:type="dxa"/>
            <w:vAlign w:val="bottom"/>
            <w:gridSpan w:val="2"/>
          </w:tcPr>
          <w:p>
            <w:pPr>
              <w:ind w:left="80"/>
              <w:spacing w:after="0"/>
              <w:rPr>
                <w:sz w:val="20"/>
                <w:szCs w:val="20"/>
                <w:color w:val="auto"/>
              </w:rPr>
            </w:pPr>
            <w:r>
              <w:rPr>
                <w:rFonts w:ascii="Arial" w:cs="Arial" w:eastAsia="Arial" w:hAnsi="Arial"/>
                <w:sz w:val="16"/>
                <w:szCs w:val="16"/>
                <w:color w:val="auto"/>
              </w:rPr>
              <w:t>strengthen relationships and manage above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40" w:type="dxa"/>
            <w:vAlign w:val="bottom"/>
            <w:shd w:val="clear" w:color="auto" w:fill="00FF00"/>
          </w:tcPr>
          <w:p>
            <w:pPr>
              <w:spacing w:after="0"/>
              <w:rPr>
                <w:sz w:val="16"/>
                <w:szCs w:val="16"/>
                <w:color w:val="auto"/>
              </w:rPr>
            </w:pPr>
          </w:p>
        </w:tc>
        <w:tc>
          <w:tcPr>
            <w:tcW w:w="12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00" w:type="dxa"/>
            <w:vAlign w:val="bottom"/>
            <w:gridSpan w:val="2"/>
          </w:tcPr>
          <w:p>
            <w:pPr>
              <w:ind w:left="80"/>
              <w:spacing w:after="0"/>
              <w:rPr>
                <w:sz w:val="20"/>
                <w:szCs w:val="20"/>
                <w:color w:val="auto"/>
              </w:rPr>
            </w:pPr>
            <w:r>
              <w:rPr>
                <w:rFonts w:ascii="Arial" w:cs="Arial" w:eastAsia="Arial" w:hAnsi="Arial"/>
                <w:sz w:val="16"/>
                <w:szCs w:val="16"/>
                <w:color w:val="auto"/>
              </w:rPr>
              <w:t>ground risks through consistent and transparent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40" w:type="dxa"/>
            <w:vAlign w:val="bottom"/>
            <w:shd w:val="clear" w:color="auto" w:fill="00FF00"/>
          </w:tcPr>
          <w:p>
            <w:pPr>
              <w:spacing w:after="0"/>
              <w:rPr>
                <w:sz w:val="16"/>
                <w:szCs w:val="16"/>
                <w:color w:val="auto"/>
              </w:rPr>
            </w:pPr>
          </w:p>
        </w:tc>
        <w:tc>
          <w:tcPr>
            <w:tcW w:w="12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00" w:type="dxa"/>
            <w:vAlign w:val="bottom"/>
            <w:gridSpan w:val="2"/>
          </w:tcPr>
          <w:p>
            <w:pPr>
              <w:ind w:left="80"/>
              <w:spacing w:after="0"/>
              <w:rPr>
                <w:sz w:val="20"/>
                <w:szCs w:val="20"/>
                <w:color w:val="auto"/>
              </w:rPr>
            </w:pPr>
            <w:r>
              <w:rPr>
                <w:rFonts w:ascii="Arial" w:cs="Arial" w:eastAsia="Arial" w:hAnsi="Arial"/>
                <w:sz w:val="16"/>
                <w:szCs w:val="16"/>
                <w:color w:val="auto"/>
              </w:rPr>
              <w:t>engagement with our host government bodies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10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00FF0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shd w:val="clear" w:color="auto" w:fill="00FF00"/>
          </w:tcPr>
          <w:p>
            <w:pPr>
              <w:spacing w:after="0"/>
              <w:rPr>
                <w:sz w:val="16"/>
                <w:szCs w:val="16"/>
                <w:color w:val="auto"/>
              </w:rPr>
            </w:pPr>
          </w:p>
        </w:tc>
        <w:tc>
          <w:tcPr>
            <w:tcW w:w="120" w:type="dxa"/>
            <w:vAlign w:val="bottom"/>
            <w:shd w:val="clear" w:color="auto" w:fill="00FF0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600" w:type="dxa"/>
            <w:vAlign w:val="bottom"/>
            <w:gridSpan w:val="2"/>
          </w:tcPr>
          <w:p>
            <w:pPr>
              <w:ind w:left="80"/>
              <w:spacing w:after="0"/>
              <w:rPr>
                <w:sz w:val="20"/>
                <w:szCs w:val="20"/>
                <w:color w:val="auto"/>
              </w:rPr>
            </w:pPr>
            <w:r>
              <w:rPr>
                <w:rFonts w:ascii="Arial" w:cs="Arial" w:eastAsia="Arial" w:hAnsi="Arial"/>
                <w:sz w:val="16"/>
                <w:szCs w:val="16"/>
                <w:color w:val="auto"/>
              </w:rPr>
              <w:t>which enhanced our relationship as a trusted</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40" w:type="dxa"/>
            <w:vAlign w:val="bottom"/>
            <w:shd w:val="clear" w:color="auto" w:fill="00FF00"/>
          </w:tcPr>
          <w:p>
            <w:pPr>
              <w:spacing w:after="0"/>
              <w:rPr>
                <w:sz w:val="16"/>
                <w:szCs w:val="16"/>
                <w:color w:val="auto"/>
              </w:rPr>
            </w:pPr>
          </w:p>
        </w:tc>
        <w:tc>
          <w:tcPr>
            <w:tcW w:w="12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partner.</w:t>
            </w:r>
          </w:p>
        </w:tc>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40" w:type="dxa"/>
            <w:vAlign w:val="bottom"/>
            <w:shd w:val="clear" w:color="auto" w:fill="00FF00"/>
          </w:tcPr>
          <w:p>
            <w:pPr>
              <w:spacing w:after="0"/>
              <w:rPr>
                <w:sz w:val="16"/>
                <w:szCs w:val="16"/>
                <w:color w:val="auto"/>
              </w:rPr>
            </w:pPr>
          </w:p>
        </w:tc>
        <w:tc>
          <w:tcPr>
            <w:tcW w:w="12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 </w:t>
            </w:r>
          </w:p>
        </w:tc>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40" w:type="dxa"/>
            <w:vAlign w:val="bottom"/>
            <w:shd w:val="clear" w:color="auto" w:fill="00FF00"/>
          </w:tcPr>
          <w:p>
            <w:pPr>
              <w:spacing w:after="0"/>
              <w:rPr>
                <w:sz w:val="16"/>
                <w:szCs w:val="16"/>
                <w:color w:val="auto"/>
              </w:rPr>
            </w:pPr>
          </w:p>
        </w:tc>
        <w:tc>
          <w:tcPr>
            <w:tcW w:w="12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00" w:type="dxa"/>
            <w:vAlign w:val="bottom"/>
            <w:gridSpan w:val="2"/>
          </w:tcPr>
          <w:p>
            <w:pPr>
              <w:ind w:left="80"/>
              <w:spacing w:after="0"/>
              <w:rPr>
                <w:sz w:val="20"/>
                <w:szCs w:val="20"/>
                <w:color w:val="auto"/>
              </w:rPr>
            </w:pPr>
            <w:r>
              <w:rPr>
                <w:rFonts w:ascii="Arial" w:cs="Arial" w:eastAsia="Arial" w:hAnsi="Arial"/>
                <w:sz w:val="16"/>
                <w:szCs w:val="16"/>
                <w:color w:val="auto"/>
              </w:rPr>
              <w:t>This was evidenced by the successful transition</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40" w:type="dxa"/>
            <w:vAlign w:val="bottom"/>
            <w:shd w:val="clear" w:color="auto" w:fill="00FF00"/>
          </w:tcPr>
          <w:p>
            <w:pPr>
              <w:spacing w:after="0"/>
              <w:rPr>
                <w:sz w:val="16"/>
                <w:szCs w:val="16"/>
                <w:color w:val="auto"/>
              </w:rPr>
            </w:pPr>
          </w:p>
        </w:tc>
        <w:tc>
          <w:tcPr>
            <w:tcW w:w="12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00" w:type="dxa"/>
            <w:vAlign w:val="bottom"/>
            <w:gridSpan w:val="2"/>
          </w:tcPr>
          <w:p>
            <w:pPr>
              <w:ind w:left="80"/>
              <w:spacing w:after="0"/>
              <w:rPr>
                <w:sz w:val="20"/>
                <w:szCs w:val="20"/>
                <w:color w:val="auto"/>
              </w:rPr>
            </w:pPr>
            <w:r>
              <w:rPr>
                <w:rFonts w:ascii="Arial" w:cs="Arial" w:eastAsia="Arial" w:hAnsi="Arial"/>
                <w:sz w:val="16"/>
                <w:szCs w:val="16"/>
                <w:color w:val="auto"/>
              </w:rPr>
              <w:t>of the Kosmos Innovation Center in Ghana to a</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40" w:type="dxa"/>
            <w:vAlign w:val="bottom"/>
            <w:shd w:val="clear" w:color="auto" w:fill="00FF00"/>
          </w:tcPr>
          <w:p>
            <w:pPr>
              <w:spacing w:after="0"/>
              <w:rPr>
                <w:sz w:val="16"/>
                <w:szCs w:val="16"/>
                <w:color w:val="auto"/>
              </w:rPr>
            </w:pPr>
          </w:p>
        </w:tc>
        <w:tc>
          <w:tcPr>
            <w:tcW w:w="12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00" w:type="dxa"/>
            <w:vAlign w:val="bottom"/>
            <w:gridSpan w:val="2"/>
          </w:tcPr>
          <w:p>
            <w:pPr>
              <w:ind w:left="80"/>
              <w:spacing w:after="0"/>
              <w:rPr>
                <w:sz w:val="20"/>
                <w:szCs w:val="20"/>
                <w:color w:val="auto"/>
              </w:rPr>
            </w:pPr>
            <w:r>
              <w:rPr>
                <w:rFonts w:ascii="Arial" w:cs="Arial" w:eastAsia="Arial" w:hAnsi="Arial"/>
                <w:sz w:val="16"/>
                <w:szCs w:val="16"/>
                <w:color w:val="auto"/>
              </w:rPr>
              <w:t>stand-alone organization, attracting $16 million of</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00FF00"/>
            </w:tcBorders>
            <w:shd w:val="clear" w:color="auto" w:fill="00FF00"/>
          </w:tcPr>
          <w:p>
            <w:pPr>
              <w:spacing w:after="0"/>
              <w:rPr>
                <w:sz w:val="21"/>
                <w:szCs w:val="21"/>
                <w:color w:val="auto"/>
              </w:rPr>
            </w:pPr>
          </w:p>
        </w:tc>
        <w:tc>
          <w:tcPr>
            <w:tcW w:w="1040" w:type="dxa"/>
            <w:vAlign w:val="bottom"/>
            <w:tcBorders>
              <w:bottom w:val="single" w:sz="8" w:color="00FF00"/>
            </w:tcBorders>
            <w:shd w:val="clear" w:color="auto" w:fill="00FF00"/>
          </w:tcPr>
          <w:p>
            <w:pPr>
              <w:spacing w:after="0"/>
              <w:rPr>
                <w:sz w:val="21"/>
                <w:szCs w:val="21"/>
                <w:color w:val="auto"/>
              </w:rPr>
            </w:pPr>
          </w:p>
        </w:tc>
        <w:tc>
          <w:tcPr>
            <w:tcW w:w="120" w:type="dxa"/>
            <w:vAlign w:val="bottom"/>
            <w:tcBorders>
              <w:bottom w:val="single" w:sz="8" w:color="00FF00"/>
            </w:tcBorders>
            <w:shd w:val="clear" w:color="auto" w:fill="00FF00"/>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3600" w:type="dxa"/>
            <w:vAlign w:val="bottom"/>
            <w:gridSpan w:val="2"/>
          </w:tcPr>
          <w:p>
            <w:pPr>
              <w:ind w:left="80"/>
              <w:spacing w:after="0"/>
              <w:rPr>
                <w:sz w:val="20"/>
                <w:szCs w:val="20"/>
                <w:color w:val="auto"/>
              </w:rPr>
            </w:pPr>
            <w:r>
              <w:rPr>
                <w:rFonts w:ascii="Arial" w:cs="Arial" w:eastAsia="Arial" w:hAnsi="Arial"/>
                <w:sz w:val="16"/>
                <w:szCs w:val="16"/>
                <w:color w:val="auto"/>
              </w:rPr>
              <w:t>funding from MasterCard Foundation.</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80" w:type="dxa"/>
            <w:vAlign w:val="bottom"/>
            <w:tcBorders>
              <w:top w:val="single" w:sz="8" w:color="2A3D6C"/>
            </w:tcBorders>
            <w:shd w:val="clear" w:color="auto" w:fill="606489"/>
          </w:tcPr>
          <w:p>
            <w:pPr>
              <w:spacing w:after="0"/>
              <w:rPr>
                <w:sz w:val="20"/>
                <w:szCs w:val="20"/>
                <w:color w:val="auto"/>
              </w:rPr>
            </w:pPr>
            <w:r>
              <w:rPr>
                <w:rFonts w:ascii="Times New Roman" w:cs="Times New Roman" w:eastAsia="Times New Roman" w:hAnsi="Times New Roman"/>
                <w:sz w:val="4"/>
                <w:szCs w:val="4"/>
                <w:color w:val="auto"/>
              </w:rPr>
              <w:t>​</w:t>
            </w:r>
          </w:p>
        </w:tc>
        <w:tc>
          <w:tcPr>
            <w:tcW w:w="8120" w:type="dxa"/>
            <w:vAlign w:val="bottom"/>
            <w:tcBorders>
              <w:top w:val="single" w:sz="8" w:color="2A3D6C"/>
            </w:tcBorders>
            <w:gridSpan w:val="8"/>
            <w:shd w:val="clear" w:color="auto" w:fill="606489"/>
          </w:tcPr>
          <w:p>
            <w:pPr>
              <w:ind w:left="2620"/>
              <w:spacing w:after="0" w:line="134" w:lineRule="exact"/>
              <w:rPr>
                <w:sz w:val="20"/>
                <w:szCs w:val="20"/>
                <w:color w:val="auto"/>
              </w:rPr>
            </w:pPr>
            <w:r>
              <w:rPr>
                <w:rFonts w:ascii="Arial" w:cs="Arial" w:eastAsia="Arial" w:hAnsi="Arial"/>
                <w:sz w:val="15"/>
                <w:szCs w:val="15"/>
                <w:b w:val="1"/>
                <w:bCs w:val="1"/>
                <w:color w:val="FFFFFF"/>
              </w:rPr>
              <w:t>Enhance Organizational Effectiveness</w:t>
            </w:r>
          </w:p>
        </w:tc>
        <w:tc>
          <w:tcPr>
            <w:tcW w:w="140" w:type="dxa"/>
            <w:vAlign w:val="bottom"/>
            <w:tcBorders>
              <w:top w:val="single" w:sz="8" w:color="2A3D6C"/>
            </w:tcBorders>
            <w:shd w:val="clear" w:color="auto" w:fill="60648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11"/>
        </w:trPr>
        <w:tc>
          <w:tcPr>
            <w:tcW w:w="80" w:type="dxa"/>
            <w:vAlign w:val="bottom"/>
            <w:shd w:val="clear" w:color="auto" w:fill="606489"/>
          </w:tcPr>
          <w:p>
            <w:pPr>
              <w:spacing w:after="0"/>
              <w:rPr>
                <w:sz w:val="9"/>
                <w:szCs w:val="9"/>
                <w:color w:val="auto"/>
              </w:rPr>
            </w:pPr>
          </w:p>
        </w:tc>
        <w:tc>
          <w:tcPr>
            <w:tcW w:w="3100" w:type="dxa"/>
            <w:vAlign w:val="bottom"/>
            <w:shd w:val="clear" w:color="auto" w:fill="606489"/>
          </w:tcPr>
          <w:p>
            <w:pPr>
              <w:spacing w:after="0"/>
              <w:rPr>
                <w:sz w:val="9"/>
                <w:szCs w:val="9"/>
                <w:color w:val="auto"/>
              </w:rPr>
            </w:pPr>
          </w:p>
        </w:tc>
        <w:tc>
          <w:tcPr>
            <w:tcW w:w="140" w:type="dxa"/>
            <w:vAlign w:val="bottom"/>
            <w:shd w:val="clear" w:color="auto" w:fill="606489"/>
          </w:tcPr>
          <w:p>
            <w:pPr>
              <w:spacing w:after="0"/>
              <w:rPr>
                <w:sz w:val="9"/>
                <w:szCs w:val="9"/>
                <w:color w:val="auto"/>
              </w:rPr>
            </w:pPr>
          </w:p>
        </w:tc>
        <w:tc>
          <w:tcPr>
            <w:tcW w:w="100" w:type="dxa"/>
            <w:vAlign w:val="bottom"/>
            <w:shd w:val="clear" w:color="auto" w:fill="606489"/>
          </w:tcPr>
          <w:p>
            <w:pPr>
              <w:spacing w:after="0"/>
              <w:rPr>
                <w:sz w:val="9"/>
                <w:szCs w:val="9"/>
                <w:color w:val="auto"/>
              </w:rPr>
            </w:pPr>
          </w:p>
        </w:tc>
        <w:tc>
          <w:tcPr>
            <w:tcW w:w="1040" w:type="dxa"/>
            <w:vAlign w:val="bottom"/>
            <w:shd w:val="clear" w:color="auto" w:fill="606489"/>
          </w:tcPr>
          <w:p>
            <w:pPr>
              <w:spacing w:after="0"/>
              <w:rPr>
                <w:sz w:val="9"/>
                <w:szCs w:val="9"/>
                <w:color w:val="auto"/>
              </w:rPr>
            </w:pPr>
          </w:p>
        </w:tc>
        <w:tc>
          <w:tcPr>
            <w:tcW w:w="120" w:type="dxa"/>
            <w:vAlign w:val="bottom"/>
            <w:shd w:val="clear" w:color="auto" w:fill="606489"/>
          </w:tcPr>
          <w:p>
            <w:pPr>
              <w:spacing w:after="0"/>
              <w:rPr>
                <w:sz w:val="9"/>
                <w:szCs w:val="9"/>
                <w:color w:val="auto"/>
              </w:rPr>
            </w:pPr>
          </w:p>
        </w:tc>
        <w:tc>
          <w:tcPr>
            <w:tcW w:w="20" w:type="dxa"/>
            <w:vAlign w:val="bottom"/>
            <w:shd w:val="clear" w:color="auto" w:fill="606489"/>
          </w:tcPr>
          <w:p>
            <w:pPr>
              <w:spacing w:after="0"/>
              <w:rPr>
                <w:sz w:val="9"/>
                <w:szCs w:val="9"/>
                <w:color w:val="auto"/>
              </w:rPr>
            </w:pPr>
          </w:p>
        </w:tc>
        <w:tc>
          <w:tcPr>
            <w:tcW w:w="3600" w:type="dxa"/>
            <w:vAlign w:val="bottom"/>
            <w:tcBorders>
              <w:left w:val="single" w:sz="8" w:color="606489"/>
            </w:tcBorders>
            <w:gridSpan w:val="2"/>
            <w:shd w:val="clear" w:color="auto" w:fill="606489"/>
          </w:tcPr>
          <w:p>
            <w:pPr>
              <w:spacing w:after="0"/>
              <w:rPr>
                <w:sz w:val="9"/>
                <w:szCs w:val="9"/>
                <w:color w:val="auto"/>
              </w:rPr>
            </w:pPr>
          </w:p>
        </w:tc>
        <w:tc>
          <w:tcPr>
            <w:tcW w:w="140" w:type="dxa"/>
            <w:vAlign w:val="bottom"/>
            <w:shd w:val="clear" w:color="auto" w:fill="606489"/>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Improve the strategic alignment, efficiency</w:t>
            </w:r>
          </w:p>
        </w:tc>
        <w:tc>
          <w:tcPr>
            <w:tcW w:w="140" w:type="dxa"/>
            <w:vAlign w:val="bottom"/>
          </w:tcPr>
          <w:p>
            <w:pPr>
              <w:spacing w:after="0"/>
              <w:rPr>
                <w:sz w:val="17"/>
                <w:szCs w:val="17"/>
                <w:color w:val="auto"/>
              </w:rPr>
            </w:pPr>
          </w:p>
        </w:tc>
        <w:tc>
          <w:tcPr>
            <w:tcW w:w="100" w:type="dxa"/>
            <w:vAlign w:val="bottom"/>
            <w:shd w:val="clear" w:color="auto" w:fill="00FF00"/>
          </w:tcPr>
          <w:p>
            <w:pPr>
              <w:spacing w:after="0"/>
              <w:rPr>
                <w:sz w:val="17"/>
                <w:szCs w:val="17"/>
                <w:color w:val="auto"/>
              </w:rPr>
            </w:pPr>
          </w:p>
        </w:tc>
        <w:tc>
          <w:tcPr>
            <w:tcW w:w="1040" w:type="dxa"/>
            <w:vAlign w:val="bottom"/>
            <w:shd w:val="clear" w:color="auto" w:fill="00FF00"/>
          </w:tcPr>
          <w:p>
            <w:pPr>
              <w:jc w:val="center"/>
              <w:spacing w:after="0"/>
              <w:rPr>
                <w:sz w:val="20"/>
                <w:szCs w:val="20"/>
                <w:color w:val="auto"/>
              </w:rPr>
            </w:pPr>
            <w:r>
              <w:rPr>
                <w:rFonts w:ascii="Arial" w:cs="Arial" w:eastAsia="Arial" w:hAnsi="Arial"/>
                <w:sz w:val="16"/>
                <w:szCs w:val="16"/>
                <w:b w:val="1"/>
                <w:bCs w:val="1"/>
                <w:color w:val="auto"/>
                <w:w w:val="98"/>
              </w:rPr>
              <w:t>Achieved</w:t>
            </w:r>
          </w:p>
        </w:tc>
        <w:tc>
          <w:tcPr>
            <w:tcW w:w="120" w:type="dxa"/>
            <w:vAlign w:val="bottom"/>
            <w:shd w:val="clear" w:color="auto" w:fill="00FF00"/>
          </w:tcPr>
          <w:p>
            <w:pPr>
              <w:spacing w:after="0"/>
              <w:rPr>
                <w:sz w:val="17"/>
                <w:szCs w:val="17"/>
                <w:color w:val="auto"/>
              </w:rPr>
            </w:pPr>
          </w:p>
        </w:tc>
        <w:tc>
          <w:tcPr>
            <w:tcW w:w="20" w:type="dxa"/>
            <w:vAlign w:val="bottom"/>
            <w:shd w:val="clear" w:color="auto" w:fill="2A3D6C"/>
          </w:tcPr>
          <w:p>
            <w:pPr>
              <w:spacing w:after="0"/>
              <w:rPr>
                <w:sz w:val="17"/>
                <w:szCs w:val="17"/>
                <w:color w:val="auto"/>
              </w:rPr>
            </w:pPr>
          </w:p>
        </w:tc>
        <w:tc>
          <w:tcPr>
            <w:tcW w:w="3600" w:type="dxa"/>
            <w:vAlign w:val="bottom"/>
            <w:tcBorders>
              <w:left w:val="single" w:sz="8" w:color="2A3D6C"/>
            </w:tcBorders>
            <w:gridSpan w:val="2"/>
          </w:tcPr>
          <w:p>
            <w:pPr>
              <w:ind w:left="80"/>
              <w:spacing w:after="0"/>
              <w:rPr>
                <w:sz w:val="20"/>
                <w:szCs w:val="20"/>
                <w:color w:val="auto"/>
              </w:rPr>
            </w:pPr>
            <w:r>
              <w:rPr>
                <w:rFonts w:ascii="Arial" w:cs="Arial" w:eastAsia="Arial" w:hAnsi="Arial"/>
                <w:sz w:val="16"/>
                <w:szCs w:val="16"/>
                <w:color w:val="auto"/>
              </w:rPr>
              <w:t>Improved the strategic alignment, efficiency and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100" w:type="dxa"/>
            <w:vAlign w:val="bottom"/>
          </w:tcPr>
          <w:p>
            <w:pPr>
              <w:ind w:left="60"/>
              <w:spacing w:after="0"/>
              <w:rPr>
                <w:sz w:val="20"/>
                <w:szCs w:val="20"/>
                <w:color w:val="auto"/>
              </w:rPr>
            </w:pPr>
            <w:r>
              <w:rPr>
                <w:rFonts w:ascii="Arial" w:cs="Arial" w:eastAsia="Arial" w:hAnsi="Arial"/>
                <w:sz w:val="16"/>
                <w:szCs w:val="16"/>
                <w:color w:val="auto"/>
              </w:rPr>
              <w:t>and connection of the Company</w:t>
            </w: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40" w:type="dxa"/>
            <w:vAlign w:val="bottom"/>
            <w:shd w:val="clear" w:color="auto" w:fill="00FF00"/>
          </w:tcPr>
          <w:p>
            <w:pPr>
              <w:spacing w:after="0"/>
              <w:rPr>
                <w:sz w:val="16"/>
                <w:szCs w:val="16"/>
                <w:color w:val="auto"/>
              </w:rPr>
            </w:pPr>
          </w:p>
        </w:tc>
        <w:tc>
          <w:tcPr>
            <w:tcW w:w="12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00" w:type="dxa"/>
            <w:vAlign w:val="bottom"/>
            <w:tcBorders>
              <w:left w:val="single" w:sz="8" w:color="2A3D6C"/>
            </w:tcBorders>
            <w:gridSpan w:val="2"/>
          </w:tcPr>
          <w:p>
            <w:pPr>
              <w:ind w:left="80"/>
              <w:spacing w:after="0"/>
              <w:rPr>
                <w:sz w:val="20"/>
                <w:szCs w:val="20"/>
                <w:color w:val="auto"/>
              </w:rPr>
            </w:pPr>
            <w:r>
              <w:rPr>
                <w:rFonts w:ascii="Arial" w:cs="Arial" w:eastAsia="Arial" w:hAnsi="Arial"/>
                <w:sz w:val="16"/>
                <w:szCs w:val="16"/>
                <w:color w:val="auto"/>
              </w:rPr>
              <w:t>connection of the Company as evidenced by our</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40" w:type="dxa"/>
            <w:vAlign w:val="bottom"/>
            <w:shd w:val="clear" w:color="auto" w:fill="00FF00"/>
          </w:tcPr>
          <w:p>
            <w:pPr>
              <w:spacing w:after="0"/>
              <w:rPr>
                <w:sz w:val="16"/>
                <w:szCs w:val="16"/>
                <w:color w:val="auto"/>
              </w:rPr>
            </w:pPr>
          </w:p>
        </w:tc>
        <w:tc>
          <w:tcPr>
            <w:tcW w:w="12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00" w:type="dxa"/>
            <w:vAlign w:val="bottom"/>
            <w:tcBorders>
              <w:left w:val="single" w:sz="8" w:color="2A3D6C"/>
            </w:tcBorders>
            <w:gridSpan w:val="2"/>
          </w:tcPr>
          <w:p>
            <w:pPr>
              <w:ind w:left="80"/>
              <w:spacing w:after="0"/>
              <w:rPr>
                <w:sz w:val="20"/>
                <w:szCs w:val="20"/>
                <w:color w:val="auto"/>
              </w:rPr>
            </w:pPr>
            <w:r>
              <w:rPr>
                <w:rFonts w:ascii="Arial" w:cs="Arial" w:eastAsia="Arial" w:hAnsi="Arial"/>
                <w:sz w:val="16"/>
                <w:szCs w:val="16"/>
                <w:color w:val="auto"/>
              </w:rPr>
              <w:t>improved annual Work Force survey scores for</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10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00FF0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shd w:val="clear" w:color="auto" w:fill="00FF00"/>
          </w:tcPr>
          <w:p>
            <w:pPr>
              <w:spacing w:after="0"/>
              <w:rPr>
                <w:sz w:val="17"/>
                <w:szCs w:val="17"/>
                <w:color w:val="auto"/>
              </w:rPr>
            </w:pPr>
          </w:p>
        </w:tc>
        <w:tc>
          <w:tcPr>
            <w:tcW w:w="120" w:type="dxa"/>
            <w:vAlign w:val="bottom"/>
            <w:shd w:val="clear" w:color="auto" w:fill="00FF0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600" w:type="dxa"/>
            <w:vAlign w:val="bottom"/>
            <w:tcBorders>
              <w:left w:val="single" w:sz="8" w:color="2A3D6C"/>
            </w:tcBorders>
            <w:gridSpan w:val="2"/>
          </w:tcPr>
          <w:p>
            <w:pPr>
              <w:ind w:left="80"/>
              <w:spacing w:after="0"/>
              <w:rPr>
                <w:sz w:val="20"/>
                <w:szCs w:val="20"/>
                <w:color w:val="auto"/>
              </w:rPr>
            </w:pPr>
            <w:r>
              <w:rPr>
                <w:rFonts w:ascii="Arial" w:cs="Arial" w:eastAsia="Arial" w:hAnsi="Arial"/>
                <w:sz w:val="16"/>
                <w:szCs w:val="16"/>
                <w:color w:val="auto"/>
              </w:rPr>
              <w:t>connection and strategic alignment.</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shd w:val="clear" w:color="auto" w:fill="00FF00"/>
          </w:tcPr>
          <w:p>
            <w:pPr>
              <w:spacing w:after="0"/>
              <w:rPr>
                <w:sz w:val="15"/>
                <w:szCs w:val="15"/>
                <w:color w:val="auto"/>
              </w:rPr>
            </w:pPr>
          </w:p>
        </w:tc>
        <w:tc>
          <w:tcPr>
            <w:tcW w:w="1040" w:type="dxa"/>
            <w:vAlign w:val="bottom"/>
            <w:shd w:val="clear" w:color="auto" w:fill="00FF00"/>
          </w:tcPr>
          <w:p>
            <w:pPr>
              <w:spacing w:after="0"/>
              <w:rPr>
                <w:sz w:val="15"/>
                <w:szCs w:val="15"/>
                <w:color w:val="auto"/>
              </w:rPr>
            </w:pPr>
          </w:p>
        </w:tc>
        <w:tc>
          <w:tcPr>
            <w:tcW w:w="120" w:type="dxa"/>
            <w:vAlign w:val="bottom"/>
            <w:shd w:val="clear" w:color="auto" w:fill="00FF00"/>
          </w:tcPr>
          <w:p>
            <w:pPr>
              <w:spacing w:after="0"/>
              <w:rPr>
                <w:sz w:val="15"/>
                <w:szCs w:val="15"/>
                <w:color w:val="auto"/>
              </w:rPr>
            </w:pPr>
          </w:p>
        </w:tc>
        <w:tc>
          <w:tcPr>
            <w:tcW w:w="20" w:type="dxa"/>
            <w:vAlign w:val="bottom"/>
            <w:shd w:val="clear" w:color="auto" w:fill="2A3D6C"/>
          </w:tcPr>
          <w:p>
            <w:pPr>
              <w:spacing w:after="0"/>
              <w:rPr>
                <w:sz w:val="15"/>
                <w:szCs w:val="15"/>
                <w:color w:val="auto"/>
              </w:rPr>
            </w:pPr>
          </w:p>
        </w:tc>
        <w:tc>
          <w:tcPr>
            <w:tcW w:w="820" w:type="dxa"/>
            <w:vAlign w:val="bottom"/>
            <w:tcBorders>
              <w:left w:val="single" w:sz="8" w:color="2A3D6C"/>
            </w:tcBorders>
          </w:tcPr>
          <w:p>
            <w:pPr>
              <w:ind w:left="80"/>
              <w:spacing w:after="0" w:line="174" w:lineRule="exact"/>
              <w:rPr>
                <w:sz w:val="20"/>
                <w:szCs w:val="20"/>
                <w:color w:val="auto"/>
              </w:rPr>
            </w:pPr>
            <w:r>
              <w:rPr>
                <w:rFonts w:ascii="Arial" w:cs="Arial" w:eastAsia="Arial" w:hAnsi="Arial"/>
                <w:sz w:val="16"/>
                <w:szCs w:val="16"/>
                <w:color w:val="auto"/>
              </w:rPr>
              <w:t> </w:t>
            </w:r>
          </w:p>
        </w:tc>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40" w:type="dxa"/>
            <w:vAlign w:val="bottom"/>
            <w:shd w:val="clear" w:color="auto" w:fill="00FF00"/>
          </w:tcPr>
          <w:p>
            <w:pPr>
              <w:spacing w:after="0"/>
              <w:rPr>
                <w:sz w:val="16"/>
                <w:szCs w:val="16"/>
                <w:color w:val="auto"/>
              </w:rPr>
            </w:pPr>
          </w:p>
        </w:tc>
        <w:tc>
          <w:tcPr>
            <w:tcW w:w="12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00" w:type="dxa"/>
            <w:vAlign w:val="bottom"/>
            <w:tcBorders>
              <w:left w:val="single" w:sz="8" w:color="2A3D6C"/>
            </w:tcBorders>
            <w:gridSpan w:val="2"/>
          </w:tcPr>
          <w:p>
            <w:pPr>
              <w:ind w:left="80"/>
              <w:spacing w:after="0"/>
              <w:rPr>
                <w:sz w:val="20"/>
                <w:szCs w:val="20"/>
                <w:color w:val="auto"/>
              </w:rPr>
            </w:pPr>
            <w:r>
              <w:rPr>
                <w:rFonts w:ascii="Arial" w:cs="Arial" w:eastAsia="Arial" w:hAnsi="Arial"/>
                <w:sz w:val="16"/>
                <w:szCs w:val="16"/>
                <w:color w:val="auto"/>
              </w:rPr>
              <w:t>Hybrid return to office in July 2021 and the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40" w:type="dxa"/>
            <w:vAlign w:val="bottom"/>
            <w:shd w:val="clear" w:color="auto" w:fill="00FF00"/>
          </w:tcPr>
          <w:p>
            <w:pPr>
              <w:spacing w:after="0"/>
              <w:rPr>
                <w:sz w:val="16"/>
                <w:szCs w:val="16"/>
                <w:color w:val="auto"/>
              </w:rPr>
            </w:pPr>
          </w:p>
        </w:tc>
        <w:tc>
          <w:tcPr>
            <w:tcW w:w="12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00" w:type="dxa"/>
            <w:vAlign w:val="bottom"/>
            <w:tcBorders>
              <w:left w:val="single" w:sz="8" w:color="2A3D6C"/>
            </w:tcBorders>
            <w:gridSpan w:val="2"/>
          </w:tcPr>
          <w:p>
            <w:pPr>
              <w:ind w:left="80"/>
              <w:spacing w:after="0"/>
              <w:rPr>
                <w:sz w:val="20"/>
                <w:szCs w:val="20"/>
                <w:color w:val="auto"/>
              </w:rPr>
            </w:pPr>
            <w:r>
              <w:rPr>
                <w:rFonts w:ascii="Arial" w:cs="Arial" w:eastAsia="Arial" w:hAnsi="Arial"/>
                <w:sz w:val="16"/>
                <w:szCs w:val="16"/>
                <w:color w:val="auto"/>
              </w:rPr>
              <w:t>Company resumed social and philanthropic</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00FF00"/>
            </w:tcBorders>
            <w:shd w:val="clear" w:color="auto" w:fill="00FF00"/>
          </w:tcPr>
          <w:p>
            <w:pPr>
              <w:spacing w:after="0"/>
              <w:rPr>
                <w:sz w:val="20"/>
                <w:szCs w:val="20"/>
                <w:color w:val="auto"/>
              </w:rPr>
            </w:pPr>
          </w:p>
        </w:tc>
        <w:tc>
          <w:tcPr>
            <w:tcW w:w="1040" w:type="dxa"/>
            <w:vAlign w:val="bottom"/>
            <w:tcBorders>
              <w:bottom w:val="single" w:sz="8" w:color="00FF00"/>
            </w:tcBorders>
            <w:shd w:val="clear" w:color="auto" w:fill="00FF00"/>
          </w:tcPr>
          <w:p>
            <w:pPr>
              <w:spacing w:after="0"/>
              <w:rPr>
                <w:sz w:val="20"/>
                <w:szCs w:val="20"/>
                <w:color w:val="auto"/>
              </w:rPr>
            </w:pPr>
          </w:p>
        </w:tc>
        <w:tc>
          <w:tcPr>
            <w:tcW w:w="120" w:type="dxa"/>
            <w:vAlign w:val="bottom"/>
            <w:tcBorders>
              <w:bottom w:val="single" w:sz="8" w:color="00FF00"/>
            </w:tcBorders>
            <w:shd w:val="clear" w:color="auto" w:fill="00FF00"/>
          </w:tcPr>
          <w:p>
            <w:pPr>
              <w:spacing w:after="0"/>
              <w:rPr>
                <w:sz w:val="20"/>
                <w:szCs w:val="20"/>
                <w:color w:val="auto"/>
              </w:rPr>
            </w:pPr>
          </w:p>
        </w:tc>
        <w:tc>
          <w:tcPr>
            <w:tcW w:w="20" w:type="dxa"/>
            <w:vAlign w:val="bottom"/>
            <w:tcBorders>
              <w:bottom w:val="single" w:sz="8" w:color="2A3D6C"/>
            </w:tcBorders>
            <w:shd w:val="clear" w:color="auto" w:fill="2A3D6C"/>
          </w:tcPr>
          <w:p>
            <w:pPr>
              <w:spacing w:after="0"/>
              <w:rPr>
                <w:sz w:val="20"/>
                <w:szCs w:val="20"/>
                <w:color w:val="auto"/>
              </w:rPr>
            </w:pPr>
          </w:p>
        </w:tc>
        <w:tc>
          <w:tcPr>
            <w:tcW w:w="820" w:type="dxa"/>
            <w:vAlign w:val="bottom"/>
            <w:tcBorders>
              <w:left w:val="single" w:sz="8" w:color="2A3D6C"/>
            </w:tcBorders>
          </w:tcPr>
          <w:p>
            <w:pPr>
              <w:ind w:left="80"/>
              <w:spacing w:after="0"/>
              <w:rPr>
                <w:sz w:val="20"/>
                <w:szCs w:val="20"/>
                <w:color w:val="auto"/>
              </w:rPr>
            </w:pPr>
            <w:r>
              <w:rPr>
                <w:rFonts w:ascii="Arial" w:cs="Arial" w:eastAsia="Arial" w:hAnsi="Arial"/>
                <w:sz w:val="16"/>
                <w:szCs w:val="16"/>
                <w:color w:val="auto"/>
              </w:rPr>
              <w:t>activities.</w:t>
            </w:r>
          </w:p>
        </w:tc>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2A3D6C"/>
          </w:tcPr>
          <w:p>
            <w:pPr>
              <w:spacing w:after="0" w:line="20" w:lineRule="exact"/>
              <w:rPr>
                <w:sz w:val="1"/>
                <w:szCs w:val="1"/>
                <w:color w:val="auto"/>
              </w:rPr>
            </w:pPr>
          </w:p>
        </w:tc>
        <w:tc>
          <w:tcPr>
            <w:tcW w:w="820" w:type="dxa"/>
            <w:vAlign w:val="bottom"/>
            <w:tcBorders>
              <w:left w:val="single" w:sz="8" w:color="2A3D6C"/>
            </w:tcBorders>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6400"/>
        <w:spacing w:after="0"/>
        <w:rPr>
          <w:sz w:val="20"/>
          <w:szCs w:val="20"/>
          <w:color w:val="auto"/>
        </w:rPr>
      </w:pPr>
      <w:r>
        <w:rPr>
          <w:rFonts w:ascii="Arial" w:cs="Arial" w:eastAsia="Arial" w:hAnsi="Arial"/>
          <w:sz w:val="23"/>
          <w:szCs w:val="23"/>
          <w:color w:val="auto"/>
        </w:rPr>
        <w:t> </w:t>
      </w:r>
    </w:p>
    <w:p>
      <w:pPr>
        <w:ind w:left="6520"/>
        <w:spacing w:after="0"/>
        <w:rPr>
          <w:sz w:val="20"/>
          <w:szCs w:val="20"/>
          <w:color w:val="auto"/>
        </w:rPr>
      </w:pPr>
      <w:r>
        <w:rPr>
          <w:rFonts w:ascii="Arial" w:cs="Arial" w:eastAsia="Arial" w:hAnsi="Arial"/>
          <w:sz w:val="15"/>
          <w:szCs w:val="15"/>
          <w:color w:val="auto"/>
        </w:rPr>
        <w:t>  2022 Proxy Statement</w:t>
      </w:r>
      <w:r>
        <w:rPr>
          <w:rFonts w:ascii="Arial" w:cs="Arial" w:eastAsia="Arial" w:hAnsi="Arial"/>
          <w:sz w:val="23"/>
          <w:szCs w:val="23"/>
          <w:b w:val="1"/>
          <w:bCs w:val="1"/>
          <w:color w:val="2A3D6C"/>
        </w:rPr>
        <w:t xml:space="preserve">  | </w:t>
      </w:r>
      <w:r>
        <w:rPr>
          <w:rFonts w:ascii="Arial" w:cs="Arial" w:eastAsia="Arial" w:hAnsi="Arial"/>
          <w:sz w:val="15"/>
          <w:szCs w:val="15"/>
          <w:color w:val="auto"/>
        </w:rPr>
        <w:t xml:space="preserve"> </w:t>
      </w:r>
      <w:r>
        <w:rPr>
          <w:rFonts w:ascii="Arial" w:cs="Arial" w:eastAsia="Arial" w:hAnsi="Arial"/>
          <w:sz w:val="15"/>
          <w:szCs w:val="15"/>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112395</wp:posOffset>
            </wp:positionV>
            <wp:extent cx="693801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-167005</wp:posOffset>
            </wp:positionV>
            <wp:extent cx="594995" cy="170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6" w:name="page47"/>
    <w:bookmarkEnd w:id="46"/>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20" w:type="dxa"/>
            <w:vAlign w:val="bottom"/>
            <w:tcBorders>
              <w:top w:val="single" w:sz="8" w:color="auto"/>
            </w:tcBorders>
            <w:shd w:val="clear" w:color="auto" w:fill="000000"/>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Borders>
              <w:top w:val="single" w:sz="8" w:color="auto"/>
            </w:tcBorders>
            <w:shd w:val="clear" w:color="auto" w:fill="606489"/>
          </w:tcPr>
          <w:p>
            <w:pPr>
              <w:spacing w:after="0"/>
              <w:rPr>
                <w:sz w:val="19"/>
                <w:szCs w:val="19"/>
                <w:color w:val="auto"/>
              </w:rPr>
            </w:pPr>
          </w:p>
        </w:tc>
        <w:tc>
          <w:tcPr>
            <w:tcW w:w="1440" w:type="dxa"/>
            <w:vAlign w:val="bottom"/>
            <w:tcBorders>
              <w:top w:val="single" w:sz="8" w:color="auto"/>
            </w:tcBorders>
            <w:shd w:val="clear" w:color="auto" w:fill="606489"/>
          </w:tcPr>
          <w:p>
            <w:pPr>
              <w:spacing w:after="0"/>
              <w:rPr>
                <w:sz w:val="19"/>
                <w:szCs w:val="19"/>
                <w:color w:val="auto"/>
              </w:rPr>
            </w:pPr>
          </w:p>
        </w:tc>
        <w:tc>
          <w:tcPr>
            <w:tcW w:w="180" w:type="dxa"/>
            <w:vAlign w:val="bottom"/>
            <w:tcBorders>
              <w:top w:val="single" w:sz="8" w:color="auto"/>
            </w:tcBorders>
            <w:shd w:val="clear" w:color="auto" w:fill="606489"/>
          </w:tcPr>
          <w:p>
            <w:pPr>
              <w:spacing w:after="0"/>
              <w:rPr>
                <w:sz w:val="19"/>
                <w:szCs w:val="19"/>
                <w:color w:val="auto"/>
              </w:rPr>
            </w:pPr>
          </w:p>
        </w:tc>
        <w:tc>
          <w:tcPr>
            <w:tcW w:w="20" w:type="dxa"/>
            <w:vAlign w:val="bottom"/>
            <w:tcBorders>
              <w:top w:val="single" w:sz="8" w:color="auto"/>
            </w:tcBorders>
            <w:shd w:val="clear" w:color="auto" w:fill="606489"/>
          </w:tcPr>
          <w:p>
            <w:pPr>
              <w:spacing w:after="0"/>
              <w:rPr>
                <w:sz w:val="19"/>
                <w:szCs w:val="19"/>
                <w:color w:val="auto"/>
              </w:rPr>
            </w:pPr>
          </w:p>
        </w:tc>
        <w:tc>
          <w:tcPr>
            <w:tcW w:w="6480" w:type="dxa"/>
            <w:vAlign w:val="bottom"/>
            <w:tcBorders>
              <w:top w:val="single" w:sz="8" w:color="auto"/>
              <w:left w:val="single" w:sz="8" w:color="606489"/>
            </w:tcBorders>
            <w:gridSpan w:val="6"/>
            <w:shd w:val="clear" w:color="auto" w:fill="606489"/>
          </w:tcPr>
          <w:p>
            <w:pPr>
              <w:ind w:left="1260"/>
              <w:spacing w:after="0"/>
              <w:rPr>
                <w:sz w:val="20"/>
                <w:szCs w:val="20"/>
                <w:color w:val="auto"/>
              </w:rPr>
            </w:pPr>
            <w:r>
              <w:rPr>
                <w:rFonts w:ascii="Arial" w:cs="Arial" w:eastAsia="Arial" w:hAnsi="Arial"/>
                <w:sz w:val="16"/>
                <w:szCs w:val="16"/>
                <w:b w:val="1"/>
                <w:bCs w:val="1"/>
                <w:color w:val="FFFFFF"/>
              </w:rPr>
              <w:t>Deliver Operational Milestones</w:t>
            </w:r>
          </w:p>
        </w:tc>
        <w:tc>
          <w:tcPr>
            <w:tcW w:w="140" w:type="dxa"/>
            <w:vAlign w:val="bottom"/>
            <w:tcBorders>
              <w:top w:val="single" w:sz="8" w:color="auto"/>
              <w:right w:val="single" w:sz="8" w:color="auto"/>
            </w:tcBorders>
            <w:shd w:val="clear" w:color="auto" w:fill="60648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24"/>
        </w:trPr>
        <w:tc>
          <w:tcPr>
            <w:tcW w:w="20" w:type="dxa"/>
            <w:vAlign w:val="bottom"/>
            <w:tcBorders>
              <w:bottom w:val="single" w:sz="8" w:color="auto"/>
            </w:tcBorders>
            <w:shd w:val="clear" w:color="auto" w:fill="000000"/>
          </w:tcPr>
          <w:p>
            <w:pPr>
              <w:spacing w:after="0"/>
              <w:rPr>
                <w:sz w:val="10"/>
                <w:szCs w:val="10"/>
                <w:color w:val="auto"/>
              </w:rPr>
            </w:pPr>
          </w:p>
        </w:tc>
        <w:tc>
          <w:tcPr>
            <w:tcW w:w="80" w:type="dxa"/>
            <w:vAlign w:val="bottom"/>
            <w:tcBorders>
              <w:bottom w:val="single" w:sz="8" w:color="2A3D6C"/>
            </w:tcBorders>
            <w:shd w:val="clear" w:color="auto" w:fill="606489"/>
          </w:tcPr>
          <w:p>
            <w:pPr>
              <w:spacing w:after="0"/>
              <w:rPr>
                <w:sz w:val="10"/>
                <w:szCs w:val="10"/>
                <w:color w:val="auto"/>
              </w:rPr>
            </w:pPr>
          </w:p>
        </w:tc>
        <w:tc>
          <w:tcPr>
            <w:tcW w:w="1440" w:type="dxa"/>
            <w:vAlign w:val="bottom"/>
            <w:tcBorders>
              <w:bottom w:val="single" w:sz="8" w:color="2A3D6C"/>
            </w:tcBorders>
            <w:shd w:val="clear" w:color="auto" w:fill="606489"/>
          </w:tcPr>
          <w:p>
            <w:pPr>
              <w:spacing w:after="0"/>
              <w:rPr>
                <w:sz w:val="10"/>
                <w:szCs w:val="10"/>
                <w:color w:val="auto"/>
              </w:rPr>
            </w:pPr>
          </w:p>
        </w:tc>
        <w:tc>
          <w:tcPr>
            <w:tcW w:w="180" w:type="dxa"/>
            <w:vAlign w:val="bottom"/>
            <w:tcBorders>
              <w:bottom w:val="single" w:sz="8" w:color="2A3D6C"/>
            </w:tcBorders>
            <w:shd w:val="clear" w:color="auto" w:fill="606489"/>
          </w:tcPr>
          <w:p>
            <w:pPr>
              <w:spacing w:after="0"/>
              <w:rPr>
                <w:sz w:val="10"/>
                <w:szCs w:val="10"/>
                <w:color w:val="auto"/>
              </w:rPr>
            </w:pPr>
          </w:p>
        </w:tc>
        <w:tc>
          <w:tcPr>
            <w:tcW w:w="20" w:type="dxa"/>
            <w:vAlign w:val="bottom"/>
            <w:tcBorders>
              <w:bottom w:val="single" w:sz="8" w:color="2A3D6C"/>
            </w:tcBorders>
            <w:shd w:val="clear" w:color="auto" w:fill="606489"/>
          </w:tcPr>
          <w:p>
            <w:pPr>
              <w:spacing w:after="0"/>
              <w:rPr>
                <w:sz w:val="10"/>
                <w:szCs w:val="10"/>
                <w:color w:val="auto"/>
              </w:rPr>
            </w:pPr>
          </w:p>
        </w:tc>
        <w:tc>
          <w:tcPr>
            <w:tcW w:w="1460" w:type="dxa"/>
            <w:vAlign w:val="bottom"/>
            <w:tcBorders>
              <w:left w:val="single" w:sz="8" w:color="606489"/>
              <w:bottom w:val="single" w:sz="8" w:color="2A3D6C"/>
            </w:tcBorders>
            <w:shd w:val="clear" w:color="auto" w:fill="606489"/>
          </w:tcPr>
          <w:p>
            <w:pPr>
              <w:spacing w:after="0"/>
              <w:rPr>
                <w:sz w:val="10"/>
                <w:szCs w:val="10"/>
                <w:color w:val="auto"/>
              </w:rPr>
            </w:pPr>
          </w:p>
        </w:tc>
        <w:tc>
          <w:tcPr>
            <w:tcW w:w="100" w:type="dxa"/>
            <w:vAlign w:val="bottom"/>
            <w:tcBorders>
              <w:bottom w:val="single" w:sz="8" w:color="2A3D6C"/>
            </w:tcBorders>
            <w:shd w:val="clear" w:color="auto" w:fill="606489"/>
          </w:tcPr>
          <w:p>
            <w:pPr>
              <w:spacing w:after="0"/>
              <w:rPr>
                <w:sz w:val="10"/>
                <w:szCs w:val="10"/>
                <w:color w:val="auto"/>
              </w:rPr>
            </w:pPr>
          </w:p>
        </w:tc>
        <w:tc>
          <w:tcPr>
            <w:tcW w:w="20" w:type="dxa"/>
            <w:vAlign w:val="bottom"/>
            <w:tcBorders>
              <w:bottom w:val="single" w:sz="8" w:color="2A3D6C"/>
            </w:tcBorders>
            <w:shd w:val="clear" w:color="auto" w:fill="606489"/>
          </w:tcPr>
          <w:p>
            <w:pPr>
              <w:spacing w:after="0"/>
              <w:rPr>
                <w:sz w:val="10"/>
                <w:szCs w:val="10"/>
                <w:color w:val="auto"/>
              </w:rPr>
            </w:pPr>
          </w:p>
        </w:tc>
        <w:tc>
          <w:tcPr>
            <w:tcW w:w="1240" w:type="dxa"/>
            <w:vAlign w:val="bottom"/>
            <w:tcBorders>
              <w:bottom w:val="single" w:sz="8" w:color="2A3D6C"/>
            </w:tcBorders>
            <w:shd w:val="clear" w:color="auto" w:fill="606489"/>
          </w:tcPr>
          <w:p>
            <w:pPr>
              <w:spacing w:after="0"/>
              <w:rPr>
                <w:sz w:val="10"/>
                <w:szCs w:val="10"/>
                <w:color w:val="auto"/>
              </w:rPr>
            </w:pPr>
          </w:p>
        </w:tc>
        <w:tc>
          <w:tcPr>
            <w:tcW w:w="20" w:type="dxa"/>
            <w:vAlign w:val="bottom"/>
            <w:tcBorders>
              <w:bottom w:val="single" w:sz="8" w:color="2A3D6C"/>
            </w:tcBorders>
            <w:shd w:val="clear" w:color="auto" w:fill="606489"/>
          </w:tcPr>
          <w:p>
            <w:pPr>
              <w:spacing w:after="0"/>
              <w:rPr>
                <w:sz w:val="10"/>
                <w:szCs w:val="10"/>
                <w:color w:val="auto"/>
              </w:rPr>
            </w:pPr>
          </w:p>
        </w:tc>
        <w:tc>
          <w:tcPr>
            <w:tcW w:w="3640" w:type="dxa"/>
            <w:vAlign w:val="bottom"/>
            <w:tcBorders>
              <w:left w:val="single" w:sz="8" w:color="606489"/>
              <w:bottom w:val="single" w:sz="8" w:color="2A3D6C"/>
            </w:tcBorders>
            <w:shd w:val="clear" w:color="auto" w:fill="606489"/>
          </w:tcPr>
          <w:p>
            <w:pPr>
              <w:spacing w:after="0"/>
              <w:rPr>
                <w:sz w:val="10"/>
                <w:szCs w:val="10"/>
                <w:color w:val="auto"/>
              </w:rPr>
            </w:pPr>
          </w:p>
        </w:tc>
        <w:tc>
          <w:tcPr>
            <w:tcW w:w="140" w:type="dxa"/>
            <w:vAlign w:val="bottom"/>
            <w:tcBorders>
              <w:bottom w:val="single" w:sz="8" w:color="2A3D6C"/>
              <w:right w:val="single" w:sz="8" w:color="auto"/>
            </w:tcBorders>
            <w:shd w:val="clear" w:color="auto" w:fill="606489"/>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000000"/>
          </w:tcPr>
          <w:p>
            <w:pPr>
              <w:spacing w:after="0"/>
              <w:rPr>
                <w:sz w:val="17"/>
                <w:szCs w:val="17"/>
                <w:color w:val="auto"/>
              </w:rPr>
            </w:pPr>
          </w:p>
        </w:tc>
        <w:tc>
          <w:tcPr>
            <w:tcW w:w="80" w:type="dxa"/>
            <w:vAlign w:val="bottom"/>
            <w:shd w:val="clear" w:color="auto" w:fill="606489"/>
          </w:tcPr>
          <w:p>
            <w:pPr>
              <w:spacing w:after="0"/>
              <w:rPr>
                <w:sz w:val="17"/>
                <w:szCs w:val="17"/>
                <w:color w:val="auto"/>
              </w:rPr>
            </w:pPr>
          </w:p>
        </w:tc>
        <w:tc>
          <w:tcPr>
            <w:tcW w:w="1440" w:type="dxa"/>
            <w:vAlign w:val="bottom"/>
            <w:shd w:val="clear" w:color="auto" w:fill="606489"/>
          </w:tcPr>
          <w:p>
            <w:pPr>
              <w:spacing w:after="0"/>
              <w:rPr>
                <w:sz w:val="17"/>
                <w:szCs w:val="17"/>
                <w:color w:val="auto"/>
              </w:rPr>
            </w:pPr>
          </w:p>
        </w:tc>
        <w:tc>
          <w:tcPr>
            <w:tcW w:w="180" w:type="dxa"/>
            <w:vAlign w:val="bottom"/>
            <w:shd w:val="clear" w:color="auto" w:fill="606489"/>
          </w:tcPr>
          <w:p>
            <w:pPr>
              <w:spacing w:after="0"/>
              <w:rPr>
                <w:sz w:val="17"/>
                <w:szCs w:val="17"/>
                <w:color w:val="auto"/>
              </w:rPr>
            </w:pPr>
          </w:p>
        </w:tc>
        <w:tc>
          <w:tcPr>
            <w:tcW w:w="20" w:type="dxa"/>
            <w:vAlign w:val="bottom"/>
            <w:shd w:val="clear" w:color="auto" w:fill="2A3D6C"/>
          </w:tcPr>
          <w:p>
            <w:pPr>
              <w:spacing w:after="0"/>
              <w:rPr>
                <w:sz w:val="17"/>
                <w:szCs w:val="17"/>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Maximize Ghana</w:t>
            </w:r>
          </w:p>
        </w:tc>
        <w:tc>
          <w:tcPr>
            <w:tcW w:w="100" w:type="dxa"/>
            <w:vAlign w:val="bottom"/>
          </w:tcPr>
          <w:p>
            <w:pPr>
              <w:spacing w:after="0"/>
              <w:rPr>
                <w:sz w:val="17"/>
                <w:szCs w:val="17"/>
                <w:color w:val="auto"/>
              </w:rPr>
            </w:pPr>
          </w:p>
        </w:tc>
        <w:tc>
          <w:tcPr>
            <w:tcW w:w="20" w:type="dxa"/>
            <w:vAlign w:val="bottom"/>
            <w:shd w:val="clear" w:color="auto" w:fill="2A3D6C"/>
          </w:tcPr>
          <w:p>
            <w:pPr>
              <w:spacing w:after="0"/>
              <w:rPr>
                <w:sz w:val="17"/>
                <w:szCs w:val="17"/>
                <w:color w:val="auto"/>
              </w:rPr>
            </w:pPr>
          </w:p>
        </w:tc>
        <w:tc>
          <w:tcPr>
            <w:tcW w:w="1240" w:type="dxa"/>
            <w:vAlign w:val="bottom"/>
            <w:shd w:val="clear" w:color="auto" w:fill="00FF00"/>
          </w:tcPr>
          <w:p>
            <w:pPr>
              <w:jc w:val="center"/>
              <w:spacing w:after="0"/>
              <w:rPr>
                <w:sz w:val="20"/>
                <w:szCs w:val="20"/>
                <w:color w:val="auto"/>
              </w:rPr>
            </w:pPr>
            <w:r>
              <w:rPr>
                <w:rFonts w:ascii="Arial" w:cs="Arial" w:eastAsia="Arial" w:hAnsi="Arial"/>
                <w:sz w:val="16"/>
                <w:szCs w:val="16"/>
                <w:b w:val="1"/>
                <w:bCs w:val="1"/>
                <w:color w:val="auto"/>
              </w:rPr>
              <w:t>Achieved</w:t>
            </w:r>
          </w:p>
        </w:tc>
        <w:tc>
          <w:tcPr>
            <w:tcW w:w="20" w:type="dxa"/>
            <w:vAlign w:val="bottom"/>
            <w:shd w:val="clear" w:color="auto" w:fill="2A3D6C"/>
          </w:tcPr>
          <w:p>
            <w:pPr>
              <w:spacing w:after="0"/>
              <w:rPr>
                <w:sz w:val="17"/>
                <w:szCs w:val="17"/>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Increased Ghana production by drilling three wells</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production through</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at Jubilee and one well at TEN.</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2021 drilling,</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 </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increased gas</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Jubilee exceeded 90,000 Mbopd, gross exit rate</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offtake export and</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at year-end.</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Pr>
          <w:p>
            <w:pPr>
              <w:ind w:left="60"/>
              <w:spacing w:after="0"/>
              <w:rPr>
                <w:sz w:val="20"/>
                <w:szCs w:val="20"/>
                <w:color w:val="auto"/>
              </w:rPr>
            </w:pPr>
            <w:r>
              <w:rPr>
                <w:rFonts w:ascii="Arial" w:cs="Arial" w:eastAsia="Arial" w:hAnsi="Arial"/>
                <w:sz w:val="16"/>
                <w:szCs w:val="16"/>
                <w:color w:val="auto"/>
              </w:rPr>
              <w:t>reliable water</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240" w:type="dxa"/>
            <w:vAlign w:val="bottom"/>
            <w:shd w:val="clear" w:color="auto" w:fill="00FF00"/>
          </w:tcPr>
          <w:p>
            <w:pPr>
              <w:ind w:left="114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3640" w:type="dxa"/>
            <w:vAlign w:val="bottom"/>
          </w:tcPr>
          <w:p>
            <w:pPr>
              <w:ind w:left="60"/>
              <w:spacing w:after="0"/>
              <w:rPr>
                <w:sz w:val="20"/>
                <w:szCs w:val="20"/>
                <w:color w:val="auto"/>
              </w:rPr>
            </w:pPr>
            <w:r>
              <w:rPr>
                <w:rFonts w:ascii="Arial" w:cs="Arial" w:eastAsia="Arial" w:hAnsi="Arial"/>
                <w:sz w:val="16"/>
                <w:szCs w:val="16"/>
                <w:color w:val="auto"/>
              </w:rPr>
              <w:t> </w:t>
            </w: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injection</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High levels of water injection and gas offtake from</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the Government of Ghana has continued into</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2022 with record levels of water injection seen at</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Jubilee (&gt;235,000 barrels of water per day)</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606489"/>
            </w:tcBorders>
            <w:shd w:val="clear" w:color="auto" w:fill="606489"/>
          </w:tcPr>
          <w:p>
            <w:pPr>
              <w:spacing w:after="0"/>
              <w:rPr>
                <w:sz w:val="21"/>
                <w:szCs w:val="21"/>
                <w:color w:val="auto"/>
              </w:rPr>
            </w:pPr>
          </w:p>
        </w:tc>
        <w:tc>
          <w:tcPr>
            <w:tcW w:w="1440" w:type="dxa"/>
            <w:vAlign w:val="bottom"/>
            <w:tcBorders>
              <w:bottom w:val="single" w:sz="8" w:color="606489"/>
            </w:tcBorders>
            <w:shd w:val="clear" w:color="auto" w:fill="606489"/>
          </w:tcPr>
          <w:p>
            <w:pPr>
              <w:spacing w:after="0"/>
              <w:rPr>
                <w:sz w:val="21"/>
                <w:szCs w:val="21"/>
                <w:color w:val="auto"/>
              </w:rPr>
            </w:pPr>
          </w:p>
        </w:tc>
        <w:tc>
          <w:tcPr>
            <w:tcW w:w="180" w:type="dxa"/>
            <w:vAlign w:val="bottom"/>
            <w:tcBorders>
              <w:bottom w:val="single" w:sz="8" w:color="606489"/>
            </w:tcBorders>
            <w:shd w:val="clear" w:color="auto" w:fill="606489"/>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240" w:type="dxa"/>
            <w:vAlign w:val="bottom"/>
            <w:tcBorders>
              <w:bottom w:val="single" w:sz="8" w:color="00FF00"/>
            </w:tcBorders>
            <w:shd w:val="clear" w:color="auto" w:fill="00FF00"/>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helping to optimize reservoir performance.</w:t>
            </w: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606489"/>
            </w:tcBorders>
            <w:shd w:val="clear" w:color="auto" w:fill="606489"/>
          </w:tcPr>
          <w:p>
            <w:pPr>
              <w:spacing w:after="0"/>
              <w:rPr>
                <w:sz w:val="17"/>
                <w:szCs w:val="17"/>
                <w:color w:val="auto"/>
              </w:rPr>
            </w:pPr>
          </w:p>
        </w:tc>
        <w:tc>
          <w:tcPr>
            <w:tcW w:w="1440" w:type="dxa"/>
            <w:vAlign w:val="bottom"/>
            <w:tcBorders>
              <w:top w:val="single" w:sz="8" w:color="606489"/>
            </w:tcBorders>
            <w:shd w:val="clear" w:color="auto" w:fill="606489"/>
          </w:tcPr>
          <w:p>
            <w:pPr>
              <w:spacing w:after="0"/>
              <w:rPr>
                <w:sz w:val="17"/>
                <w:szCs w:val="17"/>
                <w:color w:val="auto"/>
              </w:rPr>
            </w:pPr>
          </w:p>
        </w:tc>
        <w:tc>
          <w:tcPr>
            <w:tcW w:w="180" w:type="dxa"/>
            <w:vAlign w:val="bottom"/>
            <w:tcBorders>
              <w:top w:val="single" w:sz="8" w:color="606489"/>
            </w:tcBorders>
            <w:shd w:val="clear" w:color="auto" w:fill="606489"/>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46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Develop with the</w:t>
            </w:r>
          </w:p>
        </w:tc>
        <w:tc>
          <w:tcPr>
            <w:tcW w:w="100" w:type="dxa"/>
            <w:vAlign w:val="bottom"/>
            <w:tcBorders>
              <w:top w:val="single" w:sz="8" w:color="2A3D6C"/>
            </w:tcBorders>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240" w:type="dxa"/>
            <w:vAlign w:val="bottom"/>
            <w:tcBorders>
              <w:top w:val="single" w:sz="8" w:color="2A3D6C"/>
            </w:tcBorders>
            <w:shd w:val="clear" w:color="auto" w:fill="FFFF00"/>
          </w:tcPr>
          <w:p>
            <w:pPr>
              <w:jc w:val="center"/>
              <w:spacing w:after="0"/>
              <w:rPr>
                <w:sz w:val="20"/>
                <w:szCs w:val="20"/>
                <w:color w:val="auto"/>
              </w:rPr>
            </w:pPr>
            <w:r>
              <w:rPr>
                <w:rFonts w:ascii="Arial" w:cs="Arial" w:eastAsia="Arial" w:hAnsi="Arial"/>
                <w:sz w:val="16"/>
                <w:szCs w:val="16"/>
                <w:b w:val="1"/>
                <w:bCs w:val="1"/>
                <w:color w:val="auto"/>
                <w:w w:val="99"/>
              </w:rPr>
              <w:t>Partially</w:t>
            </w:r>
          </w:p>
        </w:tc>
        <w:tc>
          <w:tcPr>
            <w:tcW w:w="20" w:type="dxa"/>
            <w:vAlign w:val="bottom"/>
            <w:tcBorders>
              <w:top w:val="single" w:sz="8" w:color="2A3D6C"/>
            </w:tcBorders>
            <w:shd w:val="clear" w:color="auto" w:fill="2A3D6C"/>
          </w:tcPr>
          <w:p>
            <w:pPr>
              <w:spacing w:after="0"/>
              <w:rPr>
                <w:sz w:val="17"/>
                <w:szCs w:val="17"/>
                <w:color w:val="auto"/>
              </w:rPr>
            </w:pPr>
          </w:p>
        </w:tc>
        <w:tc>
          <w:tcPr>
            <w:tcW w:w="364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Developed high graded drilling targets with the</w:t>
            </w:r>
          </w:p>
        </w:tc>
        <w:tc>
          <w:tcPr>
            <w:tcW w:w="140" w:type="dxa"/>
            <w:vAlign w:val="bottom"/>
            <w:tcBorders>
              <w:top w:val="single" w:sz="8" w:color="2A3D6C"/>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vMerge w:val="restart"/>
            <w:shd w:val="clear" w:color="auto" w:fill="606489"/>
          </w:tcPr>
          <w:p>
            <w:pPr>
              <w:jc w:val="center"/>
              <w:spacing w:after="0"/>
              <w:rPr>
                <w:sz w:val="20"/>
                <w:szCs w:val="20"/>
                <w:color w:val="auto"/>
              </w:rPr>
            </w:pPr>
            <w:r>
              <w:rPr>
                <w:rFonts w:ascii="Arial" w:cs="Arial" w:eastAsia="Arial" w:hAnsi="Arial"/>
                <w:sz w:val="16"/>
                <w:szCs w:val="16"/>
                <w:b w:val="1"/>
                <w:bCs w:val="1"/>
                <w:color w:val="FFFFFF"/>
              </w:rPr>
              <w:t>Ghana Business</w:t>
            </w: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Operator high</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jc w:val="center"/>
              <w:spacing w:after="0"/>
              <w:rPr>
                <w:sz w:val="20"/>
                <w:szCs w:val="20"/>
                <w:color w:val="auto"/>
              </w:rPr>
            </w:pPr>
            <w:r>
              <w:rPr>
                <w:rFonts w:ascii="Arial" w:cs="Arial" w:eastAsia="Arial" w:hAnsi="Arial"/>
                <w:sz w:val="16"/>
                <w:szCs w:val="16"/>
                <w:b w:val="1"/>
                <w:bCs w:val="1"/>
                <w:color w:val="auto"/>
              </w:rPr>
              <w:t>Achieved</w:t>
            </w:r>
          </w:p>
        </w:tc>
        <w:tc>
          <w:tcPr>
            <w:tcW w:w="20" w:type="dxa"/>
            <w:vAlign w:val="bottom"/>
            <w:shd w:val="clear" w:color="auto" w:fill="2A3D6C"/>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Operator and decided to optimize the 2022 drilling</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000000"/>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606489"/>
          </w:tcPr>
          <w:p>
            <w:pPr>
              <w:spacing w:after="0"/>
              <w:rPr>
                <w:sz w:val="8"/>
                <w:szCs w:val="8"/>
                <w:color w:val="auto"/>
              </w:rPr>
            </w:pPr>
          </w:p>
        </w:tc>
        <w:tc>
          <w:tcPr>
            <w:tcW w:w="1440" w:type="dxa"/>
            <w:vAlign w:val="bottom"/>
            <w:vMerge w:val="continue"/>
            <w:shd w:val="clear" w:color="auto" w:fill="606489"/>
          </w:tcPr>
          <w:p>
            <w:pPr>
              <w:spacing w:after="0"/>
              <w:rPr>
                <w:sz w:val="8"/>
                <w:szCs w:val="8"/>
                <w:color w:val="auto"/>
              </w:rPr>
            </w:pPr>
          </w:p>
        </w:tc>
        <w:tc>
          <w:tcPr>
            <w:tcW w:w="180" w:type="dxa"/>
            <w:vAlign w:val="bottom"/>
            <w:shd w:val="clear" w:color="auto" w:fill="606489"/>
          </w:tcPr>
          <w:p>
            <w:pPr>
              <w:ind w:left="8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8"/>
                <w:szCs w:val="8"/>
                <w:color w:val="auto"/>
              </w:rPr>
            </w:pPr>
          </w:p>
        </w:tc>
        <w:tc>
          <w:tcPr>
            <w:tcW w:w="1460" w:type="dxa"/>
            <w:vAlign w:val="bottom"/>
            <w:vMerge w:val="restart"/>
          </w:tcPr>
          <w:p>
            <w:pPr>
              <w:ind w:left="60"/>
              <w:spacing w:after="0"/>
              <w:rPr>
                <w:sz w:val="20"/>
                <w:szCs w:val="20"/>
                <w:color w:val="auto"/>
              </w:rPr>
            </w:pPr>
            <w:r>
              <w:rPr>
                <w:rFonts w:ascii="Arial" w:cs="Arial" w:eastAsia="Arial" w:hAnsi="Arial"/>
                <w:sz w:val="16"/>
                <w:szCs w:val="16"/>
                <w:color w:val="auto"/>
              </w:rPr>
              <w:t>graded drilling</w:t>
            </w:r>
          </w:p>
        </w:tc>
        <w:tc>
          <w:tcPr>
            <w:tcW w:w="100" w:type="dxa"/>
            <w:vAlign w:val="bottom"/>
          </w:tcPr>
          <w:p>
            <w:pPr>
              <w:spacing w:after="0"/>
              <w:rPr>
                <w:sz w:val="8"/>
                <w:szCs w:val="8"/>
                <w:color w:val="auto"/>
              </w:rPr>
            </w:pPr>
          </w:p>
        </w:tc>
        <w:tc>
          <w:tcPr>
            <w:tcW w:w="20" w:type="dxa"/>
            <w:vAlign w:val="bottom"/>
            <w:shd w:val="clear" w:color="auto" w:fill="2A3D6C"/>
          </w:tcPr>
          <w:p>
            <w:pPr>
              <w:spacing w:after="0"/>
              <w:rPr>
                <w:sz w:val="8"/>
                <w:szCs w:val="8"/>
                <w:color w:val="auto"/>
              </w:rPr>
            </w:pPr>
          </w:p>
        </w:tc>
        <w:tc>
          <w:tcPr>
            <w:tcW w:w="1240" w:type="dxa"/>
            <w:vAlign w:val="bottom"/>
            <w:shd w:val="clear" w:color="auto" w:fill="FFFF00"/>
          </w:tcPr>
          <w:p>
            <w:pPr>
              <w:spacing w:after="0"/>
              <w:rPr>
                <w:sz w:val="8"/>
                <w:szCs w:val="8"/>
                <w:color w:val="auto"/>
              </w:rPr>
            </w:pPr>
          </w:p>
        </w:tc>
        <w:tc>
          <w:tcPr>
            <w:tcW w:w="20" w:type="dxa"/>
            <w:vAlign w:val="bottom"/>
            <w:shd w:val="clear" w:color="auto" w:fill="2A3D6C"/>
          </w:tcPr>
          <w:p>
            <w:pPr>
              <w:spacing w:after="0"/>
              <w:rPr>
                <w:sz w:val="8"/>
                <w:szCs w:val="8"/>
                <w:color w:val="auto"/>
              </w:rPr>
            </w:pPr>
          </w:p>
        </w:tc>
        <w:tc>
          <w:tcPr>
            <w:tcW w:w="3640" w:type="dxa"/>
            <w:vAlign w:val="bottom"/>
            <w:vMerge w:val="restart"/>
          </w:tcPr>
          <w:p>
            <w:pPr>
              <w:ind w:left="60"/>
              <w:spacing w:after="0"/>
              <w:rPr>
                <w:sz w:val="20"/>
                <w:szCs w:val="20"/>
                <w:color w:val="auto"/>
              </w:rPr>
            </w:pPr>
            <w:r>
              <w:rPr>
                <w:rFonts w:ascii="Arial" w:cs="Arial" w:eastAsia="Arial" w:hAnsi="Arial"/>
                <w:sz w:val="16"/>
                <w:szCs w:val="16"/>
                <w:color w:val="auto"/>
              </w:rPr>
              <w:t>program using a single drilling rig.</w:t>
            </w: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000000"/>
          </w:tcPr>
          <w:p>
            <w:pPr>
              <w:spacing w:after="0"/>
              <w:rPr>
                <w:sz w:val="8"/>
                <w:szCs w:val="8"/>
                <w:color w:val="auto"/>
              </w:rPr>
            </w:pPr>
          </w:p>
        </w:tc>
        <w:tc>
          <w:tcPr>
            <w:tcW w:w="80" w:type="dxa"/>
            <w:vAlign w:val="bottom"/>
            <w:shd w:val="clear" w:color="auto" w:fill="606489"/>
          </w:tcPr>
          <w:p>
            <w:pPr>
              <w:spacing w:after="0"/>
              <w:rPr>
                <w:sz w:val="8"/>
                <w:szCs w:val="8"/>
                <w:color w:val="auto"/>
              </w:rPr>
            </w:pPr>
          </w:p>
        </w:tc>
        <w:tc>
          <w:tcPr>
            <w:tcW w:w="1440" w:type="dxa"/>
            <w:vAlign w:val="bottom"/>
            <w:vMerge w:val="restart"/>
            <w:shd w:val="clear" w:color="auto" w:fill="606489"/>
          </w:tcPr>
          <w:p>
            <w:pPr>
              <w:ind w:left="600"/>
              <w:spacing w:after="0"/>
              <w:rPr>
                <w:sz w:val="20"/>
                <w:szCs w:val="20"/>
                <w:color w:val="auto"/>
              </w:rPr>
            </w:pPr>
            <w:r>
              <w:rPr>
                <w:rFonts w:ascii="Arial" w:cs="Arial" w:eastAsia="Arial" w:hAnsi="Arial"/>
                <w:sz w:val="16"/>
                <w:szCs w:val="16"/>
                <w:b w:val="1"/>
                <w:bCs w:val="1"/>
                <w:color w:val="FFFFFF"/>
              </w:rPr>
              <w:t>Unit</w:t>
            </w:r>
          </w:p>
        </w:tc>
        <w:tc>
          <w:tcPr>
            <w:tcW w:w="180" w:type="dxa"/>
            <w:vAlign w:val="bottom"/>
            <w:shd w:val="clear" w:color="auto" w:fill="606489"/>
          </w:tcPr>
          <w:p>
            <w:pPr>
              <w:spacing w:after="0"/>
              <w:rPr>
                <w:sz w:val="8"/>
                <w:szCs w:val="8"/>
                <w:color w:val="auto"/>
              </w:rPr>
            </w:pPr>
          </w:p>
        </w:tc>
        <w:tc>
          <w:tcPr>
            <w:tcW w:w="20" w:type="dxa"/>
            <w:vAlign w:val="bottom"/>
            <w:shd w:val="clear" w:color="auto" w:fill="2A3D6C"/>
          </w:tcPr>
          <w:p>
            <w:pPr>
              <w:spacing w:after="0"/>
              <w:rPr>
                <w:sz w:val="8"/>
                <w:szCs w:val="8"/>
                <w:color w:val="auto"/>
              </w:rPr>
            </w:pPr>
          </w:p>
        </w:tc>
        <w:tc>
          <w:tcPr>
            <w:tcW w:w="14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shd w:val="clear" w:color="auto" w:fill="2A3D6C"/>
          </w:tcPr>
          <w:p>
            <w:pPr>
              <w:spacing w:after="0"/>
              <w:rPr>
                <w:sz w:val="8"/>
                <w:szCs w:val="8"/>
                <w:color w:val="auto"/>
              </w:rPr>
            </w:pPr>
          </w:p>
        </w:tc>
        <w:tc>
          <w:tcPr>
            <w:tcW w:w="1240" w:type="dxa"/>
            <w:vAlign w:val="bottom"/>
            <w:shd w:val="clear" w:color="auto" w:fill="FFFF00"/>
          </w:tcPr>
          <w:p>
            <w:pPr>
              <w:spacing w:after="0"/>
              <w:rPr>
                <w:sz w:val="8"/>
                <w:szCs w:val="8"/>
                <w:color w:val="auto"/>
              </w:rPr>
            </w:pPr>
          </w:p>
        </w:tc>
        <w:tc>
          <w:tcPr>
            <w:tcW w:w="20" w:type="dxa"/>
            <w:vAlign w:val="bottom"/>
            <w:shd w:val="clear" w:color="auto" w:fill="2A3D6C"/>
          </w:tcPr>
          <w:p>
            <w:pPr>
              <w:spacing w:after="0"/>
              <w:rPr>
                <w:sz w:val="8"/>
                <w:szCs w:val="8"/>
                <w:color w:val="auto"/>
              </w:rPr>
            </w:pPr>
          </w:p>
        </w:tc>
        <w:tc>
          <w:tcPr>
            <w:tcW w:w="364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vMerge w:val="continue"/>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Pr>
          <w:p>
            <w:pPr>
              <w:ind w:left="60"/>
              <w:spacing w:after="0"/>
              <w:rPr>
                <w:sz w:val="20"/>
                <w:szCs w:val="20"/>
                <w:color w:val="auto"/>
              </w:rPr>
            </w:pPr>
            <w:r>
              <w:rPr>
                <w:rFonts w:ascii="Arial" w:cs="Arial" w:eastAsia="Arial" w:hAnsi="Arial"/>
                <w:sz w:val="16"/>
                <w:szCs w:val="16"/>
                <w:color w:val="auto"/>
              </w:rPr>
              <w:t>targets in Jubilee</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240" w:type="dxa"/>
            <w:vAlign w:val="bottom"/>
            <w:shd w:val="clear" w:color="auto" w:fill="FFFF00"/>
          </w:tcPr>
          <w:p>
            <w:pPr>
              <w:ind w:left="114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3640" w:type="dxa"/>
            <w:vAlign w:val="bottom"/>
          </w:tcPr>
          <w:p>
            <w:pPr>
              <w:ind w:left="60"/>
              <w:spacing w:after="0"/>
              <w:rPr>
                <w:sz w:val="20"/>
                <w:szCs w:val="20"/>
                <w:color w:val="auto"/>
              </w:rPr>
            </w:pPr>
            <w:r>
              <w:rPr>
                <w:rFonts w:ascii="Arial" w:cs="Arial" w:eastAsia="Arial" w:hAnsi="Arial"/>
                <w:sz w:val="16"/>
                <w:szCs w:val="16"/>
                <w:color w:val="auto"/>
              </w:rPr>
              <w:t> </w:t>
            </w: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and TEN to</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Aligned with partnership to drill two TEN riser-</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underpin two rig</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based wells with production benefit expected</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606489"/>
            </w:tcBorders>
            <w:shd w:val="clear" w:color="auto" w:fill="606489"/>
          </w:tcPr>
          <w:p>
            <w:pPr>
              <w:spacing w:after="0"/>
              <w:rPr>
                <w:sz w:val="21"/>
                <w:szCs w:val="21"/>
                <w:color w:val="auto"/>
              </w:rPr>
            </w:pPr>
          </w:p>
        </w:tc>
        <w:tc>
          <w:tcPr>
            <w:tcW w:w="1440" w:type="dxa"/>
            <w:vAlign w:val="bottom"/>
            <w:tcBorders>
              <w:bottom w:val="single" w:sz="8" w:color="606489"/>
            </w:tcBorders>
            <w:shd w:val="clear" w:color="auto" w:fill="606489"/>
          </w:tcPr>
          <w:p>
            <w:pPr>
              <w:spacing w:after="0"/>
              <w:rPr>
                <w:sz w:val="21"/>
                <w:szCs w:val="21"/>
                <w:color w:val="auto"/>
              </w:rPr>
            </w:pPr>
          </w:p>
        </w:tc>
        <w:tc>
          <w:tcPr>
            <w:tcW w:w="180" w:type="dxa"/>
            <w:vAlign w:val="bottom"/>
            <w:tcBorders>
              <w:bottom w:val="single" w:sz="8" w:color="606489"/>
            </w:tcBorders>
            <w:shd w:val="clear" w:color="auto" w:fill="606489"/>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program in 2022</w:t>
            </w:r>
          </w:p>
        </w:tc>
        <w:tc>
          <w:tcPr>
            <w:tcW w:w="100" w:type="dxa"/>
            <w:vAlign w:val="bottom"/>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240" w:type="dxa"/>
            <w:vAlign w:val="bottom"/>
            <w:tcBorders>
              <w:bottom w:val="single" w:sz="8" w:color="FFFF00"/>
            </w:tcBorders>
            <w:shd w:val="clear" w:color="auto" w:fill="FFFF00"/>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2023.</w:t>
            </w: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606489"/>
            </w:tcBorders>
            <w:shd w:val="clear" w:color="auto" w:fill="606489"/>
          </w:tcPr>
          <w:p>
            <w:pPr>
              <w:spacing w:after="0"/>
              <w:rPr>
                <w:sz w:val="17"/>
                <w:szCs w:val="17"/>
                <w:color w:val="auto"/>
              </w:rPr>
            </w:pPr>
          </w:p>
        </w:tc>
        <w:tc>
          <w:tcPr>
            <w:tcW w:w="1440" w:type="dxa"/>
            <w:vAlign w:val="bottom"/>
            <w:tcBorders>
              <w:top w:val="single" w:sz="8" w:color="606489"/>
            </w:tcBorders>
            <w:shd w:val="clear" w:color="auto" w:fill="606489"/>
          </w:tcPr>
          <w:p>
            <w:pPr>
              <w:spacing w:after="0"/>
              <w:rPr>
                <w:sz w:val="17"/>
                <w:szCs w:val="17"/>
                <w:color w:val="auto"/>
              </w:rPr>
            </w:pPr>
          </w:p>
        </w:tc>
        <w:tc>
          <w:tcPr>
            <w:tcW w:w="180" w:type="dxa"/>
            <w:vAlign w:val="bottom"/>
            <w:tcBorders>
              <w:top w:val="single" w:sz="8" w:color="606489"/>
            </w:tcBorders>
            <w:shd w:val="clear" w:color="auto" w:fill="606489"/>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46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Complete Ghana</w:t>
            </w:r>
          </w:p>
        </w:tc>
        <w:tc>
          <w:tcPr>
            <w:tcW w:w="100" w:type="dxa"/>
            <w:vAlign w:val="bottom"/>
            <w:tcBorders>
              <w:top w:val="single" w:sz="8" w:color="2A3D6C"/>
            </w:tcBorders>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240" w:type="dxa"/>
            <w:vAlign w:val="bottom"/>
            <w:tcBorders>
              <w:top w:val="single" w:sz="8" w:color="2A3D6C"/>
            </w:tcBorders>
            <w:shd w:val="clear" w:color="auto" w:fill="00FF00"/>
          </w:tcPr>
          <w:p>
            <w:pPr>
              <w:jc w:val="center"/>
              <w:spacing w:after="0"/>
              <w:rPr>
                <w:sz w:val="20"/>
                <w:szCs w:val="20"/>
                <w:color w:val="auto"/>
              </w:rPr>
            </w:pPr>
            <w:r>
              <w:rPr>
                <w:rFonts w:ascii="Arial" w:cs="Arial" w:eastAsia="Arial" w:hAnsi="Arial"/>
                <w:sz w:val="16"/>
                <w:szCs w:val="16"/>
                <w:b w:val="1"/>
                <w:bCs w:val="1"/>
                <w:color w:val="auto"/>
              </w:rPr>
              <w:t>Achieved</w:t>
            </w:r>
          </w:p>
        </w:tc>
        <w:tc>
          <w:tcPr>
            <w:tcW w:w="20" w:type="dxa"/>
            <w:vAlign w:val="bottom"/>
            <w:tcBorders>
              <w:top w:val="single" w:sz="8" w:color="2A3D6C"/>
            </w:tcBorders>
            <w:shd w:val="clear" w:color="auto" w:fill="2A3D6C"/>
          </w:tcPr>
          <w:p>
            <w:pPr>
              <w:spacing w:after="0"/>
              <w:rPr>
                <w:sz w:val="17"/>
                <w:szCs w:val="17"/>
                <w:color w:val="auto"/>
              </w:rPr>
            </w:pPr>
          </w:p>
        </w:tc>
        <w:tc>
          <w:tcPr>
            <w:tcW w:w="364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Completed ILX review in Ghana with future</w:t>
            </w:r>
          </w:p>
        </w:tc>
        <w:tc>
          <w:tcPr>
            <w:tcW w:w="140" w:type="dxa"/>
            <w:vAlign w:val="bottom"/>
            <w:tcBorders>
              <w:top w:val="single" w:sz="8" w:color="2A3D6C"/>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infrastructure-led</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opportunities identified.</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exploration (ILX)</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review that</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Pr>
          <w:p>
            <w:pPr>
              <w:ind w:left="60"/>
              <w:spacing w:after="0"/>
              <w:rPr>
                <w:sz w:val="20"/>
                <w:szCs w:val="20"/>
                <w:color w:val="auto"/>
              </w:rPr>
            </w:pPr>
            <w:r>
              <w:rPr>
                <w:rFonts w:ascii="Arial" w:cs="Arial" w:eastAsia="Arial" w:hAnsi="Arial"/>
                <w:sz w:val="16"/>
                <w:szCs w:val="16"/>
                <w:color w:val="auto"/>
              </w:rPr>
              <w:t>identifies high-</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240" w:type="dxa"/>
            <w:vAlign w:val="bottom"/>
            <w:shd w:val="clear" w:color="auto" w:fill="00FF00"/>
          </w:tcPr>
          <w:p>
            <w:pPr>
              <w:ind w:left="114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3640" w:type="dxa"/>
            <w:vAlign w:val="bottom"/>
          </w:tcPr>
          <w:p>
            <w:pPr>
              <w:spacing w:after="0"/>
              <w:rPr>
                <w:sz w:val="16"/>
                <w:szCs w:val="16"/>
                <w:color w:val="auto"/>
              </w:rPr>
            </w:pP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graded</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opportunities that</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shd w:val="clear" w:color="auto" w:fill="606489"/>
          </w:tcPr>
          <w:p>
            <w:pPr>
              <w:spacing w:after="0"/>
              <w:rPr>
                <w:sz w:val="16"/>
                <w:szCs w:val="16"/>
                <w:color w:val="auto"/>
              </w:rPr>
            </w:pPr>
          </w:p>
        </w:tc>
        <w:tc>
          <w:tcPr>
            <w:tcW w:w="18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compete for future</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606489"/>
            </w:tcBorders>
            <w:shd w:val="clear" w:color="auto" w:fill="606489"/>
          </w:tcPr>
          <w:p>
            <w:pPr>
              <w:spacing w:after="0"/>
              <w:rPr>
                <w:sz w:val="21"/>
                <w:szCs w:val="21"/>
                <w:color w:val="auto"/>
              </w:rPr>
            </w:pPr>
          </w:p>
        </w:tc>
        <w:tc>
          <w:tcPr>
            <w:tcW w:w="1440" w:type="dxa"/>
            <w:vAlign w:val="bottom"/>
            <w:tcBorders>
              <w:bottom w:val="single" w:sz="8" w:color="606489"/>
            </w:tcBorders>
            <w:shd w:val="clear" w:color="auto" w:fill="606489"/>
          </w:tcPr>
          <w:p>
            <w:pPr>
              <w:spacing w:after="0"/>
              <w:rPr>
                <w:sz w:val="21"/>
                <w:szCs w:val="21"/>
                <w:color w:val="auto"/>
              </w:rPr>
            </w:pPr>
          </w:p>
        </w:tc>
        <w:tc>
          <w:tcPr>
            <w:tcW w:w="180" w:type="dxa"/>
            <w:vAlign w:val="bottom"/>
            <w:tcBorders>
              <w:bottom w:val="single" w:sz="8" w:color="606489"/>
            </w:tcBorders>
            <w:shd w:val="clear" w:color="auto" w:fill="606489"/>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capital</w:t>
            </w:r>
          </w:p>
        </w:tc>
        <w:tc>
          <w:tcPr>
            <w:tcW w:w="100" w:type="dxa"/>
            <w:vAlign w:val="bottom"/>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240" w:type="dxa"/>
            <w:vAlign w:val="bottom"/>
            <w:tcBorders>
              <w:bottom w:val="single" w:sz="8" w:color="00FF00"/>
            </w:tcBorders>
            <w:shd w:val="clear" w:color="auto" w:fill="00FF00"/>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36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2A3D6C"/>
            </w:tcBorders>
            <w:shd w:val="clear" w:color="auto" w:fill="606489"/>
          </w:tcPr>
          <w:p>
            <w:pPr>
              <w:spacing w:after="0"/>
              <w:rPr>
                <w:sz w:val="17"/>
                <w:szCs w:val="17"/>
                <w:color w:val="auto"/>
              </w:rPr>
            </w:pPr>
          </w:p>
        </w:tc>
        <w:tc>
          <w:tcPr>
            <w:tcW w:w="1440" w:type="dxa"/>
            <w:vAlign w:val="bottom"/>
            <w:tcBorders>
              <w:top w:val="single" w:sz="8" w:color="2A3D6C"/>
            </w:tcBorders>
          </w:tcPr>
          <w:p>
            <w:pPr>
              <w:spacing w:after="0"/>
              <w:rPr>
                <w:sz w:val="17"/>
                <w:szCs w:val="17"/>
                <w:color w:val="auto"/>
              </w:rPr>
            </w:pPr>
          </w:p>
        </w:tc>
        <w:tc>
          <w:tcPr>
            <w:tcW w:w="180" w:type="dxa"/>
            <w:vAlign w:val="bottom"/>
            <w:tcBorders>
              <w:top w:val="single" w:sz="8" w:color="2A3D6C"/>
            </w:tcBorders>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46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Operated activity:</w:t>
            </w:r>
          </w:p>
        </w:tc>
        <w:tc>
          <w:tcPr>
            <w:tcW w:w="100" w:type="dxa"/>
            <w:vAlign w:val="bottom"/>
            <w:tcBorders>
              <w:top w:val="single" w:sz="8" w:color="2A3D6C"/>
            </w:tcBorders>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240" w:type="dxa"/>
            <w:vAlign w:val="bottom"/>
            <w:tcBorders>
              <w:top w:val="single" w:sz="8" w:color="2A3D6C"/>
            </w:tcBorders>
            <w:shd w:val="clear" w:color="auto" w:fill="FF0000"/>
          </w:tcPr>
          <w:p>
            <w:pPr>
              <w:jc w:val="center"/>
              <w:spacing w:after="0"/>
              <w:rPr>
                <w:sz w:val="20"/>
                <w:szCs w:val="20"/>
                <w:color w:val="auto"/>
              </w:rPr>
            </w:pPr>
            <w:r>
              <w:rPr>
                <w:rFonts w:ascii="Arial" w:cs="Arial" w:eastAsia="Arial" w:hAnsi="Arial"/>
                <w:sz w:val="16"/>
                <w:szCs w:val="16"/>
                <w:b w:val="1"/>
                <w:bCs w:val="1"/>
                <w:color w:val="auto"/>
              </w:rPr>
              <w:t>Not Achieved</w:t>
            </w:r>
          </w:p>
        </w:tc>
        <w:tc>
          <w:tcPr>
            <w:tcW w:w="20" w:type="dxa"/>
            <w:vAlign w:val="bottom"/>
            <w:tcBorders>
              <w:top w:val="single" w:sz="8" w:color="2A3D6C"/>
            </w:tcBorders>
            <w:shd w:val="clear" w:color="auto" w:fill="2A3D6C"/>
          </w:tcPr>
          <w:p>
            <w:pPr>
              <w:spacing w:after="0"/>
              <w:rPr>
                <w:sz w:val="17"/>
                <w:szCs w:val="17"/>
                <w:color w:val="auto"/>
              </w:rPr>
            </w:pPr>
          </w:p>
        </w:tc>
        <w:tc>
          <w:tcPr>
            <w:tcW w:w="364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Experienced issues with the completion process</w:t>
            </w:r>
          </w:p>
        </w:tc>
        <w:tc>
          <w:tcPr>
            <w:tcW w:w="140" w:type="dxa"/>
            <w:vAlign w:val="bottom"/>
            <w:tcBorders>
              <w:top w:val="single" w:sz="8" w:color="2A3D6C"/>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Ensure safe and</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00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at the Kodiak-3 well.</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000000"/>
          </w:tcPr>
          <w:p>
            <w:pPr>
              <w:spacing w:after="0"/>
              <w:rPr>
                <w:sz w:val="17"/>
                <w:szCs w:val="17"/>
                <w:color w:val="auto"/>
              </w:rPr>
            </w:pPr>
          </w:p>
        </w:tc>
        <w:tc>
          <w:tcPr>
            <w:tcW w:w="80" w:type="dxa"/>
            <w:vAlign w:val="bottom"/>
            <w:shd w:val="clear" w:color="auto" w:fill="606489"/>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Pr>
          <w:p>
            <w:pPr>
              <w:ind w:left="60"/>
              <w:spacing w:after="0"/>
              <w:rPr>
                <w:sz w:val="20"/>
                <w:szCs w:val="20"/>
                <w:color w:val="auto"/>
              </w:rPr>
            </w:pPr>
            <w:r>
              <w:rPr>
                <w:rFonts w:ascii="Arial" w:cs="Arial" w:eastAsia="Arial" w:hAnsi="Arial"/>
                <w:sz w:val="16"/>
                <w:szCs w:val="16"/>
                <w:color w:val="auto"/>
              </w:rPr>
              <w:t>efficient</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240" w:type="dxa"/>
            <w:vAlign w:val="bottom"/>
            <w:shd w:val="clear" w:color="auto" w:fill="FF0000"/>
          </w:tcPr>
          <w:p>
            <w:pPr>
              <w:ind w:left="114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3640" w:type="dxa"/>
            <w:vAlign w:val="bottom"/>
          </w:tcPr>
          <w:p>
            <w:pPr>
              <w:spacing w:after="0"/>
              <w:rPr>
                <w:sz w:val="17"/>
                <w:szCs w:val="17"/>
                <w:color w:val="auto"/>
              </w:rPr>
            </w:pP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73"/>
        </w:trPr>
        <w:tc>
          <w:tcPr>
            <w:tcW w:w="20" w:type="dxa"/>
            <w:vAlign w:val="bottom"/>
            <w:shd w:val="clear" w:color="auto" w:fill="000000"/>
          </w:tcPr>
          <w:p>
            <w:pPr>
              <w:spacing w:after="0"/>
              <w:rPr>
                <w:sz w:val="15"/>
                <w:szCs w:val="15"/>
                <w:color w:val="auto"/>
              </w:rPr>
            </w:pPr>
          </w:p>
        </w:tc>
        <w:tc>
          <w:tcPr>
            <w:tcW w:w="80" w:type="dxa"/>
            <w:vAlign w:val="bottom"/>
            <w:shd w:val="clear" w:color="auto" w:fill="606489"/>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shd w:val="clear" w:color="auto" w:fill="2A3D6C"/>
          </w:tcPr>
          <w:p>
            <w:pPr>
              <w:spacing w:after="0"/>
              <w:rPr>
                <w:sz w:val="15"/>
                <w:szCs w:val="15"/>
                <w:color w:val="auto"/>
              </w:rPr>
            </w:pPr>
          </w:p>
        </w:tc>
        <w:tc>
          <w:tcPr>
            <w:tcW w:w="1460" w:type="dxa"/>
            <w:vAlign w:val="bottom"/>
          </w:tcPr>
          <w:p>
            <w:pPr>
              <w:ind w:left="60"/>
              <w:spacing w:after="0" w:line="174" w:lineRule="exact"/>
              <w:rPr>
                <w:sz w:val="20"/>
                <w:szCs w:val="20"/>
                <w:color w:val="auto"/>
              </w:rPr>
            </w:pPr>
            <w:r>
              <w:rPr>
                <w:rFonts w:ascii="Arial" w:cs="Arial" w:eastAsia="Arial" w:hAnsi="Arial"/>
                <w:sz w:val="16"/>
                <w:szCs w:val="16"/>
                <w:color w:val="auto"/>
              </w:rPr>
              <w:t>drilling/completion</w:t>
            </w:r>
          </w:p>
        </w:tc>
        <w:tc>
          <w:tcPr>
            <w:tcW w:w="100" w:type="dxa"/>
            <w:vAlign w:val="bottom"/>
          </w:tcPr>
          <w:p>
            <w:pPr>
              <w:spacing w:after="0"/>
              <w:rPr>
                <w:sz w:val="15"/>
                <w:szCs w:val="15"/>
                <w:color w:val="auto"/>
              </w:rPr>
            </w:pPr>
          </w:p>
        </w:tc>
        <w:tc>
          <w:tcPr>
            <w:tcW w:w="20" w:type="dxa"/>
            <w:vAlign w:val="bottom"/>
            <w:shd w:val="clear" w:color="auto" w:fill="2A3D6C"/>
          </w:tcPr>
          <w:p>
            <w:pPr>
              <w:spacing w:after="0"/>
              <w:rPr>
                <w:sz w:val="15"/>
                <w:szCs w:val="15"/>
                <w:color w:val="auto"/>
              </w:rPr>
            </w:pPr>
          </w:p>
        </w:tc>
        <w:tc>
          <w:tcPr>
            <w:tcW w:w="1240" w:type="dxa"/>
            <w:vAlign w:val="bottom"/>
            <w:shd w:val="clear" w:color="auto" w:fill="FF0000"/>
          </w:tcPr>
          <w:p>
            <w:pPr>
              <w:spacing w:after="0"/>
              <w:rPr>
                <w:sz w:val="15"/>
                <w:szCs w:val="15"/>
                <w:color w:val="auto"/>
              </w:rPr>
            </w:pPr>
          </w:p>
        </w:tc>
        <w:tc>
          <w:tcPr>
            <w:tcW w:w="20" w:type="dxa"/>
            <w:vAlign w:val="bottom"/>
            <w:shd w:val="clear" w:color="auto" w:fill="2A3D6C"/>
          </w:tcPr>
          <w:p>
            <w:pPr>
              <w:spacing w:after="0"/>
              <w:rPr>
                <w:sz w:val="15"/>
                <w:szCs w:val="15"/>
                <w:color w:val="auto"/>
              </w:rPr>
            </w:pPr>
          </w:p>
        </w:tc>
        <w:tc>
          <w:tcPr>
            <w:tcW w:w="36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 Zora ILX well and</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00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606489"/>
            </w:tcBorders>
            <w:shd w:val="clear" w:color="auto" w:fill="606489"/>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Kodiak-3 well</w:t>
            </w:r>
          </w:p>
        </w:tc>
        <w:tc>
          <w:tcPr>
            <w:tcW w:w="100" w:type="dxa"/>
            <w:vAlign w:val="bottom"/>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240" w:type="dxa"/>
            <w:vAlign w:val="bottom"/>
            <w:tcBorders>
              <w:bottom w:val="single" w:sz="8" w:color="FF0000"/>
            </w:tcBorders>
            <w:shd w:val="clear" w:color="auto" w:fill="FF0000"/>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36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606489"/>
            </w:tcBorders>
            <w:shd w:val="clear" w:color="auto" w:fill="606489"/>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46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Non-Operated</w:t>
            </w:r>
          </w:p>
        </w:tc>
        <w:tc>
          <w:tcPr>
            <w:tcW w:w="100" w:type="dxa"/>
            <w:vAlign w:val="bottom"/>
            <w:tcBorders>
              <w:top w:val="single" w:sz="8" w:color="2A3D6C"/>
            </w:tcBorders>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240" w:type="dxa"/>
            <w:vAlign w:val="bottom"/>
            <w:tcBorders>
              <w:top w:val="single" w:sz="8" w:color="2A3D6C"/>
            </w:tcBorders>
            <w:shd w:val="clear" w:color="auto" w:fill="00FF00"/>
          </w:tcPr>
          <w:p>
            <w:pPr>
              <w:jc w:val="center"/>
              <w:spacing w:after="0"/>
              <w:rPr>
                <w:sz w:val="20"/>
                <w:szCs w:val="20"/>
                <w:color w:val="auto"/>
              </w:rPr>
            </w:pPr>
            <w:r>
              <w:rPr>
                <w:rFonts w:ascii="Arial" w:cs="Arial" w:eastAsia="Arial" w:hAnsi="Arial"/>
                <w:sz w:val="16"/>
                <w:szCs w:val="16"/>
                <w:b w:val="1"/>
                <w:bCs w:val="1"/>
                <w:color w:val="auto"/>
              </w:rPr>
              <w:t>Achieved</w:t>
            </w:r>
          </w:p>
        </w:tc>
        <w:tc>
          <w:tcPr>
            <w:tcW w:w="20" w:type="dxa"/>
            <w:vAlign w:val="bottom"/>
            <w:tcBorders>
              <w:top w:val="single" w:sz="8" w:color="2A3D6C"/>
            </w:tcBorders>
            <w:shd w:val="clear" w:color="auto" w:fill="2A3D6C"/>
          </w:tcPr>
          <w:p>
            <w:pPr>
              <w:spacing w:after="0"/>
              <w:rPr>
                <w:sz w:val="17"/>
                <w:szCs w:val="17"/>
                <w:color w:val="auto"/>
              </w:rPr>
            </w:pPr>
          </w:p>
        </w:tc>
        <w:tc>
          <w:tcPr>
            <w:tcW w:w="364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Tornado-5 well (renamed Tornado-3ST2 well)</w:t>
            </w:r>
          </w:p>
        </w:tc>
        <w:tc>
          <w:tcPr>
            <w:tcW w:w="140" w:type="dxa"/>
            <w:vAlign w:val="bottom"/>
            <w:tcBorders>
              <w:top w:val="single" w:sz="8" w:color="2A3D6C"/>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activity: Rigorous</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successfully completed and brought on</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FFFFFF"/>
                <w:w w:val="99"/>
              </w:rPr>
              <w:t>Gulf of Mexico</w:t>
            </w:r>
          </w:p>
        </w:tc>
        <w:tc>
          <w:tcPr>
            <w:tcW w:w="18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assurance of</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production.</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000000"/>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606489"/>
          </w:tcPr>
          <w:p>
            <w:pPr>
              <w:spacing w:after="0"/>
              <w:rPr>
                <w:sz w:val="14"/>
                <w:szCs w:val="14"/>
                <w:color w:val="auto"/>
              </w:rPr>
            </w:pPr>
          </w:p>
        </w:tc>
        <w:tc>
          <w:tcPr>
            <w:tcW w:w="1440" w:type="dxa"/>
            <w:vAlign w:val="bottom"/>
            <w:vMerge w:val="continue"/>
          </w:tcPr>
          <w:p>
            <w:pPr>
              <w:spacing w:after="0"/>
              <w:rPr>
                <w:sz w:val="14"/>
                <w:szCs w:val="1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1560" w:type="dxa"/>
            <w:vAlign w:val="bottom"/>
            <w:gridSpan w:val="2"/>
          </w:tcPr>
          <w:p>
            <w:pPr>
              <w:ind w:left="60"/>
              <w:spacing w:after="0" w:line="161" w:lineRule="exact"/>
              <w:rPr>
                <w:sz w:val="20"/>
                <w:szCs w:val="20"/>
                <w:color w:val="auto"/>
              </w:rPr>
            </w:pPr>
            <w:r>
              <w:rPr>
                <w:rFonts w:ascii="Arial" w:cs="Arial" w:eastAsia="Arial" w:hAnsi="Arial"/>
                <w:sz w:val="16"/>
                <w:szCs w:val="16"/>
                <w:color w:val="auto"/>
              </w:rPr>
              <w:t xml:space="preserve">Operator’s basis of </w:t>
            </w:r>
            <w:r>
              <w:rPr>
                <w:rFonts w:ascii="Times New Roman" w:cs="Times New Roman" w:eastAsia="Times New Roman" w:hAnsi="Times New Roman"/>
                <w:sz w:val="3"/>
                <w:szCs w:val="3"/>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240" w:type="dxa"/>
            <w:vAlign w:val="bottom"/>
            <w:shd w:val="clear" w:color="auto" w:fill="00FF00"/>
          </w:tcPr>
          <w:p>
            <w:pPr>
              <w:ind w:left="114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3640" w:type="dxa"/>
            <w:vAlign w:val="bottom"/>
          </w:tcPr>
          <w:p>
            <w:pPr>
              <w:spacing w:after="0"/>
              <w:rPr>
                <w:sz w:val="14"/>
                <w:szCs w:val="14"/>
                <w:color w:val="auto"/>
              </w:rPr>
            </w:pP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FFFFFF"/>
              </w:rPr>
              <w:t>Business Unit</w:t>
            </w:r>
          </w:p>
        </w:tc>
        <w:tc>
          <w:tcPr>
            <w:tcW w:w="18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vMerge w:val="restart"/>
          </w:tcPr>
          <w:p>
            <w:pPr>
              <w:ind w:left="60"/>
              <w:spacing w:after="0"/>
              <w:rPr>
                <w:sz w:val="20"/>
                <w:szCs w:val="20"/>
                <w:color w:val="auto"/>
              </w:rPr>
            </w:pPr>
            <w:r>
              <w:rPr>
                <w:rFonts w:ascii="Arial" w:cs="Arial" w:eastAsia="Arial" w:hAnsi="Arial"/>
                <w:sz w:val="16"/>
                <w:szCs w:val="16"/>
                <w:color w:val="auto"/>
              </w:rPr>
              <w:t>design and</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shd w:val="clear" w:color="auto" w:fill="000000"/>
          </w:tcPr>
          <w:p>
            <w:pPr>
              <w:spacing w:after="0"/>
              <w:rPr>
                <w:sz w:val="2"/>
                <w:szCs w:val="2"/>
                <w:color w:val="auto"/>
              </w:rPr>
            </w:pPr>
          </w:p>
        </w:tc>
        <w:tc>
          <w:tcPr>
            <w:tcW w:w="80" w:type="dxa"/>
            <w:vAlign w:val="bottom"/>
            <w:shd w:val="clear" w:color="auto" w:fill="606489"/>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shd w:val="clear" w:color="auto" w:fill="2A3D6C"/>
          </w:tcPr>
          <w:p>
            <w:pPr>
              <w:spacing w:after="0"/>
              <w:rPr>
                <w:sz w:val="2"/>
                <w:szCs w:val="2"/>
                <w:color w:val="auto"/>
              </w:rPr>
            </w:pPr>
          </w:p>
        </w:tc>
        <w:tc>
          <w:tcPr>
            <w:tcW w:w="14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shd w:val="clear" w:color="auto" w:fill="2A3D6C"/>
          </w:tcPr>
          <w:p>
            <w:pPr>
              <w:spacing w:after="0"/>
              <w:rPr>
                <w:sz w:val="2"/>
                <w:szCs w:val="2"/>
                <w:color w:val="auto"/>
              </w:rPr>
            </w:pPr>
          </w:p>
        </w:tc>
        <w:tc>
          <w:tcPr>
            <w:tcW w:w="1240" w:type="dxa"/>
            <w:vAlign w:val="bottom"/>
            <w:shd w:val="clear" w:color="auto" w:fill="00FF00"/>
          </w:tcPr>
          <w:p>
            <w:pPr>
              <w:spacing w:after="0"/>
              <w:rPr>
                <w:sz w:val="2"/>
                <w:szCs w:val="2"/>
                <w:color w:val="auto"/>
              </w:rPr>
            </w:pPr>
          </w:p>
        </w:tc>
        <w:tc>
          <w:tcPr>
            <w:tcW w:w="20" w:type="dxa"/>
            <w:vAlign w:val="bottom"/>
            <w:shd w:val="clear" w:color="auto" w:fill="2A3D6C"/>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execution of</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606489"/>
            </w:tcBorders>
            <w:shd w:val="clear" w:color="auto" w:fill="606489"/>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Tornado-5 well</w:t>
            </w:r>
          </w:p>
        </w:tc>
        <w:tc>
          <w:tcPr>
            <w:tcW w:w="100" w:type="dxa"/>
            <w:vAlign w:val="bottom"/>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240" w:type="dxa"/>
            <w:vAlign w:val="bottom"/>
            <w:tcBorders>
              <w:bottom w:val="single" w:sz="8" w:color="00FF00"/>
            </w:tcBorders>
            <w:shd w:val="clear" w:color="auto" w:fill="00FF00"/>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36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606489"/>
            </w:tcBorders>
            <w:shd w:val="clear" w:color="auto" w:fill="606489"/>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46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Deliver one</w:t>
            </w:r>
          </w:p>
        </w:tc>
        <w:tc>
          <w:tcPr>
            <w:tcW w:w="100" w:type="dxa"/>
            <w:vAlign w:val="bottom"/>
            <w:tcBorders>
              <w:top w:val="single" w:sz="8" w:color="2A3D6C"/>
            </w:tcBorders>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240" w:type="dxa"/>
            <w:vAlign w:val="bottom"/>
            <w:tcBorders>
              <w:top w:val="single" w:sz="8" w:color="2A3D6C"/>
            </w:tcBorders>
            <w:shd w:val="clear" w:color="auto" w:fill="00FF00"/>
          </w:tcPr>
          <w:p>
            <w:pPr>
              <w:jc w:val="center"/>
              <w:spacing w:after="0"/>
              <w:rPr>
                <w:sz w:val="20"/>
                <w:szCs w:val="20"/>
                <w:color w:val="auto"/>
              </w:rPr>
            </w:pPr>
            <w:r>
              <w:rPr>
                <w:rFonts w:ascii="Arial" w:cs="Arial" w:eastAsia="Arial" w:hAnsi="Arial"/>
                <w:sz w:val="16"/>
                <w:szCs w:val="16"/>
                <w:b w:val="1"/>
                <w:bCs w:val="1"/>
                <w:color w:val="auto"/>
              </w:rPr>
              <w:t>Achieved</w:t>
            </w:r>
          </w:p>
        </w:tc>
        <w:tc>
          <w:tcPr>
            <w:tcW w:w="20" w:type="dxa"/>
            <w:vAlign w:val="bottom"/>
            <w:tcBorders>
              <w:top w:val="single" w:sz="8" w:color="2A3D6C"/>
            </w:tcBorders>
            <w:shd w:val="clear" w:color="auto" w:fill="2A3D6C"/>
          </w:tcPr>
          <w:p>
            <w:pPr>
              <w:spacing w:after="0"/>
              <w:rPr>
                <w:sz w:val="17"/>
                <w:szCs w:val="17"/>
                <w:color w:val="auto"/>
              </w:rPr>
            </w:pPr>
          </w:p>
        </w:tc>
        <w:tc>
          <w:tcPr>
            <w:tcW w:w="364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A commercial discovery was made at Winterfell,</w:t>
            </w:r>
          </w:p>
        </w:tc>
        <w:tc>
          <w:tcPr>
            <w:tcW w:w="140" w:type="dxa"/>
            <w:vAlign w:val="bottom"/>
            <w:tcBorders>
              <w:top w:val="single" w:sz="8" w:color="2A3D6C"/>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commercial</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resulting in a net reserves addition of &gt;10 MMboe</w:t>
            </w: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000000"/>
          </w:tcPr>
          <w:p>
            <w:pPr>
              <w:spacing w:after="0"/>
              <w:rPr>
                <w:sz w:val="17"/>
                <w:szCs w:val="17"/>
                <w:color w:val="auto"/>
              </w:rPr>
            </w:pPr>
          </w:p>
        </w:tc>
        <w:tc>
          <w:tcPr>
            <w:tcW w:w="80" w:type="dxa"/>
            <w:vAlign w:val="bottom"/>
            <w:shd w:val="clear" w:color="auto" w:fill="606489"/>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Pr>
          <w:p>
            <w:pPr>
              <w:ind w:left="60"/>
              <w:spacing w:after="0"/>
              <w:rPr>
                <w:sz w:val="20"/>
                <w:szCs w:val="20"/>
                <w:color w:val="auto"/>
              </w:rPr>
            </w:pPr>
            <w:r>
              <w:rPr>
                <w:rFonts w:ascii="Arial" w:cs="Arial" w:eastAsia="Arial" w:hAnsi="Arial"/>
                <w:sz w:val="16"/>
                <w:szCs w:val="16"/>
                <w:color w:val="auto"/>
              </w:rPr>
              <w:t>discovery from</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240" w:type="dxa"/>
            <w:vAlign w:val="bottom"/>
            <w:shd w:val="clear" w:color="auto" w:fill="00FF00"/>
          </w:tcPr>
          <w:p>
            <w:pPr>
              <w:ind w:left="114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4"/>
                <w:szCs w:val="4"/>
                <w:color w:val="auto"/>
              </w:rPr>
              <w:t>​</w:t>
            </w:r>
          </w:p>
        </w:tc>
        <w:tc>
          <w:tcPr>
            <w:tcW w:w="3640" w:type="dxa"/>
            <w:vAlign w:val="bottom"/>
          </w:tcPr>
          <w:p>
            <w:pPr>
              <w:ind w:left="60"/>
              <w:spacing w:after="0"/>
              <w:rPr>
                <w:sz w:val="20"/>
                <w:szCs w:val="20"/>
                <w:color w:val="auto"/>
              </w:rPr>
            </w:pPr>
            <w:r>
              <w:rPr>
                <w:rFonts w:ascii="Arial" w:cs="Arial" w:eastAsia="Arial" w:hAnsi="Arial"/>
                <w:sz w:val="16"/>
                <w:szCs w:val="16"/>
                <w:color w:val="auto"/>
              </w:rPr>
              <w:t>(NRI).</w:t>
            </w: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73"/>
        </w:trPr>
        <w:tc>
          <w:tcPr>
            <w:tcW w:w="20" w:type="dxa"/>
            <w:vAlign w:val="bottom"/>
            <w:shd w:val="clear" w:color="auto" w:fill="000000"/>
          </w:tcPr>
          <w:p>
            <w:pPr>
              <w:spacing w:after="0"/>
              <w:rPr>
                <w:sz w:val="15"/>
                <w:szCs w:val="15"/>
                <w:color w:val="auto"/>
              </w:rPr>
            </w:pPr>
          </w:p>
        </w:tc>
        <w:tc>
          <w:tcPr>
            <w:tcW w:w="80" w:type="dxa"/>
            <w:vAlign w:val="bottom"/>
            <w:shd w:val="clear" w:color="auto" w:fill="606489"/>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shd w:val="clear" w:color="auto" w:fill="2A3D6C"/>
          </w:tcPr>
          <w:p>
            <w:pPr>
              <w:spacing w:after="0"/>
              <w:rPr>
                <w:sz w:val="15"/>
                <w:szCs w:val="15"/>
                <w:color w:val="auto"/>
              </w:rPr>
            </w:pPr>
          </w:p>
        </w:tc>
        <w:tc>
          <w:tcPr>
            <w:tcW w:w="1460" w:type="dxa"/>
            <w:vAlign w:val="bottom"/>
          </w:tcPr>
          <w:p>
            <w:pPr>
              <w:ind w:left="60"/>
              <w:spacing w:after="0" w:line="174" w:lineRule="exact"/>
              <w:rPr>
                <w:sz w:val="20"/>
                <w:szCs w:val="20"/>
                <w:color w:val="auto"/>
              </w:rPr>
            </w:pPr>
            <w:r>
              <w:rPr>
                <w:rFonts w:ascii="Arial" w:cs="Arial" w:eastAsia="Arial" w:hAnsi="Arial"/>
                <w:sz w:val="16"/>
                <w:szCs w:val="16"/>
                <w:color w:val="auto"/>
              </w:rPr>
              <w:t>Winterfell/Zora with</w:t>
            </w:r>
          </w:p>
        </w:tc>
        <w:tc>
          <w:tcPr>
            <w:tcW w:w="100" w:type="dxa"/>
            <w:vAlign w:val="bottom"/>
          </w:tcPr>
          <w:p>
            <w:pPr>
              <w:spacing w:after="0"/>
              <w:rPr>
                <w:sz w:val="15"/>
                <w:szCs w:val="15"/>
                <w:color w:val="auto"/>
              </w:rPr>
            </w:pPr>
          </w:p>
        </w:tc>
        <w:tc>
          <w:tcPr>
            <w:tcW w:w="20" w:type="dxa"/>
            <w:vAlign w:val="bottom"/>
            <w:shd w:val="clear" w:color="auto" w:fill="2A3D6C"/>
          </w:tcPr>
          <w:p>
            <w:pPr>
              <w:spacing w:after="0"/>
              <w:rPr>
                <w:sz w:val="15"/>
                <w:szCs w:val="15"/>
                <w:color w:val="auto"/>
              </w:rPr>
            </w:pPr>
          </w:p>
        </w:tc>
        <w:tc>
          <w:tcPr>
            <w:tcW w:w="1240" w:type="dxa"/>
            <w:vAlign w:val="bottom"/>
            <w:shd w:val="clear" w:color="auto" w:fill="00FF00"/>
          </w:tcPr>
          <w:p>
            <w:pPr>
              <w:spacing w:after="0"/>
              <w:rPr>
                <w:sz w:val="15"/>
                <w:szCs w:val="15"/>
                <w:color w:val="auto"/>
              </w:rPr>
            </w:pPr>
          </w:p>
        </w:tc>
        <w:tc>
          <w:tcPr>
            <w:tcW w:w="20" w:type="dxa"/>
            <w:vAlign w:val="bottom"/>
            <w:shd w:val="clear" w:color="auto" w:fill="2A3D6C"/>
          </w:tcPr>
          <w:p>
            <w:pPr>
              <w:spacing w:after="0"/>
              <w:rPr>
                <w:sz w:val="15"/>
                <w:szCs w:val="15"/>
                <w:color w:val="auto"/>
              </w:rPr>
            </w:pPr>
          </w:p>
        </w:tc>
        <w:tc>
          <w:tcPr>
            <w:tcW w:w="36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net reserves of &gt;10</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Borders>
              <w:bottom w:val="single" w:sz="8" w:color="606489"/>
            </w:tcBorders>
            <w:shd w:val="clear" w:color="auto" w:fill="606489"/>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2A3D6C"/>
            </w:tcBorders>
            <w:shd w:val="clear" w:color="auto" w:fill="2A3D6C"/>
          </w:tcPr>
          <w:p>
            <w:pPr>
              <w:spacing w:after="0"/>
              <w:rPr>
                <w:sz w:val="20"/>
                <w:szCs w:val="20"/>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MMboe (NRI)</w:t>
            </w:r>
          </w:p>
        </w:tc>
        <w:tc>
          <w:tcPr>
            <w:tcW w:w="100" w:type="dxa"/>
            <w:vAlign w:val="bottom"/>
          </w:tcPr>
          <w:p>
            <w:pPr>
              <w:spacing w:after="0"/>
              <w:rPr>
                <w:sz w:val="20"/>
                <w:szCs w:val="20"/>
                <w:color w:val="auto"/>
              </w:rPr>
            </w:pPr>
          </w:p>
        </w:tc>
        <w:tc>
          <w:tcPr>
            <w:tcW w:w="20" w:type="dxa"/>
            <w:vAlign w:val="bottom"/>
            <w:tcBorders>
              <w:bottom w:val="single" w:sz="8" w:color="2A3D6C"/>
            </w:tcBorders>
            <w:shd w:val="clear" w:color="auto" w:fill="2A3D6C"/>
          </w:tcPr>
          <w:p>
            <w:pPr>
              <w:spacing w:after="0"/>
              <w:rPr>
                <w:sz w:val="20"/>
                <w:szCs w:val="20"/>
                <w:color w:val="auto"/>
              </w:rPr>
            </w:pPr>
          </w:p>
        </w:tc>
        <w:tc>
          <w:tcPr>
            <w:tcW w:w="1240" w:type="dxa"/>
            <w:vAlign w:val="bottom"/>
            <w:tcBorders>
              <w:bottom w:val="single" w:sz="8" w:color="00FF00"/>
            </w:tcBorders>
            <w:shd w:val="clear" w:color="auto" w:fill="00FF00"/>
          </w:tcPr>
          <w:p>
            <w:pPr>
              <w:spacing w:after="0"/>
              <w:rPr>
                <w:sz w:val="20"/>
                <w:szCs w:val="20"/>
                <w:color w:val="auto"/>
              </w:rPr>
            </w:pPr>
          </w:p>
        </w:tc>
        <w:tc>
          <w:tcPr>
            <w:tcW w:w="20" w:type="dxa"/>
            <w:vAlign w:val="bottom"/>
            <w:tcBorders>
              <w:bottom w:val="single" w:sz="8" w:color="2A3D6C"/>
            </w:tcBorders>
            <w:shd w:val="clear" w:color="auto" w:fill="2A3D6C"/>
          </w:tcPr>
          <w:p>
            <w:pPr>
              <w:spacing w:after="0"/>
              <w:rPr>
                <w:sz w:val="20"/>
                <w:szCs w:val="20"/>
                <w:color w:val="auto"/>
              </w:rPr>
            </w:pPr>
          </w:p>
        </w:tc>
        <w:tc>
          <w:tcPr>
            <w:tcW w:w="36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2A3D6C"/>
          </w:tcPr>
          <w:p>
            <w:pPr>
              <w:spacing w:after="0" w:line="20" w:lineRule="exact"/>
              <w:rPr>
                <w:sz w:val="1"/>
                <w:szCs w:val="1"/>
                <w:color w:val="auto"/>
              </w:rPr>
            </w:pPr>
          </w:p>
        </w:tc>
        <w:tc>
          <w:tcPr>
            <w:tcW w:w="14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2A3D6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shd w:val="clear" w:color="auto" w:fill="2A3D6C"/>
          </w:tcPr>
          <w:p>
            <w:pPr>
              <w:spacing w:after="0" w:line="20" w:lineRule="exact"/>
              <w:rPr>
                <w:sz w:val="1"/>
                <w:szCs w:val="1"/>
                <w:color w:val="auto"/>
              </w:rPr>
            </w:pPr>
          </w:p>
        </w:tc>
        <w:tc>
          <w:tcPr>
            <w:tcW w:w="36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-5848985</wp:posOffset>
            </wp:positionV>
            <wp:extent cx="1028700" cy="58413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0" cy="5841365"/>
                    </a:xfrm>
                    <a:prstGeom prst="rect">
                      <a:avLst/>
                    </a:prstGeom>
                    <a:noFill/>
                  </pic:spPr>
                </pic:pic>
              </a:graphicData>
            </a:graphic>
          </wp:anchor>
        </w:drawing>
      </w:r>
    </w:p>
    <w:p>
      <w:pPr>
        <w:spacing w:after="0" w:line="93"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42</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920" w:type="dxa"/>
            <w:vAlign w:val="bottom"/>
            <w:vMerge w:val="continue"/>
          </w:tcPr>
          <w:p>
            <w:pPr>
              <w:spacing w:after="0"/>
              <w:rPr>
                <w:sz w:val="23"/>
                <w:szCs w:val="23"/>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7" w:name="page48"/>
    <w:bookmarkEnd w:id="47"/>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60" w:type="dxa"/>
            <w:vAlign w:val="bottom"/>
            <w:gridSpan w:val="3"/>
          </w:tcPr>
          <w:p>
            <w:pPr>
              <w:jc w:val="right"/>
              <w:ind w:right="1300"/>
              <w:spacing w:after="0"/>
              <w:rPr>
                <w:sz w:val="20"/>
                <w:szCs w:val="20"/>
                <w:color w:val="auto"/>
              </w:rPr>
            </w:pPr>
            <w:r>
              <w:rPr>
                <w:rFonts w:ascii="Arial" w:cs="Arial" w:eastAsia="Arial" w:hAnsi="Arial"/>
                <w:sz w:val="18"/>
                <w:szCs w:val="18"/>
                <w:b w:val="1"/>
                <w:bCs w:val="1"/>
                <w:color w:val="2A3D6C"/>
              </w:rPr>
              <w:t>EXECUTIVE COMPENSATION</w:t>
            </w: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20" w:type="dxa"/>
            <w:vAlign w:val="bottom"/>
            <w:tcBorders>
              <w:bottom w:val="single" w:sz="8" w:color="2A3D6C"/>
            </w:tcBorders>
          </w:tcPr>
          <w:p>
            <w:pPr>
              <w:spacing w:after="0"/>
              <w:rPr>
                <w:sz w:val="4"/>
                <w:szCs w:val="4"/>
                <w:color w:val="auto"/>
              </w:rPr>
            </w:pPr>
          </w:p>
        </w:tc>
        <w:tc>
          <w:tcPr>
            <w:tcW w:w="80" w:type="dxa"/>
            <w:vAlign w:val="bottom"/>
            <w:tcBorders>
              <w:bottom w:val="single" w:sz="8" w:color="2A3D6C"/>
            </w:tcBorders>
          </w:tcPr>
          <w:p>
            <w:pPr>
              <w:spacing w:after="0"/>
              <w:rPr>
                <w:sz w:val="4"/>
                <w:szCs w:val="4"/>
                <w:color w:val="auto"/>
              </w:rPr>
            </w:pPr>
          </w:p>
        </w:tc>
        <w:tc>
          <w:tcPr>
            <w:tcW w:w="1620" w:type="dxa"/>
            <w:vAlign w:val="bottom"/>
            <w:tcBorders>
              <w:bottom w:val="single" w:sz="8" w:color="2A3D6C"/>
            </w:tcBorders>
          </w:tcPr>
          <w:p>
            <w:pPr>
              <w:spacing w:after="0"/>
              <w:rPr>
                <w:sz w:val="4"/>
                <w:szCs w:val="4"/>
                <w:color w:val="auto"/>
              </w:rPr>
            </w:pPr>
          </w:p>
        </w:tc>
        <w:tc>
          <w:tcPr>
            <w:tcW w:w="20" w:type="dxa"/>
            <w:vAlign w:val="bottom"/>
            <w:tcBorders>
              <w:bottom w:val="single" w:sz="8" w:color="2A3D6C"/>
            </w:tcBorders>
          </w:tcPr>
          <w:p>
            <w:pPr>
              <w:spacing w:after="0"/>
              <w:rPr>
                <w:sz w:val="4"/>
                <w:szCs w:val="4"/>
                <w:color w:val="auto"/>
              </w:rPr>
            </w:pPr>
          </w:p>
        </w:tc>
        <w:tc>
          <w:tcPr>
            <w:tcW w:w="1460" w:type="dxa"/>
            <w:vAlign w:val="bottom"/>
            <w:tcBorders>
              <w:bottom w:val="single" w:sz="8" w:color="2A3D6C"/>
            </w:tcBorders>
          </w:tcPr>
          <w:p>
            <w:pPr>
              <w:spacing w:after="0"/>
              <w:rPr>
                <w:sz w:val="4"/>
                <w:szCs w:val="4"/>
                <w:color w:val="auto"/>
              </w:rPr>
            </w:pPr>
          </w:p>
        </w:tc>
        <w:tc>
          <w:tcPr>
            <w:tcW w:w="100" w:type="dxa"/>
            <w:vAlign w:val="bottom"/>
            <w:tcBorders>
              <w:bottom w:val="single" w:sz="8" w:color="2A3D6C"/>
            </w:tcBorders>
          </w:tcPr>
          <w:p>
            <w:pPr>
              <w:spacing w:after="0"/>
              <w:rPr>
                <w:sz w:val="4"/>
                <w:szCs w:val="4"/>
                <w:color w:val="auto"/>
              </w:rPr>
            </w:pPr>
          </w:p>
        </w:tc>
        <w:tc>
          <w:tcPr>
            <w:tcW w:w="20" w:type="dxa"/>
            <w:vAlign w:val="bottom"/>
            <w:tcBorders>
              <w:bottom w:val="single" w:sz="8" w:color="2A3D6C"/>
            </w:tcBorders>
          </w:tcPr>
          <w:p>
            <w:pPr>
              <w:spacing w:after="0"/>
              <w:rPr>
                <w:sz w:val="4"/>
                <w:szCs w:val="4"/>
                <w:color w:val="auto"/>
              </w:rPr>
            </w:pPr>
          </w:p>
        </w:tc>
        <w:tc>
          <w:tcPr>
            <w:tcW w:w="1240" w:type="dxa"/>
            <w:vAlign w:val="bottom"/>
            <w:tcBorders>
              <w:bottom w:val="single" w:sz="8" w:color="2A3D6C"/>
            </w:tcBorders>
          </w:tcPr>
          <w:p>
            <w:pPr>
              <w:spacing w:after="0"/>
              <w:rPr>
                <w:sz w:val="4"/>
                <w:szCs w:val="4"/>
                <w:color w:val="auto"/>
              </w:rPr>
            </w:pPr>
          </w:p>
        </w:tc>
        <w:tc>
          <w:tcPr>
            <w:tcW w:w="20" w:type="dxa"/>
            <w:vAlign w:val="bottom"/>
            <w:tcBorders>
              <w:bottom w:val="single" w:sz="8" w:color="2A3D6C"/>
            </w:tcBorders>
          </w:tcPr>
          <w:p>
            <w:pPr>
              <w:spacing w:after="0"/>
              <w:rPr>
                <w:sz w:val="4"/>
                <w:szCs w:val="4"/>
                <w:color w:val="auto"/>
              </w:rPr>
            </w:pPr>
          </w:p>
        </w:tc>
        <w:tc>
          <w:tcPr>
            <w:tcW w:w="3620" w:type="dxa"/>
            <w:vAlign w:val="bottom"/>
            <w:tcBorders>
              <w:bottom w:val="single" w:sz="8" w:color="2A3D6C"/>
            </w:tcBorders>
          </w:tcPr>
          <w:p>
            <w:pPr>
              <w:spacing w:after="0"/>
              <w:rPr>
                <w:sz w:val="4"/>
                <w:szCs w:val="4"/>
                <w:color w:val="auto"/>
              </w:rPr>
            </w:pPr>
          </w:p>
        </w:tc>
        <w:tc>
          <w:tcPr>
            <w:tcW w:w="160" w:type="dxa"/>
            <w:vAlign w:val="bottom"/>
            <w:tcBorders>
              <w:bottom w:val="single" w:sz="8" w:color="2A3D6C"/>
            </w:tcBorders>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20" w:type="dxa"/>
            <w:vAlign w:val="bottom"/>
            <w:tcBorders>
              <w:bottom w:val="single" w:sz="8" w:color="2A3D6C"/>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2A3D6C"/>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 w:type="dxa"/>
            <w:vAlign w:val="bottom"/>
            <w:tcBorders>
              <w:bottom w:val="single" w:sz="8" w:color="2A3D6C"/>
            </w:tcBorders>
          </w:tcPr>
          <w:p>
            <w:pPr>
              <w:spacing w:after="0"/>
              <w:rPr>
                <w:sz w:val="6"/>
                <w:szCs w:val="6"/>
                <w:color w:val="auto"/>
              </w:rPr>
            </w:pPr>
          </w:p>
        </w:tc>
        <w:tc>
          <w:tcPr>
            <w:tcW w:w="36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80" w:type="dxa"/>
            <w:vAlign w:val="bottom"/>
            <w:shd w:val="clear" w:color="auto" w:fill="606489"/>
          </w:tcPr>
          <w:p>
            <w:pPr>
              <w:spacing w:after="0"/>
              <w:rPr>
                <w:sz w:val="23"/>
                <w:szCs w:val="23"/>
                <w:color w:val="auto"/>
              </w:rPr>
            </w:pPr>
          </w:p>
        </w:tc>
        <w:tc>
          <w:tcPr>
            <w:tcW w:w="1620" w:type="dxa"/>
            <w:vAlign w:val="bottom"/>
            <w:shd w:val="clear" w:color="auto" w:fill="606489"/>
          </w:tcPr>
          <w:p>
            <w:pPr>
              <w:spacing w:after="0"/>
              <w:rPr>
                <w:sz w:val="23"/>
                <w:szCs w:val="23"/>
                <w:color w:val="auto"/>
              </w:rPr>
            </w:pPr>
          </w:p>
        </w:tc>
        <w:tc>
          <w:tcPr>
            <w:tcW w:w="20" w:type="dxa"/>
            <w:vAlign w:val="bottom"/>
            <w:shd w:val="clear" w:color="auto" w:fill="2A3D6C"/>
          </w:tcPr>
          <w:p>
            <w:pPr>
              <w:spacing w:after="0"/>
              <w:rPr>
                <w:sz w:val="23"/>
                <w:szCs w:val="23"/>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Maximize</w:t>
            </w:r>
          </w:p>
        </w:tc>
        <w:tc>
          <w:tcPr>
            <w:tcW w:w="100" w:type="dxa"/>
            <w:vAlign w:val="bottom"/>
          </w:tcPr>
          <w:p>
            <w:pPr>
              <w:spacing w:after="0"/>
              <w:rPr>
                <w:sz w:val="23"/>
                <w:szCs w:val="23"/>
                <w:color w:val="auto"/>
              </w:rPr>
            </w:pPr>
          </w:p>
        </w:tc>
        <w:tc>
          <w:tcPr>
            <w:tcW w:w="20" w:type="dxa"/>
            <w:vAlign w:val="bottom"/>
            <w:shd w:val="clear" w:color="auto" w:fill="2A3D6C"/>
          </w:tcPr>
          <w:p>
            <w:pPr>
              <w:spacing w:after="0"/>
              <w:rPr>
                <w:sz w:val="23"/>
                <w:szCs w:val="23"/>
                <w:color w:val="auto"/>
              </w:rPr>
            </w:pPr>
          </w:p>
        </w:tc>
        <w:tc>
          <w:tcPr>
            <w:tcW w:w="1240" w:type="dxa"/>
            <w:vAlign w:val="bottom"/>
            <w:shd w:val="clear" w:color="auto" w:fill="00FF00"/>
          </w:tcPr>
          <w:p>
            <w:pPr>
              <w:jc w:val="center"/>
              <w:spacing w:after="0"/>
              <w:rPr>
                <w:sz w:val="20"/>
                <w:szCs w:val="20"/>
                <w:color w:val="auto"/>
              </w:rPr>
            </w:pPr>
            <w:r>
              <w:rPr>
                <w:rFonts w:ascii="Arial" w:cs="Arial" w:eastAsia="Arial" w:hAnsi="Arial"/>
                <w:sz w:val="16"/>
                <w:szCs w:val="16"/>
                <w:b w:val="1"/>
                <w:bCs w:val="1"/>
                <w:color w:val="auto"/>
              </w:rPr>
              <w:t>Achieved</w:t>
            </w:r>
          </w:p>
        </w:tc>
        <w:tc>
          <w:tcPr>
            <w:tcW w:w="20" w:type="dxa"/>
            <w:vAlign w:val="bottom"/>
            <w:shd w:val="clear" w:color="auto" w:fill="2A3D6C"/>
          </w:tcPr>
          <w:p>
            <w:pPr>
              <w:spacing w:after="0"/>
              <w:rPr>
                <w:sz w:val="23"/>
                <w:szCs w:val="23"/>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Maximized production through the completion of</w:t>
            </w:r>
          </w:p>
        </w:tc>
        <w:tc>
          <w:tcPr>
            <w:tcW w:w="160" w:type="dxa"/>
            <w:vAlign w:val="bottom"/>
            <w:tcBorders>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production through</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one new ESP conversion and one existing ESP</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the optimization</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repair.</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606489"/>
          </w:tcPr>
          <w:p>
            <w:pPr>
              <w:spacing w:after="0"/>
              <w:rPr>
                <w:sz w:val="17"/>
                <w:szCs w:val="17"/>
                <w:color w:val="auto"/>
              </w:rPr>
            </w:pPr>
          </w:p>
        </w:tc>
        <w:tc>
          <w:tcPr>
            <w:tcW w:w="1620" w:type="dxa"/>
            <w:vAlign w:val="bottom"/>
            <w:shd w:val="clear" w:color="auto" w:fill="606489"/>
          </w:tcPr>
          <w:p>
            <w:pPr>
              <w:spacing w:after="0"/>
              <w:rPr>
                <w:sz w:val="17"/>
                <w:szCs w:val="17"/>
                <w:color w:val="auto"/>
              </w:rPr>
            </w:pP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 xml:space="preserve">program, including </w:t>
            </w:r>
            <w:r>
              <w:rPr>
                <w:rFonts w:ascii="Times New Roman" w:cs="Times New Roman" w:eastAsia="Times New Roman" w:hAnsi="Times New Roman"/>
                <w:sz w:val="7"/>
                <w:szCs w:val="7"/>
                <w:color w:val="auto"/>
                <w:vertAlign w:val="subscript"/>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240" w:type="dxa"/>
            <w:vAlign w:val="bottom"/>
            <w:shd w:val="clear" w:color="auto" w:fill="00FF00"/>
          </w:tcPr>
          <w:p>
            <w:pPr>
              <w:ind w:left="114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620" w:type="dxa"/>
            <w:vAlign w:val="bottom"/>
          </w:tcPr>
          <w:p>
            <w:pPr>
              <w:spacing w:after="0"/>
              <w:rPr>
                <w:sz w:val="17"/>
                <w:szCs w:val="17"/>
                <w:color w:val="auto"/>
              </w:rPr>
            </w:pPr>
          </w:p>
        </w:tc>
        <w:tc>
          <w:tcPr>
            <w:tcW w:w="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606489"/>
          </w:tcPr>
          <w:p>
            <w:pPr>
              <w:spacing w:after="0"/>
              <w:rPr>
                <w:sz w:val="15"/>
                <w:szCs w:val="15"/>
                <w:color w:val="auto"/>
              </w:rPr>
            </w:pPr>
          </w:p>
        </w:tc>
        <w:tc>
          <w:tcPr>
            <w:tcW w:w="1620" w:type="dxa"/>
            <w:vAlign w:val="bottom"/>
            <w:shd w:val="clear" w:color="auto" w:fill="606489"/>
          </w:tcPr>
          <w:p>
            <w:pPr>
              <w:spacing w:after="0"/>
              <w:rPr>
                <w:sz w:val="15"/>
                <w:szCs w:val="15"/>
                <w:color w:val="auto"/>
              </w:rPr>
            </w:pPr>
          </w:p>
        </w:tc>
        <w:tc>
          <w:tcPr>
            <w:tcW w:w="20" w:type="dxa"/>
            <w:vAlign w:val="bottom"/>
            <w:shd w:val="clear" w:color="auto" w:fill="2A3D6C"/>
          </w:tcPr>
          <w:p>
            <w:pPr>
              <w:spacing w:after="0"/>
              <w:rPr>
                <w:sz w:val="15"/>
                <w:szCs w:val="15"/>
                <w:color w:val="auto"/>
              </w:rPr>
            </w:pPr>
          </w:p>
        </w:tc>
        <w:tc>
          <w:tcPr>
            <w:tcW w:w="1460" w:type="dxa"/>
            <w:vAlign w:val="bottom"/>
          </w:tcPr>
          <w:p>
            <w:pPr>
              <w:ind w:left="60"/>
              <w:spacing w:after="0" w:line="174" w:lineRule="exact"/>
              <w:rPr>
                <w:sz w:val="20"/>
                <w:szCs w:val="20"/>
                <w:color w:val="auto"/>
              </w:rPr>
            </w:pPr>
            <w:r>
              <w:rPr>
                <w:rFonts w:ascii="Arial" w:cs="Arial" w:eastAsia="Arial" w:hAnsi="Arial"/>
                <w:sz w:val="16"/>
                <w:szCs w:val="16"/>
                <w:color w:val="auto"/>
              </w:rPr>
              <w:t>electric</w:t>
            </w:r>
          </w:p>
        </w:tc>
        <w:tc>
          <w:tcPr>
            <w:tcW w:w="100" w:type="dxa"/>
            <w:vAlign w:val="bottom"/>
          </w:tcPr>
          <w:p>
            <w:pPr>
              <w:spacing w:after="0"/>
              <w:rPr>
                <w:sz w:val="15"/>
                <w:szCs w:val="15"/>
                <w:color w:val="auto"/>
              </w:rPr>
            </w:pPr>
          </w:p>
        </w:tc>
        <w:tc>
          <w:tcPr>
            <w:tcW w:w="20" w:type="dxa"/>
            <w:vAlign w:val="bottom"/>
            <w:shd w:val="clear" w:color="auto" w:fill="2A3D6C"/>
          </w:tcPr>
          <w:p>
            <w:pPr>
              <w:spacing w:after="0"/>
              <w:rPr>
                <w:sz w:val="15"/>
                <w:szCs w:val="15"/>
                <w:color w:val="auto"/>
              </w:rPr>
            </w:pPr>
          </w:p>
        </w:tc>
        <w:tc>
          <w:tcPr>
            <w:tcW w:w="1240" w:type="dxa"/>
            <w:vAlign w:val="bottom"/>
            <w:shd w:val="clear" w:color="auto" w:fill="00FF00"/>
          </w:tcPr>
          <w:p>
            <w:pPr>
              <w:spacing w:after="0"/>
              <w:rPr>
                <w:sz w:val="15"/>
                <w:szCs w:val="15"/>
                <w:color w:val="auto"/>
              </w:rPr>
            </w:pPr>
          </w:p>
        </w:tc>
        <w:tc>
          <w:tcPr>
            <w:tcW w:w="20" w:type="dxa"/>
            <w:vAlign w:val="bottom"/>
            <w:shd w:val="clear" w:color="auto" w:fill="2A3D6C"/>
          </w:tcPr>
          <w:p>
            <w:pPr>
              <w:spacing w:after="0"/>
              <w:rPr>
                <w:sz w:val="15"/>
                <w:szCs w:val="15"/>
                <w:color w:val="auto"/>
              </w:rPr>
            </w:pPr>
          </w:p>
        </w:tc>
        <w:tc>
          <w:tcPr>
            <w:tcW w:w="36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submersible</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pumps (ESPs) and</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606489"/>
            </w:tcBorders>
            <w:shd w:val="clear" w:color="auto" w:fill="606489"/>
          </w:tcPr>
          <w:p>
            <w:pPr>
              <w:spacing w:after="0"/>
              <w:rPr>
                <w:sz w:val="21"/>
                <w:szCs w:val="21"/>
                <w:color w:val="auto"/>
              </w:rPr>
            </w:pPr>
          </w:p>
        </w:tc>
        <w:tc>
          <w:tcPr>
            <w:tcW w:w="1620" w:type="dxa"/>
            <w:vAlign w:val="bottom"/>
            <w:tcBorders>
              <w:bottom w:val="single" w:sz="8" w:color="606489"/>
            </w:tcBorders>
            <w:shd w:val="clear" w:color="auto" w:fill="606489"/>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well stimulations</w:t>
            </w:r>
          </w:p>
        </w:tc>
        <w:tc>
          <w:tcPr>
            <w:tcW w:w="100" w:type="dxa"/>
            <w:vAlign w:val="bottom"/>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240" w:type="dxa"/>
            <w:vAlign w:val="bottom"/>
            <w:tcBorders>
              <w:bottom w:val="single" w:sz="8" w:color="00FF00"/>
            </w:tcBorders>
            <w:shd w:val="clear" w:color="auto" w:fill="00FF00"/>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362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606489"/>
            </w:tcBorders>
            <w:shd w:val="clear" w:color="auto" w:fill="606489"/>
          </w:tcPr>
          <w:p>
            <w:pPr>
              <w:spacing w:after="0"/>
              <w:rPr>
                <w:sz w:val="17"/>
                <w:szCs w:val="17"/>
                <w:color w:val="auto"/>
              </w:rPr>
            </w:pPr>
          </w:p>
        </w:tc>
        <w:tc>
          <w:tcPr>
            <w:tcW w:w="1620" w:type="dxa"/>
            <w:vAlign w:val="bottom"/>
            <w:tcBorders>
              <w:top w:val="single" w:sz="8" w:color="606489"/>
            </w:tcBorders>
            <w:shd w:val="clear" w:color="auto" w:fill="606489"/>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46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Ensure safe and</w:t>
            </w:r>
          </w:p>
        </w:tc>
        <w:tc>
          <w:tcPr>
            <w:tcW w:w="100" w:type="dxa"/>
            <w:vAlign w:val="bottom"/>
            <w:tcBorders>
              <w:top w:val="single" w:sz="8" w:color="2A3D6C"/>
            </w:tcBorders>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240" w:type="dxa"/>
            <w:vAlign w:val="bottom"/>
            <w:tcBorders>
              <w:top w:val="single" w:sz="8" w:color="2A3D6C"/>
            </w:tcBorders>
            <w:shd w:val="clear" w:color="auto" w:fill="FFFF00"/>
          </w:tcPr>
          <w:p>
            <w:pPr>
              <w:jc w:val="center"/>
              <w:spacing w:after="0"/>
              <w:rPr>
                <w:sz w:val="20"/>
                <w:szCs w:val="20"/>
                <w:color w:val="auto"/>
              </w:rPr>
            </w:pPr>
            <w:r>
              <w:rPr>
                <w:rFonts w:ascii="Arial" w:cs="Arial" w:eastAsia="Arial" w:hAnsi="Arial"/>
                <w:sz w:val="16"/>
                <w:szCs w:val="16"/>
                <w:b w:val="1"/>
                <w:bCs w:val="1"/>
                <w:color w:val="auto"/>
                <w:w w:val="99"/>
              </w:rPr>
              <w:t>Partially</w:t>
            </w:r>
          </w:p>
        </w:tc>
        <w:tc>
          <w:tcPr>
            <w:tcW w:w="20" w:type="dxa"/>
            <w:vAlign w:val="bottom"/>
            <w:tcBorders>
              <w:top w:val="single" w:sz="8" w:color="2A3D6C"/>
            </w:tcBorders>
            <w:shd w:val="clear" w:color="auto" w:fill="2A3D6C"/>
          </w:tcPr>
          <w:p>
            <w:pPr>
              <w:spacing w:after="0"/>
              <w:rPr>
                <w:sz w:val="17"/>
                <w:szCs w:val="17"/>
                <w:color w:val="auto"/>
              </w:rPr>
            </w:pPr>
          </w:p>
        </w:tc>
        <w:tc>
          <w:tcPr>
            <w:tcW w:w="362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Two infill wells were successfully drilled and</w:t>
            </w:r>
          </w:p>
        </w:tc>
        <w:tc>
          <w:tcPr>
            <w:tcW w:w="160" w:type="dxa"/>
            <w:vAlign w:val="bottom"/>
            <w:tcBorders>
              <w:top w:val="single" w:sz="8" w:color="2A3D6C"/>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efficient three-well</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jc w:val="center"/>
              <w:spacing w:after="0"/>
              <w:rPr>
                <w:sz w:val="20"/>
                <w:szCs w:val="20"/>
                <w:color w:val="auto"/>
              </w:rPr>
            </w:pPr>
            <w:r>
              <w:rPr>
                <w:rFonts w:ascii="Arial" w:cs="Arial" w:eastAsia="Arial" w:hAnsi="Arial"/>
                <w:sz w:val="16"/>
                <w:szCs w:val="16"/>
                <w:b w:val="1"/>
                <w:bCs w:val="1"/>
                <w:color w:val="auto"/>
              </w:rPr>
              <w:t>Achieved</w:t>
            </w: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brought online, however, one well was deferred</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infill program</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due to prioritization of HSE.</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jc w:val="center"/>
              <w:ind w:right="80"/>
              <w:spacing w:after="0"/>
              <w:rPr>
                <w:sz w:val="20"/>
                <w:szCs w:val="20"/>
                <w:color w:val="auto"/>
              </w:rPr>
            </w:pPr>
            <w:r>
              <w:rPr>
                <w:rFonts w:ascii="Arial" w:cs="Arial" w:eastAsia="Arial" w:hAnsi="Arial"/>
                <w:sz w:val="16"/>
                <w:szCs w:val="16"/>
                <w:b w:val="1"/>
                <w:bCs w:val="1"/>
                <w:color w:val="FFFFFF"/>
                <w:w w:val="99"/>
              </w:rPr>
              <w:t>Equatorial</w:t>
            </w: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beginning in 2Q</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 </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20" w:type="dxa"/>
            <w:vAlign w:val="bottom"/>
            <w:shd w:val="clear" w:color="auto" w:fill="000000"/>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606489"/>
          </w:tcPr>
          <w:p>
            <w:pPr>
              <w:spacing w:after="0"/>
              <w:rPr>
                <w:sz w:val="17"/>
                <w:szCs w:val="17"/>
                <w:color w:val="auto"/>
              </w:rPr>
            </w:pPr>
          </w:p>
        </w:tc>
        <w:tc>
          <w:tcPr>
            <w:tcW w:w="1620" w:type="dxa"/>
            <w:vAlign w:val="bottom"/>
            <w:shd w:val="clear" w:color="auto" w:fill="606489"/>
          </w:tcPr>
          <w:p>
            <w:pPr>
              <w:jc w:val="right"/>
              <w:ind w:right="20"/>
              <w:spacing w:after="0"/>
              <w:rPr>
                <w:sz w:val="20"/>
                <w:szCs w:val="20"/>
                <w:color w:val="auto"/>
              </w:rPr>
            </w:pPr>
            <w:r>
              <w:rPr>
                <w:rFonts w:ascii="Arial" w:cs="Arial" w:eastAsia="Arial" w:hAnsi="Arial"/>
                <w:sz w:val="16"/>
                <w:szCs w:val="16"/>
                <w:b w:val="1"/>
                <w:bCs w:val="1"/>
                <w:color w:val="FFFFFF"/>
              </w:rPr>
              <w:t xml:space="preserve">Guinea/Sao Tome </w:t>
            </w:r>
            <w:r>
              <w:rPr>
                <w:rFonts w:ascii="Times New Roman" w:cs="Times New Roman" w:eastAsia="Times New Roman" w:hAnsi="Times New Roman"/>
                <w:sz w:val="7"/>
                <w:szCs w:val="7"/>
                <w:color w:val="000000"/>
                <w:vertAlign w:val="subscript"/>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60" w:type="dxa"/>
            <w:vAlign w:val="bottom"/>
          </w:tcPr>
          <w:p>
            <w:pPr>
              <w:ind w:left="60"/>
              <w:spacing w:after="0"/>
              <w:rPr>
                <w:sz w:val="20"/>
                <w:szCs w:val="20"/>
                <w:color w:val="auto"/>
              </w:rPr>
            </w:pPr>
            <w:r>
              <w:rPr>
                <w:rFonts w:ascii="Arial" w:cs="Arial" w:eastAsia="Arial" w:hAnsi="Arial"/>
                <w:sz w:val="16"/>
                <w:szCs w:val="16"/>
                <w:color w:val="auto"/>
              </w:rPr>
              <w:t>2021, that</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240" w:type="dxa"/>
            <w:vAlign w:val="bottom"/>
            <w:shd w:val="clear" w:color="auto" w:fill="FFFF00"/>
          </w:tcPr>
          <w:p>
            <w:pPr>
              <w:ind w:left="114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620" w:type="dxa"/>
            <w:vAlign w:val="bottom"/>
          </w:tcPr>
          <w:p>
            <w:pPr>
              <w:ind w:left="60"/>
              <w:spacing w:after="0"/>
              <w:rPr>
                <w:sz w:val="20"/>
                <w:szCs w:val="20"/>
                <w:color w:val="auto"/>
              </w:rPr>
            </w:pPr>
            <w:r>
              <w:rPr>
                <w:rFonts w:ascii="Arial" w:cs="Arial" w:eastAsia="Arial" w:hAnsi="Arial"/>
                <w:sz w:val="16"/>
                <w:szCs w:val="16"/>
                <w:color w:val="auto"/>
              </w:rPr>
              <w:t>The new infill wells led to an annualized</w:t>
            </w:r>
          </w:p>
        </w:tc>
        <w:tc>
          <w:tcPr>
            <w:tcW w:w="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606489"/>
          </w:tcPr>
          <w:p>
            <w:pPr>
              <w:spacing w:after="0"/>
              <w:rPr>
                <w:sz w:val="15"/>
                <w:szCs w:val="15"/>
                <w:color w:val="auto"/>
              </w:rPr>
            </w:pPr>
          </w:p>
        </w:tc>
        <w:tc>
          <w:tcPr>
            <w:tcW w:w="1620" w:type="dxa"/>
            <w:vAlign w:val="bottom"/>
            <w:shd w:val="clear" w:color="auto" w:fill="606489"/>
          </w:tcPr>
          <w:p>
            <w:pPr>
              <w:jc w:val="center"/>
              <w:ind w:right="60"/>
              <w:spacing w:after="0" w:line="174" w:lineRule="exact"/>
              <w:rPr>
                <w:sz w:val="20"/>
                <w:szCs w:val="20"/>
                <w:color w:val="auto"/>
              </w:rPr>
            </w:pPr>
            <w:r>
              <w:rPr>
                <w:rFonts w:ascii="Arial" w:cs="Arial" w:eastAsia="Arial" w:hAnsi="Arial"/>
                <w:sz w:val="16"/>
                <w:szCs w:val="16"/>
                <w:b w:val="1"/>
                <w:bCs w:val="1"/>
                <w:color w:val="FFFFFF"/>
                <w:w w:val="99"/>
              </w:rPr>
              <w:t>and Principe</w:t>
            </w:r>
          </w:p>
        </w:tc>
        <w:tc>
          <w:tcPr>
            <w:tcW w:w="20" w:type="dxa"/>
            <w:vAlign w:val="bottom"/>
            <w:shd w:val="clear" w:color="auto" w:fill="2A3D6C"/>
          </w:tcPr>
          <w:p>
            <w:pPr>
              <w:spacing w:after="0"/>
              <w:rPr>
                <w:sz w:val="15"/>
                <w:szCs w:val="15"/>
                <w:color w:val="auto"/>
              </w:rPr>
            </w:pPr>
          </w:p>
        </w:tc>
        <w:tc>
          <w:tcPr>
            <w:tcW w:w="1460" w:type="dxa"/>
            <w:vAlign w:val="bottom"/>
          </w:tcPr>
          <w:p>
            <w:pPr>
              <w:ind w:left="60"/>
              <w:spacing w:after="0" w:line="174" w:lineRule="exact"/>
              <w:rPr>
                <w:sz w:val="20"/>
                <w:szCs w:val="20"/>
                <w:color w:val="auto"/>
              </w:rPr>
            </w:pPr>
            <w:r>
              <w:rPr>
                <w:rFonts w:ascii="Arial" w:cs="Arial" w:eastAsia="Arial" w:hAnsi="Arial"/>
                <w:sz w:val="16"/>
                <w:szCs w:val="16"/>
                <w:color w:val="auto"/>
              </w:rPr>
              <w:t>cumulatively</w:t>
            </w:r>
          </w:p>
        </w:tc>
        <w:tc>
          <w:tcPr>
            <w:tcW w:w="100" w:type="dxa"/>
            <w:vAlign w:val="bottom"/>
          </w:tcPr>
          <w:p>
            <w:pPr>
              <w:spacing w:after="0"/>
              <w:rPr>
                <w:sz w:val="15"/>
                <w:szCs w:val="15"/>
                <w:color w:val="auto"/>
              </w:rPr>
            </w:pPr>
          </w:p>
        </w:tc>
        <w:tc>
          <w:tcPr>
            <w:tcW w:w="20" w:type="dxa"/>
            <w:vAlign w:val="bottom"/>
            <w:shd w:val="clear" w:color="auto" w:fill="2A3D6C"/>
          </w:tcPr>
          <w:p>
            <w:pPr>
              <w:spacing w:after="0"/>
              <w:rPr>
                <w:sz w:val="15"/>
                <w:szCs w:val="15"/>
                <w:color w:val="auto"/>
              </w:rPr>
            </w:pPr>
          </w:p>
        </w:tc>
        <w:tc>
          <w:tcPr>
            <w:tcW w:w="1240" w:type="dxa"/>
            <w:vAlign w:val="bottom"/>
            <w:shd w:val="clear" w:color="auto" w:fill="FFFF00"/>
          </w:tcPr>
          <w:p>
            <w:pPr>
              <w:spacing w:after="0"/>
              <w:rPr>
                <w:sz w:val="15"/>
                <w:szCs w:val="15"/>
                <w:color w:val="auto"/>
              </w:rPr>
            </w:pPr>
          </w:p>
        </w:tc>
        <w:tc>
          <w:tcPr>
            <w:tcW w:w="20" w:type="dxa"/>
            <w:vAlign w:val="bottom"/>
            <w:shd w:val="clear" w:color="auto" w:fill="2A3D6C"/>
          </w:tcPr>
          <w:p>
            <w:pPr>
              <w:spacing w:after="0"/>
              <w:rPr>
                <w:sz w:val="15"/>
                <w:szCs w:val="15"/>
                <w:color w:val="auto"/>
              </w:rPr>
            </w:pPr>
          </w:p>
        </w:tc>
        <w:tc>
          <w:tcPr>
            <w:tcW w:w="3620" w:type="dxa"/>
            <w:vAlign w:val="bottom"/>
          </w:tcPr>
          <w:p>
            <w:pPr>
              <w:ind w:left="60"/>
              <w:spacing w:after="0" w:line="174" w:lineRule="exact"/>
              <w:rPr>
                <w:sz w:val="20"/>
                <w:szCs w:val="20"/>
                <w:color w:val="auto"/>
              </w:rPr>
            </w:pPr>
            <w:r>
              <w:rPr>
                <w:rFonts w:ascii="Arial" w:cs="Arial" w:eastAsia="Arial" w:hAnsi="Arial"/>
                <w:sz w:val="16"/>
                <w:szCs w:val="16"/>
                <w:color w:val="auto"/>
              </w:rPr>
              <w:t>production uplift of 0.3 Mbopd (gross) due to their</w:t>
            </w:r>
          </w:p>
        </w:tc>
        <w:tc>
          <w:tcPr>
            <w:tcW w:w="16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jc w:val="center"/>
              <w:ind w:right="20"/>
              <w:spacing w:after="0"/>
              <w:rPr>
                <w:sz w:val="20"/>
                <w:szCs w:val="20"/>
                <w:color w:val="auto"/>
              </w:rPr>
            </w:pPr>
            <w:r>
              <w:rPr>
                <w:rFonts w:ascii="Arial" w:cs="Arial" w:eastAsia="Arial" w:hAnsi="Arial"/>
                <w:sz w:val="16"/>
                <w:szCs w:val="16"/>
                <w:b w:val="1"/>
                <w:bCs w:val="1"/>
                <w:color w:val="FFFFFF"/>
              </w:rPr>
              <w:t>Business Unit</w:t>
            </w: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delivers 1.3 Mbopd</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delayed timing, but their combined production exit</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(gross) annualized</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rate of 3.8 Mbopd (gross) as of December 31,</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606489"/>
            </w:tcBorders>
            <w:shd w:val="clear" w:color="auto" w:fill="606489"/>
          </w:tcPr>
          <w:p>
            <w:pPr>
              <w:spacing w:after="0"/>
              <w:rPr>
                <w:sz w:val="21"/>
                <w:szCs w:val="21"/>
                <w:color w:val="auto"/>
              </w:rPr>
            </w:pPr>
          </w:p>
        </w:tc>
        <w:tc>
          <w:tcPr>
            <w:tcW w:w="1620" w:type="dxa"/>
            <w:vAlign w:val="bottom"/>
            <w:tcBorders>
              <w:bottom w:val="single" w:sz="8" w:color="606489"/>
            </w:tcBorders>
            <w:shd w:val="clear" w:color="auto" w:fill="606489"/>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production uplift</w:t>
            </w:r>
          </w:p>
        </w:tc>
        <w:tc>
          <w:tcPr>
            <w:tcW w:w="100" w:type="dxa"/>
            <w:vAlign w:val="bottom"/>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240" w:type="dxa"/>
            <w:vAlign w:val="bottom"/>
            <w:tcBorders>
              <w:bottom w:val="single" w:sz="8" w:color="FFFF00"/>
            </w:tcBorders>
            <w:shd w:val="clear" w:color="auto" w:fill="FFFF00"/>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2021 was higher than expected.</w:t>
            </w:r>
          </w:p>
        </w:tc>
        <w:tc>
          <w:tcPr>
            <w:tcW w:w="1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606489"/>
            </w:tcBorders>
            <w:shd w:val="clear" w:color="auto" w:fill="606489"/>
          </w:tcPr>
          <w:p>
            <w:pPr>
              <w:spacing w:after="0"/>
              <w:rPr>
                <w:sz w:val="17"/>
                <w:szCs w:val="17"/>
                <w:color w:val="auto"/>
              </w:rPr>
            </w:pPr>
          </w:p>
        </w:tc>
        <w:tc>
          <w:tcPr>
            <w:tcW w:w="1620" w:type="dxa"/>
            <w:vAlign w:val="bottom"/>
            <w:tcBorders>
              <w:top w:val="single" w:sz="8" w:color="606489"/>
            </w:tcBorders>
            <w:shd w:val="clear" w:color="auto" w:fill="606489"/>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46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Complete farm-</w:t>
            </w:r>
          </w:p>
        </w:tc>
        <w:tc>
          <w:tcPr>
            <w:tcW w:w="100" w:type="dxa"/>
            <w:vAlign w:val="bottom"/>
            <w:tcBorders>
              <w:top w:val="single" w:sz="8" w:color="2A3D6C"/>
            </w:tcBorders>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240" w:type="dxa"/>
            <w:vAlign w:val="bottom"/>
            <w:tcBorders>
              <w:top w:val="single" w:sz="8" w:color="2A3D6C"/>
            </w:tcBorders>
            <w:shd w:val="clear" w:color="auto" w:fill="FFFF00"/>
          </w:tcPr>
          <w:p>
            <w:pPr>
              <w:jc w:val="center"/>
              <w:spacing w:after="0"/>
              <w:rPr>
                <w:sz w:val="20"/>
                <w:szCs w:val="20"/>
                <w:color w:val="auto"/>
              </w:rPr>
            </w:pPr>
            <w:r>
              <w:rPr>
                <w:rFonts w:ascii="Arial" w:cs="Arial" w:eastAsia="Arial" w:hAnsi="Arial"/>
                <w:sz w:val="16"/>
                <w:szCs w:val="16"/>
                <w:b w:val="1"/>
                <w:bCs w:val="1"/>
                <w:color w:val="auto"/>
                <w:w w:val="99"/>
              </w:rPr>
              <w:t>Partially</w:t>
            </w:r>
          </w:p>
        </w:tc>
        <w:tc>
          <w:tcPr>
            <w:tcW w:w="20" w:type="dxa"/>
            <w:vAlign w:val="bottom"/>
            <w:tcBorders>
              <w:top w:val="single" w:sz="8" w:color="2A3D6C"/>
            </w:tcBorders>
            <w:shd w:val="clear" w:color="auto" w:fill="2A3D6C"/>
          </w:tcPr>
          <w:p>
            <w:pPr>
              <w:spacing w:after="0"/>
              <w:rPr>
                <w:sz w:val="17"/>
                <w:szCs w:val="17"/>
                <w:color w:val="auto"/>
              </w:rPr>
            </w:pPr>
          </w:p>
        </w:tc>
        <w:tc>
          <w:tcPr>
            <w:tcW w:w="362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The farm-out process is continuing into 2022,</w:t>
            </w:r>
          </w:p>
        </w:tc>
        <w:tc>
          <w:tcPr>
            <w:tcW w:w="160" w:type="dxa"/>
            <w:vAlign w:val="bottom"/>
            <w:tcBorders>
              <w:top w:val="single" w:sz="8" w:color="2A3D6C"/>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outs of Block EG-</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jc w:val="center"/>
              <w:spacing w:after="0"/>
              <w:rPr>
                <w:sz w:val="20"/>
                <w:szCs w:val="20"/>
                <w:color w:val="auto"/>
              </w:rPr>
            </w:pPr>
            <w:r>
              <w:rPr>
                <w:rFonts w:ascii="Arial" w:cs="Arial" w:eastAsia="Arial" w:hAnsi="Arial"/>
                <w:sz w:val="16"/>
                <w:szCs w:val="16"/>
                <w:b w:val="1"/>
                <w:bCs w:val="1"/>
                <w:color w:val="auto"/>
              </w:rPr>
              <w:t>Achieved</w:t>
            </w: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however, an amendment to the Block EG-24</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24 in Equatorial</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production sharing agreement improving its</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Guinea and Block</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commercial terms was agreed with the</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 xml:space="preserve">5 in Sao Tome and </w:t>
            </w:r>
            <w:r>
              <w:rPr>
                <w:rFonts w:ascii="Times New Roman" w:cs="Times New Roman" w:eastAsia="Times New Roman" w:hAnsi="Times New Roman"/>
                <w:sz w:val="3"/>
                <w:szCs w:val="3"/>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240" w:type="dxa"/>
            <w:vAlign w:val="bottom"/>
            <w:shd w:val="clear" w:color="auto" w:fill="FFFF00"/>
          </w:tcPr>
          <w:p>
            <w:pPr>
              <w:ind w:left="114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620" w:type="dxa"/>
            <w:vAlign w:val="bottom"/>
          </w:tcPr>
          <w:p>
            <w:pPr>
              <w:ind w:left="60"/>
              <w:spacing w:after="0"/>
              <w:rPr>
                <w:sz w:val="20"/>
                <w:szCs w:val="20"/>
                <w:color w:val="auto"/>
              </w:rPr>
            </w:pPr>
            <w:r>
              <w:rPr>
                <w:rFonts w:ascii="Arial" w:cs="Arial" w:eastAsia="Arial" w:hAnsi="Arial"/>
                <w:sz w:val="16"/>
                <w:szCs w:val="16"/>
                <w:color w:val="auto"/>
              </w:rPr>
              <w:t>Government of Equatorial Guinea in 2021 to</w:t>
            </w:r>
          </w:p>
        </w:tc>
        <w:tc>
          <w:tcPr>
            <w:tcW w:w="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Principe to deliver</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enable successful future execution.</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self-funded</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exploration</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606489"/>
            </w:tcBorders>
            <w:shd w:val="clear" w:color="auto" w:fill="606489"/>
          </w:tcPr>
          <w:p>
            <w:pPr>
              <w:spacing w:after="0"/>
              <w:rPr>
                <w:sz w:val="21"/>
                <w:szCs w:val="21"/>
                <w:color w:val="auto"/>
              </w:rPr>
            </w:pPr>
          </w:p>
        </w:tc>
        <w:tc>
          <w:tcPr>
            <w:tcW w:w="1620" w:type="dxa"/>
            <w:vAlign w:val="bottom"/>
            <w:tcBorders>
              <w:bottom w:val="single" w:sz="8" w:color="606489"/>
            </w:tcBorders>
            <w:shd w:val="clear" w:color="auto" w:fill="606489"/>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program</w:t>
            </w:r>
          </w:p>
        </w:tc>
        <w:tc>
          <w:tcPr>
            <w:tcW w:w="100" w:type="dxa"/>
            <w:vAlign w:val="bottom"/>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240" w:type="dxa"/>
            <w:vAlign w:val="bottom"/>
            <w:tcBorders>
              <w:bottom w:val="single" w:sz="8" w:color="FFFF00"/>
            </w:tcBorders>
            <w:shd w:val="clear" w:color="auto" w:fill="FFFF00"/>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362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2A3D6C"/>
            </w:tcBorders>
            <w:shd w:val="clear" w:color="auto" w:fill="606489"/>
          </w:tcPr>
          <w:p>
            <w:pPr>
              <w:spacing w:after="0"/>
              <w:rPr>
                <w:sz w:val="17"/>
                <w:szCs w:val="17"/>
                <w:color w:val="auto"/>
              </w:rPr>
            </w:pPr>
          </w:p>
        </w:tc>
        <w:tc>
          <w:tcPr>
            <w:tcW w:w="1620" w:type="dxa"/>
            <w:vAlign w:val="bottom"/>
            <w:tcBorders>
              <w:top w:val="single" w:sz="8" w:color="2A3D6C"/>
            </w:tcBorders>
            <w:shd w:val="clear" w:color="auto" w:fill="606489"/>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46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GTA – Ensure</w:t>
            </w:r>
          </w:p>
        </w:tc>
        <w:tc>
          <w:tcPr>
            <w:tcW w:w="100" w:type="dxa"/>
            <w:vAlign w:val="bottom"/>
            <w:tcBorders>
              <w:top w:val="single" w:sz="8" w:color="2A3D6C"/>
            </w:tcBorders>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240" w:type="dxa"/>
            <w:vAlign w:val="bottom"/>
            <w:tcBorders>
              <w:top w:val="single" w:sz="8" w:color="2A3D6C"/>
            </w:tcBorders>
            <w:shd w:val="clear" w:color="auto" w:fill="FFFF00"/>
          </w:tcPr>
          <w:p>
            <w:pPr>
              <w:jc w:val="center"/>
              <w:spacing w:after="0"/>
              <w:rPr>
                <w:sz w:val="20"/>
                <w:szCs w:val="20"/>
                <w:color w:val="auto"/>
              </w:rPr>
            </w:pPr>
            <w:r>
              <w:rPr>
                <w:rFonts w:ascii="Arial" w:cs="Arial" w:eastAsia="Arial" w:hAnsi="Arial"/>
                <w:sz w:val="16"/>
                <w:szCs w:val="16"/>
                <w:b w:val="1"/>
                <w:bCs w:val="1"/>
                <w:color w:val="auto"/>
                <w:w w:val="99"/>
              </w:rPr>
              <w:t>Partially</w:t>
            </w:r>
          </w:p>
        </w:tc>
        <w:tc>
          <w:tcPr>
            <w:tcW w:w="20" w:type="dxa"/>
            <w:vAlign w:val="bottom"/>
            <w:tcBorders>
              <w:top w:val="single" w:sz="8" w:color="2A3D6C"/>
            </w:tcBorders>
            <w:shd w:val="clear" w:color="auto" w:fill="2A3D6C"/>
          </w:tcPr>
          <w:p>
            <w:pPr>
              <w:spacing w:after="0"/>
              <w:rPr>
                <w:sz w:val="17"/>
                <w:szCs w:val="17"/>
                <w:color w:val="auto"/>
              </w:rPr>
            </w:pPr>
          </w:p>
        </w:tc>
        <w:tc>
          <w:tcPr>
            <w:tcW w:w="362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Due to delays resulting from COVID-19 related</w:t>
            </w:r>
          </w:p>
        </w:tc>
        <w:tc>
          <w:tcPr>
            <w:tcW w:w="160" w:type="dxa"/>
            <w:vAlign w:val="bottom"/>
            <w:tcBorders>
              <w:top w:val="single" w:sz="8" w:color="2A3D6C"/>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Phase 1 remains</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jc w:val="center"/>
              <w:spacing w:after="0"/>
              <w:rPr>
                <w:sz w:val="20"/>
                <w:szCs w:val="20"/>
                <w:color w:val="auto"/>
              </w:rPr>
            </w:pPr>
            <w:r>
              <w:rPr>
                <w:rFonts w:ascii="Arial" w:cs="Arial" w:eastAsia="Arial" w:hAnsi="Arial"/>
                <w:sz w:val="16"/>
                <w:szCs w:val="16"/>
                <w:b w:val="1"/>
                <w:bCs w:val="1"/>
                <w:color w:val="auto"/>
              </w:rPr>
              <w:t>Achieved</w:t>
            </w: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labor and supplies shortages, Phase 1 first gas is</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on schedule to</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now scheduled for Q3 2023.</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deliver first gas in</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 </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60" w:type="dxa"/>
            <w:vAlign w:val="bottom"/>
          </w:tcPr>
          <w:p>
            <w:pPr>
              <w:ind w:left="60"/>
              <w:spacing w:after="0"/>
              <w:rPr>
                <w:sz w:val="20"/>
                <w:szCs w:val="20"/>
                <w:color w:val="auto"/>
              </w:rPr>
            </w:pPr>
            <w:r>
              <w:rPr>
                <w:rFonts w:ascii="Arial" w:cs="Arial" w:eastAsia="Arial" w:hAnsi="Arial"/>
                <w:sz w:val="16"/>
                <w:szCs w:val="16"/>
                <w:color w:val="auto"/>
              </w:rPr>
              <w:t>1H 2023; finalize</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240" w:type="dxa"/>
            <w:vAlign w:val="bottom"/>
            <w:shd w:val="clear" w:color="auto" w:fill="FFFF00"/>
          </w:tcPr>
          <w:p>
            <w:pPr>
              <w:ind w:left="114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620" w:type="dxa"/>
            <w:vAlign w:val="bottom"/>
          </w:tcPr>
          <w:p>
            <w:pPr>
              <w:ind w:left="60"/>
              <w:spacing w:after="0"/>
              <w:rPr>
                <w:sz w:val="20"/>
                <w:szCs w:val="20"/>
                <w:color w:val="auto"/>
              </w:rPr>
            </w:pPr>
            <w:r>
              <w:rPr>
                <w:rFonts w:ascii="Arial" w:cs="Arial" w:eastAsia="Arial" w:hAnsi="Arial"/>
                <w:sz w:val="16"/>
                <w:szCs w:val="16"/>
                <w:color w:val="auto"/>
              </w:rPr>
              <w:t>A Phase 2 working group was formed in 2021 to</w:t>
            </w:r>
          </w:p>
        </w:tc>
        <w:tc>
          <w:tcPr>
            <w:tcW w:w="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expansion plans</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focus discussions on reaching a Phase 2</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with the Operator</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development decision in 2022.</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to support Phase 2</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FF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606489"/>
            </w:tcBorders>
            <w:shd w:val="clear" w:color="auto" w:fill="606489"/>
          </w:tcPr>
          <w:p>
            <w:pPr>
              <w:spacing w:after="0"/>
              <w:rPr>
                <w:sz w:val="21"/>
                <w:szCs w:val="21"/>
                <w:color w:val="auto"/>
              </w:rPr>
            </w:pPr>
          </w:p>
        </w:tc>
        <w:tc>
          <w:tcPr>
            <w:tcW w:w="1620" w:type="dxa"/>
            <w:vAlign w:val="bottom"/>
            <w:tcBorders>
              <w:bottom w:val="single" w:sz="8" w:color="606489"/>
            </w:tcBorders>
            <w:shd w:val="clear" w:color="auto" w:fill="606489"/>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FID by end of 2022</w:t>
            </w:r>
          </w:p>
        </w:tc>
        <w:tc>
          <w:tcPr>
            <w:tcW w:w="100" w:type="dxa"/>
            <w:vAlign w:val="bottom"/>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1240" w:type="dxa"/>
            <w:vAlign w:val="bottom"/>
            <w:tcBorders>
              <w:bottom w:val="single" w:sz="8" w:color="FFFF00"/>
            </w:tcBorders>
            <w:shd w:val="clear" w:color="auto" w:fill="FFFF00"/>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362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606489"/>
            </w:tcBorders>
            <w:shd w:val="clear" w:color="auto" w:fill="606489"/>
          </w:tcPr>
          <w:p>
            <w:pPr>
              <w:spacing w:after="0"/>
              <w:rPr>
                <w:sz w:val="17"/>
                <w:szCs w:val="17"/>
                <w:color w:val="auto"/>
              </w:rPr>
            </w:pPr>
          </w:p>
        </w:tc>
        <w:tc>
          <w:tcPr>
            <w:tcW w:w="1620" w:type="dxa"/>
            <w:vAlign w:val="bottom"/>
            <w:tcBorders>
              <w:top w:val="single" w:sz="8" w:color="606489"/>
            </w:tcBorders>
            <w:vMerge w:val="restart"/>
            <w:shd w:val="clear" w:color="auto" w:fill="606489"/>
          </w:tcPr>
          <w:p>
            <w:pPr>
              <w:jc w:val="right"/>
              <w:ind w:right="20"/>
              <w:spacing w:after="0"/>
              <w:rPr>
                <w:sz w:val="20"/>
                <w:szCs w:val="20"/>
                <w:color w:val="auto"/>
              </w:rPr>
            </w:pPr>
            <w:r>
              <w:rPr>
                <w:rFonts w:ascii="Arial" w:cs="Arial" w:eastAsia="Arial" w:hAnsi="Arial"/>
                <w:sz w:val="16"/>
                <w:szCs w:val="16"/>
                <w:b w:val="1"/>
                <w:bCs w:val="1"/>
                <w:color w:val="FFFFFF"/>
                <w:w w:val="99"/>
              </w:rPr>
              <w:t xml:space="preserve">Mauritania/Senegal </w:t>
            </w:r>
            <w:r>
              <w:rPr>
                <w:rFonts w:ascii="Times New Roman" w:cs="Times New Roman" w:eastAsia="Times New Roman" w:hAnsi="Times New Roman"/>
                <w:sz w:val="7"/>
                <w:szCs w:val="7"/>
                <w:color w:val="000000"/>
                <w:w w:val="99"/>
                <w:vertAlign w:val="subscript"/>
              </w:rPr>
              <w:t>​</w:t>
            </w:r>
          </w:p>
        </w:tc>
        <w:tc>
          <w:tcPr>
            <w:tcW w:w="20" w:type="dxa"/>
            <w:vAlign w:val="bottom"/>
            <w:tcBorders>
              <w:top w:val="single" w:sz="8" w:color="2A3D6C"/>
            </w:tcBorders>
            <w:shd w:val="clear" w:color="auto" w:fill="2A3D6C"/>
          </w:tcPr>
          <w:p>
            <w:pPr>
              <w:spacing w:after="0"/>
              <w:rPr>
                <w:sz w:val="17"/>
                <w:szCs w:val="17"/>
                <w:color w:val="auto"/>
              </w:rPr>
            </w:pPr>
          </w:p>
        </w:tc>
        <w:tc>
          <w:tcPr>
            <w:tcW w:w="146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Financing:</w:t>
            </w:r>
          </w:p>
        </w:tc>
        <w:tc>
          <w:tcPr>
            <w:tcW w:w="100" w:type="dxa"/>
            <w:vAlign w:val="bottom"/>
            <w:tcBorders>
              <w:top w:val="single" w:sz="8" w:color="2A3D6C"/>
            </w:tcBorders>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1240" w:type="dxa"/>
            <w:vAlign w:val="bottom"/>
            <w:tcBorders>
              <w:top w:val="single" w:sz="8" w:color="2A3D6C"/>
            </w:tcBorders>
            <w:shd w:val="clear" w:color="auto" w:fill="00FF00"/>
          </w:tcPr>
          <w:p>
            <w:pPr>
              <w:jc w:val="center"/>
              <w:spacing w:after="0"/>
              <w:rPr>
                <w:sz w:val="20"/>
                <w:szCs w:val="20"/>
                <w:color w:val="auto"/>
              </w:rPr>
            </w:pPr>
            <w:r>
              <w:rPr>
                <w:rFonts w:ascii="Arial" w:cs="Arial" w:eastAsia="Arial" w:hAnsi="Arial"/>
                <w:sz w:val="16"/>
                <w:szCs w:val="16"/>
                <w:b w:val="1"/>
                <w:bCs w:val="1"/>
                <w:color w:val="auto"/>
              </w:rPr>
              <w:t>Achieved</w:t>
            </w:r>
          </w:p>
        </w:tc>
        <w:tc>
          <w:tcPr>
            <w:tcW w:w="20" w:type="dxa"/>
            <w:vAlign w:val="bottom"/>
            <w:tcBorders>
              <w:top w:val="single" w:sz="8" w:color="2A3D6C"/>
            </w:tcBorders>
            <w:shd w:val="clear" w:color="auto" w:fill="2A3D6C"/>
          </w:tcPr>
          <w:p>
            <w:pPr>
              <w:spacing w:after="0"/>
              <w:rPr>
                <w:sz w:val="17"/>
                <w:szCs w:val="17"/>
                <w:color w:val="auto"/>
              </w:rPr>
            </w:pPr>
          </w:p>
        </w:tc>
        <w:tc>
          <w:tcPr>
            <w:tcW w:w="3620" w:type="dxa"/>
            <w:vAlign w:val="bottom"/>
            <w:tcBorders>
              <w:top w:val="single" w:sz="8" w:color="2A3D6C"/>
            </w:tcBorders>
          </w:tcPr>
          <w:p>
            <w:pPr>
              <w:ind w:left="60"/>
              <w:spacing w:after="0"/>
              <w:rPr>
                <w:sz w:val="20"/>
                <w:szCs w:val="20"/>
                <w:color w:val="auto"/>
              </w:rPr>
            </w:pPr>
            <w:r>
              <w:rPr>
                <w:rFonts w:ascii="Arial" w:cs="Arial" w:eastAsia="Arial" w:hAnsi="Arial"/>
                <w:sz w:val="16"/>
                <w:szCs w:val="16"/>
                <w:color w:val="auto"/>
              </w:rPr>
              <w:t>GTA FPSO financing completed.</w:t>
            </w:r>
          </w:p>
        </w:tc>
        <w:tc>
          <w:tcPr>
            <w:tcW w:w="160" w:type="dxa"/>
            <w:vAlign w:val="bottom"/>
            <w:tcBorders>
              <w:top w:val="single" w:sz="8" w:color="2A3D6C"/>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300" w:type="dxa"/>
            <w:vAlign w:val="bottom"/>
          </w:tcPr>
          <w:p>
            <w:pPr>
              <w:spacing w:after="0"/>
              <w:rPr>
                <w:sz w:val="14"/>
                <w:szCs w:val="14"/>
                <w:color w:val="auto"/>
              </w:rPr>
            </w:pPr>
          </w:p>
        </w:tc>
        <w:tc>
          <w:tcPr>
            <w:tcW w:w="20" w:type="dxa"/>
            <w:vAlign w:val="bottom"/>
            <w:shd w:val="clear" w:color="auto" w:fill="000000"/>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606489"/>
          </w:tcPr>
          <w:p>
            <w:pPr>
              <w:spacing w:after="0"/>
              <w:rPr>
                <w:sz w:val="14"/>
                <w:szCs w:val="14"/>
                <w:color w:val="auto"/>
              </w:rPr>
            </w:pPr>
          </w:p>
        </w:tc>
        <w:tc>
          <w:tcPr>
            <w:tcW w:w="1620" w:type="dxa"/>
            <w:vAlign w:val="bottom"/>
            <w:vMerge w:val="continue"/>
            <w:shd w:val="clear" w:color="auto" w:fill="606489"/>
          </w:tcPr>
          <w:p>
            <w:pPr>
              <w:spacing w:after="0"/>
              <w:rPr>
                <w:sz w:val="14"/>
                <w:szCs w:val="14"/>
                <w:color w:val="auto"/>
              </w:rPr>
            </w:pPr>
          </w:p>
        </w:tc>
        <w:tc>
          <w:tcPr>
            <w:tcW w:w="20" w:type="dxa"/>
            <w:vAlign w:val="bottom"/>
            <w:shd w:val="clear" w:color="auto" w:fill="2A3D6C"/>
          </w:tcPr>
          <w:p>
            <w:pPr>
              <w:spacing w:after="0"/>
              <w:rPr>
                <w:sz w:val="14"/>
                <w:szCs w:val="14"/>
                <w:color w:val="auto"/>
              </w:rPr>
            </w:pPr>
          </w:p>
        </w:tc>
        <w:tc>
          <w:tcPr>
            <w:tcW w:w="1460" w:type="dxa"/>
            <w:vAlign w:val="bottom"/>
          </w:tcPr>
          <w:p>
            <w:pPr>
              <w:ind w:left="60"/>
              <w:spacing w:after="0" w:line="161" w:lineRule="exact"/>
              <w:rPr>
                <w:sz w:val="20"/>
                <w:szCs w:val="20"/>
                <w:color w:val="auto"/>
              </w:rPr>
            </w:pPr>
            <w:r>
              <w:rPr>
                <w:rFonts w:ascii="Arial" w:cs="Arial" w:eastAsia="Arial" w:hAnsi="Arial"/>
                <w:sz w:val="16"/>
                <w:szCs w:val="16"/>
                <w:color w:val="auto"/>
              </w:rPr>
              <w:t>Completion of the</w:t>
            </w:r>
          </w:p>
        </w:tc>
        <w:tc>
          <w:tcPr>
            <w:tcW w:w="100" w:type="dxa"/>
            <w:vAlign w:val="bottom"/>
          </w:tcPr>
          <w:p>
            <w:pPr>
              <w:spacing w:after="0"/>
              <w:rPr>
                <w:sz w:val="14"/>
                <w:szCs w:val="14"/>
                <w:color w:val="auto"/>
              </w:rPr>
            </w:pPr>
          </w:p>
        </w:tc>
        <w:tc>
          <w:tcPr>
            <w:tcW w:w="20" w:type="dxa"/>
            <w:vAlign w:val="bottom"/>
            <w:shd w:val="clear" w:color="auto" w:fill="2A3D6C"/>
          </w:tcPr>
          <w:p>
            <w:pPr>
              <w:spacing w:after="0"/>
              <w:rPr>
                <w:sz w:val="14"/>
                <w:szCs w:val="14"/>
                <w:color w:val="auto"/>
              </w:rPr>
            </w:pPr>
          </w:p>
        </w:tc>
        <w:tc>
          <w:tcPr>
            <w:tcW w:w="1240" w:type="dxa"/>
            <w:vAlign w:val="bottom"/>
            <w:shd w:val="clear" w:color="auto" w:fill="00FF00"/>
          </w:tcPr>
          <w:p>
            <w:pPr>
              <w:spacing w:after="0"/>
              <w:rPr>
                <w:sz w:val="14"/>
                <w:szCs w:val="14"/>
                <w:color w:val="auto"/>
              </w:rPr>
            </w:pPr>
          </w:p>
        </w:tc>
        <w:tc>
          <w:tcPr>
            <w:tcW w:w="20" w:type="dxa"/>
            <w:vAlign w:val="bottom"/>
            <w:shd w:val="clear" w:color="auto" w:fill="2A3D6C"/>
          </w:tcPr>
          <w:p>
            <w:pPr>
              <w:spacing w:after="0"/>
              <w:rPr>
                <w:sz w:val="14"/>
                <w:szCs w:val="14"/>
                <w:color w:val="auto"/>
              </w:rPr>
            </w:pPr>
          </w:p>
        </w:tc>
        <w:tc>
          <w:tcPr>
            <w:tcW w:w="3620" w:type="dxa"/>
            <w:vAlign w:val="bottom"/>
          </w:tcPr>
          <w:p>
            <w:pPr>
              <w:ind w:left="60"/>
              <w:spacing w:after="0" w:line="161" w:lineRule="exact"/>
              <w:rPr>
                <w:sz w:val="20"/>
                <w:szCs w:val="20"/>
                <w:color w:val="auto"/>
              </w:rPr>
            </w:pPr>
            <w:r>
              <w:rPr>
                <w:rFonts w:ascii="Arial" w:cs="Arial" w:eastAsia="Arial" w:hAnsi="Arial"/>
                <w:sz w:val="16"/>
                <w:szCs w:val="16"/>
                <w:color w:val="auto"/>
              </w:rPr>
              <w:t> </w:t>
            </w:r>
          </w:p>
        </w:tc>
        <w:tc>
          <w:tcPr>
            <w:tcW w:w="160" w:type="dxa"/>
            <w:vAlign w:val="bottom"/>
            <w:tcBorders>
              <w:righ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606489"/>
          </w:tcPr>
          <w:p>
            <w:pPr>
              <w:spacing w:after="0"/>
              <w:rPr>
                <w:sz w:val="18"/>
                <w:szCs w:val="18"/>
                <w:color w:val="auto"/>
              </w:rPr>
            </w:pPr>
          </w:p>
        </w:tc>
        <w:tc>
          <w:tcPr>
            <w:tcW w:w="1620" w:type="dxa"/>
            <w:vAlign w:val="bottom"/>
            <w:shd w:val="clear" w:color="auto" w:fill="606489"/>
          </w:tcPr>
          <w:p>
            <w:pPr>
              <w:jc w:val="center"/>
              <w:ind w:right="20"/>
              <w:spacing w:after="0"/>
              <w:rPr>
                <w:sz w:val="20"/>
                <w:szCs w:val="20"/>
                <w:color w:val="auto"/>
              </w:rPr>
            </w:pPr>
            <w:r>
              <w:rPr>
                <w:rFonts w:ascii="Arial" w:cs="Arial" w:eastAsia="Arial" w:hAnsi="Arial"/>
                <w:sz w:val="16"/>
                <w:szCs w:val="16"/>
                <w:b w:val="1"/>
                <w:bCs w:val="1"/>
                <w:color w:val="FFFFFF"/>
              </w:rPr>
              <w:t>Business Unit</w:t>
            </w:r>
          </w:p>
        </w:tc>
        <w:tc>
          <w:tcPr>
            <w:tcW w:w="20" w:type="dxa"/>
            <w:vAlign w:val="bottom"/>
            <w:shd w:val="clear" w:color="auto" w:fill="2A3D6C"/>
          </w:tcPr>
          <w:p>
            <w:pPr>
              <w:spacing w:after="0"/>
              <w:rPr>
                <w:sz w:val="18"/>
                <w:szCs w:val="18"/>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GTA FPSO</w:t>
            </w:r>
          </w:p>
        </w:tc>
        <w:tc>
          <w:tcPr>
            <w:tcW w:w="100" w:type="dxa"/>
            <w:vAlign w:val="bottom"/>
          </w:tcPr>
          <w:p>
            <w:pPr>
              <w:spacing w:after="0"/>
              <w:rPr>
                <w:sz w:val="18"/>
                <w:szCs w:val="18"/>
                <w:color w:val="auto"/>
              </w:rPr>
            </w:pPr>
          </w:p>
        </w:tc>
        <w:tc>
          <w:tcPr>
            <w:tcW w:w="20" w:type="dxa"/>
            <w:vAlign w:val="bottom"/>
            <w:shd w:val="clear" w:color="auto" w:fill="2A3D6C"/>
          </w:tcPr>
          <w:p>
            <w:pPr>
              <w:spacing w:after="0"/>
              <w:rPr>
                <w:sz w:val="18"/>
                <w:szCs w:val="18"/>
                <w:color w:val="auto"/>
              </w:rPr>
            </w:pPr>
          </w:p>
        </w:tc>
        <w:tc>
          <w:tcPr>
            <w:tcW w:w="1240" w:type="dxa"/>
            <w:vAlign w:val="bottom"/>
            <w:shd w:val="clear" w:color="auto" w:fill="00FF00"/>
          </w:tcPr>
          <w:p>
            <w:pPr>
              <w:spacing w:after="0"/>
              <w:rPr>
                <w:sz w:val="18"/>
                <w:szCs w:val="18"/>
                <w:color w:val="auto"/>
              </w:rPr>
            </w:pPr>
          </w:p>
        </w:tc>
        <w:tc>
          <w:tcPr>
            <w:tcW w:w="20" w:type="dxa"/>
            <w:vAlign w:val="bottom"/>
            <w:shd w:val="clear" w:color="auto" w:fill="2A3D6C"/>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Received several terms sheets for the NOC loan</w:t>
            </w:r>
          </w:p>
        </w:tc>
        <w:tc>
          <w:tcPr>
            <w:tcW w:w="16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financing by end</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refinancing, but after considering improved</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1Q 2021 and</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liquidity position, the Company decided to</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national oil</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continue discussions into 2022 to ensure an</w:t>
            </w: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60" w:type="dxa"/>
            <w:vAlign w:val="bottom"/>
          </w:tcPr>
          <w:p>
            <w:pPr>
              <w:ind w:left="60"/>
              <w:spacing w:after="0"/>
              <w:rPr>
                <w:sz w:val="20"/>
                <w:szCs w:val="20"/>
                <w:color w:val="auto"/>
              </w:rPr>
            </w:pPr>
            <w:r>
              <w:rPr>
                <w:rFonts w:ascii="Arial" w:cs="Arial" w:eastAsia="Arial" w:hAnsi="Arial"/>
                <w:sz w:val="16"/>
                <w:szCs w:val="16"/>
                <w:color w:val="auto"/>
              </w:rPr>
              <w:t>company (NOC)</w:t>
            </w:r>
          </w:p>
        </w:tc>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240" w:type="dxa"/>
            <w:vAlign w:val="bottom"/>
            <w:shd w:val="clear" w:color="auto" w:fill="00FF00"/>
          </w:tcPr>
          <w:p>
            <w:pPr>
              <w:ind w:left="114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620" w:type="dxa"/>
            <w:vAlign w:val="bottom"/>
          </w:tcPr>
          <w:p>
            <w:pPr>
              <w:ind w:left="60"/>
              <w:spacing w:after="0"/>
              <w:rPr>
                <w:sz w:val="20"/>
                <w:szCs w:val="20"/>
                <w:color w:val="auto"/>
              </w:rPr>
            </w:pPr>
            <w:r>
              <w:rPr>
                <w:rFonts w:ascii="Arial" w:cs="Arial" w:eastAsia="Arial" w:hAnsi="Arial"/>
                <w:sz w:val="16"/>
                <w:szCs w:val="16"/>
                <w:color w:val="auto"/>
              </w:rPr>
              <w:t>optimal structure.</w:t>
            </w:r>
          </w:p>
        </w:tc>
        <w:tc>
          <w:tcPr>
            <w:tcW w:w="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loan refinancing by</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YE; advance</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alternative Phase 1</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project</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606489"/>
          </w:tcPr>
          <w:p>
            <w:pPr>
              <w:spacing w:after="0"/>
              <w:rPr>
                <w:sz w:val="16"/>
                <w:szCs w:val="16"/>
                <w:color w:val="auto"/>
              </w:rPr>
            </w:pPr>
          </w:p>
        </w:tc>
        <w:tc>
          <w:tcPr>
            <w:tcW w:w="1620" w:type="dxa"/>
            <w:vAlign w:val="bottom"/>
            <w:shd w:val="clear" w:color="auto" w:fill="606489"/>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financing/asset</w:t>
            </w:r>
          </w:p>
        </w:tc>
        <w:tc>
          <w:tcPr>
            <w:tcW w:w="100" w:type="dxa"/>
            <w:vAlign w:val="bottom"/>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124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30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80" w:type="dxa"/>
            <w:vAlign w:val="bottom"/>
            <w:tcBorders>
              <w:bottom w:val="single" w:sz="8" w:color="606489"/>
            </w:tcBorders>
            <w:shd w:val="clear" w:color="auto" w:fill="606489"/>
          </w:tcPr>
          <w:p>
            <w:pPr>
              <w:spacing w:after="0"/>
              <w:rPr>
                <w:sz w:val="22"/>
                <w:szCs w:val="22"/>
                <w:color w:val="auto"/>
              </w:rPr>
            </w:pPr>
          </w:p>
        </w:tc>
        <w:tc>
          <w:tcPr>
            <w:tcW w:w="1620" w:type="dxa"/>
            <w:vAlign w:val="bottom"/>
            <w:tcBorders>
              <w:bottom w:val="single" w:sz="8" w:color="606489"/>
            </w:tcBorders>
            <w:shd w:val="clear" w:color="auto" w:fill="606489"/>
          </w:tcPr>
          <w:p>
            <w:pPr>
              <w:spacing w:after="0"/>
              <w:rPr>
                <w:sz w:val="22"/>
                <w:szCs w:val="22"/>
                <w:color w:val="auto"/>
              </w:rPr>
            </w:pPr>
          </w:p>
        </w:tc>
        <w:tc>
          <w:tcPr>
            <w:tcW w:w="20" w:type="dxa"/>
            <w:vAlign w:val="bottom"/>
            <w:tcBorders>
              <w:bottom w:val="single" w:sz="8" w:color="2A3D6C"/>
            </w:tcBorders>
            <w:shd w:val="clear" w:color="auto" w:fill="2A3D6C"/>
          </w:tcPr>
          <w:p>
            <w:pPr>
              <w:spacing w:after="0"/>
              <w:rPr>
                <w:sz w:val="22"/>
                <w:szCs w:val="22"/>
                <w:color w:val="auto"/>
              </w:rPr>
            </w:pPr>
          </w:p>
        </w:tc>
        <w:tc>
          <w:tcPr>
            <w:tcW w:w="1460" w:type="dxa"/>
            <w:vAlign w:val="bottom"/>
          </w:tcPr>
          <w:p>
            <w:pPr>
              <w:ind w:left="60"/>
              <w:spacing w:after="0"/>
              <w:rPr>
                <w:sz w:val="20"/>
                <w:szCs w:val="20"/>
                <w:color w:val="auto"/>
              </w:rPr>
            </w:pPr>
            <w:r>
              <w:rPr>
                <w:rFonts w:ascii="Arial" w:cs="Arial" w:eastAsia="Arial" w:hAnsi="Arial"/>
                <w:sz w:val="16"/>
                <w:szCs w:val="16"/>
                <w:color w:val="auto"/>
              </w:rPr>
              <w:t>sale by year-end</w:t>
            </w:r>
          </w:p>
        </w:tc>
        <w:tc>
          <w:tcPr>
            <w:tcW w:w="100" w:type="dxa"/>
            <w:vAlign w:val="bottom"/>
          </w:tcPr>
          <w:p>
            <w:pPr>
              <w:spacing w:after="0"/>
              <w:rPr>
                <w:sz w:val="22"/>
                <w:szCs w:val="22"/>
                <w:color w:val="auto"/>
              </w:rPr>
            </w:pPr>
          </w:p>
        </w:tc>
        <w:tc>
          <w:tcPr>
            <w:tcW w:w="20" w:type="dxa"/>
            <w:vAlign w:val="bottom"/>
            <w:tcBorders>
              <w:bottom w:val="single" w:sz="8" w:color="2A3D6C"/>
            </w:tcBorders>
            <w:shd w:val="clear" w:color="auto" w:fill="2A3D6C"/>
          </w:tcPr>
          <w:p>
            <w:pPr>
              <w:spacing w:after="0"/>
              <w:rPr>
                <w:sz w:val="22"/>
                <w:szCs w:val="22"/>
                <w:color w:val="auto"/>
              </w:rPr>
            </w:pPr>
          </w:p>
        </w:tc>
        <w:tc>
          <w:tcPr>
            <w:tcW w:w="1240" w:type="dxa"/>
            <w:vAlign w:val="bottom"/>
            <w:tcBorders>
              <w:bottom w:val="single" w:sz="8" w:color="00FF00"/>
            </w:tcBorders>
            <w:shd w:val="clear" w:color="auto" w:fill="00FF00"/>
          </w:tcPr>
          <w:p>
            <w:pPr>
              <w:spacing w:after="0"/>
              <w:rPr>
                <w:sz w:val="22"/>
                <w:szCs w:val="22"/>
                <w:color w:val="auto"/>
              </w:rPr>
            </w:pPr>
          </w:p>
        </w:tc>
        <w:tc>
          <w:tcPr>
            <w:tcW w:w="20" w:type="dxa"/>
            <w:vAlign w:val="bottom"/>
            <w:tcBorders>
              <w:bottom w:val="single" w:sz="8" w:color="2A3D6C"/>
            </w:tcBorders>
            <w:shd w:val="clear" w:color="auto" w:fill="2A3D6C"/>
          </w:tcPr>
          <w:p>
            <w:pPr>
              <w:spacing w:after="0"/>
              <w:rPr>
                <w:sz w:val="22"/>
                <w:szCs w:val="22"/>
                <w:color w:val="auto"/>
              </w:rPr>
            </w:pPr>
          </w:p>
        </w:tc>
        <w:tc>
          <w:tcPr>
            <w:tcW w:w="362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8"/>
        </w:trPr>
        <w:tc>
          <w:tcPr>
            <w:tcW w:w="13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0" w:type="dxa"/>
            <w:vAlign w:val="bottom"/>
            <w:tcBorders>
              <w:top w:val="single" w:sz="8" w:color="2A3D6C"/>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2A3D6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2A3D6C"/>
            </w:tcBorders>
          </w:tcPr>
          <w:p>
            <w:pPr>
              <w:spacing w:after="0"/>
              <w:rPr>
                <w:sz w:val="24"/>
                <w:szCs w:val="24"/>
                <w:color w:val="auto"/>
              </w:rPr>
            </w:pPr>
          </w:p>
        </w:tc>
        <w:tc>
          <w:tcPr>
            <w:tcW w:w="3620" w:type="dxa"/>
            <w:vAlign w:val="bottom"/>
            <w:tcBorders>
              <w:top w:val="single" w:sz="8" w:color="auto"/>
            </w:tcBorders>
          </w:tcPr>
          <w:p>
            <w:pPr>
              <w:ind w:left="1480"/>
              <w:spacing w:after="0"/>
              <w:rPr>
                <w:sz w:val="20"/>
                <w:szCs w:val="20"/>
                <w:color w:val="auto"/>
              </w:rPr>
            </w:pPr>
            <w:r>
              <w:rPr>
                <w:rFonts w:ascii="Arial" w:cs="Arial" w:eastAsia="Arial" w:hAnsi="Arial"/>
                <w:sz w:val="23"/>
                <w:szCs w:val="23"/>
                <w:color w:val="auto"/>
              </w:rPr>
              <w:t> </w:t>
            </w:r>
          </w:p>
        </w:tc>
        <w:tc>
          <w:tcPr>
            <w:tcW w:w="16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3"/>
          </w:tcPr>
          <w:p>
            <w:pPr>
              <w:jc w:val="right"/>
              <w:ind w:right="1300"/>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105"/>
        </w:trPr>
        <w:tc>
          <w:tcPr>
            <w:tcW w:w="1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-297180</wp:posOffset>
            </wp:positionV>
            <wp:extent cx="594995" cy="1701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10940"/>
          </w:cols>
          <w:pgMar w:left="480" w:top="262" w:right="479" w:bottom="1440" w:gutter="0" w:footer="0" w:header="0"/>
        </w:sectPr>
      </w:pPr>
    </w:p>
    <w:bookmarkStart w:id="48" w:name="page49"/>
    <w:bookmarkEnd w:id="48"/>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20" w:type="dxa"/>
            <w:vAlign w:val="bottom"/>
            <w:tcBorders>
              <w:top w:val="single" w:sz="8" w:color="auto"/>
            </w:tcBorders>
            <w:shd w:val="clear" w:color="auto" w:fill="000000"/>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160" w:type="dxa"/>
            <w:vAlign w:val="bottom"/>
            <w:tcBorders>
              <w:top w:val="single" w:sz="8" w:color="auto"/>
            </w:tcBorders>
            <w:shd w:val="clear" w:color="auto" w:fill="606489"/>
          </w:tcPr>
          <w:p>
            <w:pPr>
              <w:spacing w:after="0"/>
              <w:rPr>
                <w:sz w:val="19"/>
                <w:szCs w:val="19"/>
                <w:color w:val="auto"/>
              </w:rPr>
            </w:pPr>
          </w:p>
        </w:tc>
        <w:tc>
          <w:tcPr>
            <w:tcW w:w="140" w:type="dxa"/>
            <w:vAlign w:val="bottom"/>
            <w:tcBorders>
              <w:top w:val="single" w:sz="8" w:color="auto"/>
            </w:tcBorders>
            <w:shd w:val="clear" w:color="auto" w:fill="606489"/>
          </w:tcPr>
          <w:p>
            <w:pPr>
              <w:spacing w:after="0"/>
              <w:rPr>
                <w:sz w:val="19"/>
                <w:szCs w:val="19"/>
                <w:color w:val="auto"/>
              </w:rPr>
            </w:pPr>
          </w:p>
        </w:tc>
        <w:tc>
          <w:tcPr>
            <w:tcW w:w="100" w:type="dxa"/>
            <w:vAlign w:val="bottom"/>
            <w:tcBorders>
              <w:top w:val="single" w:sz="8" w:color="auto"/>
            </w:tcBorders>
            <w:shd w:val="clear" w:color="auto" w:fill="606489"/>
          </w:tcPr>
          <w:p>
            <w:pPr>
              <w:spacing w:after="0"/>
              <w:rPr>
                <w:sz w:val="19"/>
                <w:szCs w:val="19"/>
                <w:color w:val="auto"/>
              </w:rPr>
            </w:pPr>
          </w:p>
        </w:tc>
        <w:tc>
          <w:tcPr>
            <w:tcW w:w="4760" w:type="dxa"/>
            <w:vAlign w:val="bottom"/>
            <w:tcBorders>
              <w:top w:val="single" w:sz="8" w:color="auto"/>
            </w:tcBorders>
            <w:gridSpan w:val="4"/>
            <w:shd w:val="clear" w:color="auto" w:fill="606489"/>
          </w:tcPr>
          <w:p>
            <w:pPr>
              <w:ind w:left="180"/>
              <w:spacing w:after="0"/>
              <w:rPr>
                <w:sz w:val="20"/>
                <w:szCs w:val="20"/>
                <w:color w:val="auto"/>
              </w:rPr>
            </w:pPr>
            <w:r>
              <w:rPr>
                <w:rFonts w:ascii="Arial" w:cs="Arial" w:eastAsia="Arial" w:hAnsi="Arial"/>
                <w:sz w:val="16"/>
                <w:szCs w:val="16"/>
                <w:b w:val="1"/>
                <w:bCs w:val="1"/>
                <w:color w:val="FFFFFF"/>
              </w:rPr>
              <w:t>Manage Costs</w:t>
            </w:r>
          </w:p>
        </w:tc>
        <w:tc>
          <w:tcPr>
            <w:tcW w:w="180" w:type="dxa"/>
            <w:vAlign w:val="bottom"/>
            <w:tcBorders>
              <w:top w:val="single" w:sz="8" w:color="auto"/>
              <w:right w:val="single" w:sz="8" w:color="auto"/>
            </w:tcBorders>
            <w:shd w:val="clear" w:color="auto" w:fill="606489"/>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111"/>
        </w:trPr>
        <w:tc>
          <w:tcPr>
            <w:tcW w:w="20" w:type="dxa"/>
            <w:vAlign w:val="bottom"/>
            <w:shd w:val="clear" w:color="auto" w:fill="000000"/>
          </w:tcPr>
          <w:p>
            <w:pPr>
              <w:spacing w:after="0"/>
              <w:rPr>
                <w:sz w:val="9"/>
                <w:szCs w:val="9"/>
                <w:color w:val="auto"/>
              </w:rPr>
            </w:pPr>
          </w:p>
        </w:tc>
        <w:tc>
          <w:tcPr>
            <w:tcW w:w="3160" w:type="dxa"/>
            <w:vAlign w:val="bottom"/>
            <w:shd w:val="clear" w:color="auto" w:fill="606489"/>
          </w:tcPr>
          <w:p>
            <w:pPr>
              <w:spacing w:after="0"/>
              <w:rPr>
                <w:sz w:val="9"/>
                <w:szCs w:val="9"/>
                <w:color w:val="auto"/>
              </w:rPr>
            </w:pPr>
          </w:p>
        </w:tc>
        <w:tc>
          <w:tcPr>
            <w:tcW w:w="140" w:type="dxa"/>
            <w:vAlign w:val="bottom"/>
            <w:shd w:val="clear" w:color="auto" w:fill="606489"/>
          </w:tcPr>
          <w:p>
            <w:pPr>
              <w:spacing w:after="0"/>
              <w:rPr>
                <w:sz w:val="9"/>
                <w:szCs w:val="9"/>
                <w:color w:val="auto"/>
              </w:rPr>
            </w:pPr>
          </w:p>
        </w:tc>
        <w:tc>
          <w:tcPr>
            <w:tcW w:w="100" w:type="dxa"/>
            <w:vAlign w:val="bottom"/>
            <w:shd w:val="clear" w:color="auto" w:fill="606489"/>
          </w:tcPr>
          <w:p>
            <w:pPr>
              <w:spacing w:after="0"/>
              <w:rPr>
                <w:sz w:val="9"/>
                <w:szCs w:val="9"/>
                <w:color w:val="auto"/>
              </w:rPr>
            </w:pPr>
          </w:p>
        </w:tc>
        <w:tc>
          <w:tcPr>
            <w:tcW w:w="1060" w:type="dxa"/>
            <w:vAlign w:val="bottom"/>
            <w:shd w:val="clear" w:color="auto" w:fill="606489"/>
          </w:tcPr>
          <w:p>
            <w:pPr>
              <w:spacing w:after="0"/>
              <w:rPr>
                <w:sz w:val="9"/>
                <w:szCs w:val="9"/>
                <w:color w:val="auto"/>
              </w:rPr>
            </w:pPr>
          </w:p>
        </w:tc>
        <w:tc>
          <w:tcPr>
            <w:tcW w:w="100" w:type="dxa"/>
            <w:vAlign w:val="bottom"/>
            <w:shd w:val="clear" w:color="auto" w:fill="606489"/>
          </w:tcPr>
          <w:p>
            <w:pPr>
              <w:spacing w:after="0"/>
              <w:rPr>
                <w:sz w:val="9"/>
                <w:szCs w:val="9"/>
                <w:color w:val="auto"/>
              </w:rPr>
            </w:pPr>
          </w:p>
        </w:tc>
        <w:tc>
          <w:tcPr>
            <w:tcW w:w="20" w:type="dxa"/>
            <w:vAlign w:val="bottom"/>
            <w:shd w:val="clear" w:color="auto" w:fill="606489"/>
          </w:tcPr>
          <w:p>
            <w:pPr>
              <w:spacing w:after="0"/>
              <w:rPr>
                <w:sz w:val="9"/>
                <w:szCs w:val="9"/>
                <w:color w:val="auto"/>
              </w:rPr>
            </w:pPr>
          </w:p>
        </w:tc>
        <w:tc>
          <w:tcPr>
            <w:tcW w:w="3580" w:type="dxa"/>
            <w:vAlign w:val="bottom"/>
            <w:tcBorders>
              <w:left w:val="single" w:sz="8" w:color="606489"/>
            </w:tcBorders>
            <w:shd w:val="clear" w:color="auto" w:fill="606489"/>
          </w:tcPr>
          <w:p>
            <w:pPr>
              <w:spacing w:after="0"/>
              <w:rPr>
                <w:sz w:val="9"/>
                <w:szCs w:val="9"/>
                <w:color w:val="auto"/>
              </w:rPr>
            </w:pPr>
          </w:p>
        </w:tc>
        <w:tc>
          <w:tcPr>
            <w:tcW w:w="180" w:type="dxa"/>
            <w:vAlign w:val="bottom"/>
            <w:tcBorders>
              <w:right w:val="single" w:sz="8" w:color="auto"/>
            </w:tcBorders>
            <w:shd w:val="clear" w:color="auto" w:fill="606489"/>
          </w:tcPr>
          <w:p>
            <w:pPr>
              <w:spacing w:after="0"/>
              <w:rPr>
                <w:sz w:val="9"/>
                <w:szCs w:val="9"/>
                <w:color w:val="auto"/>
              </w:rPr>
            </w:pPr>
          </w:p>
        </w:tc>
      </w:tr>
      <w:tr>
        <w:trPr>
          <w:trHeight w:val="188"/>
        </w:trPr>
        <w:tc>
          <w:tcPr>
            <w:tcW w:w="20" w:type="dxa"/>
            <w:vAlign w:val="bottom"/>
            <w:shd w:val="clear" w:color="auto" w:fill="000000"/>
          </w:tcPr>
          <w:p>
            <w:pPr>
              <w:spacing w:after="0"/>
              <w:rPr>
                <w:sz w:val="16"/>
                <w:szCs w:val="16"/>
                <w:color w:val="auto"/>
              </w:rPr>
            </w:pPr>
          </w:p>
        </w:tc>
        <w:tc>
          <w:tcPr>
            <w:tcW w:w="3160" w:type="dxa"/>
            <w:vAlign w:val="bottom"/>
          </w:tcPr>
          <w:p>
            <w:pPr>
              <w:ind w:left="120"/>
              <w:spacing w:after="0"/>
              <w:rPr>
                <w:sz w:val="20"/>
                <w:szCs w:val="20"/>
                <w:color w:val="auto"/>
              </w:rPr>
            </w:pPr>
            <w:r>
              <w:rPr>
                <w:rFonts w:ascii="Arial" w:cs="Arial" w:eastAsia="Arial" w:hAnsi="Arial"/>
                <w:sz w:val="16"/>
                <w:szCs w:val="16"/>
                <w:color w:val="auto"/>
              </w:rPr>
              <w:t>Net Cash General and Administrative</w:t>
            </w: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60" w:type="dxa"/>
            <w:vAlign w:val="bottom"/>
            <w:shd w:val="clear" w:color="auto" w:fill="00FF00"/>
          </w:tcPr>
          <w:p>
            <w:pPr>
              <w:ind w:left="180"/>
              <w:spacing w:after="0"/>
              <w:rPr>
                <w:sz w:val="20"/>
                <w:szCs w:val="20"/>
                <w:color w:val="auto"/>
              </w:rPr>
            </w:pPr>
            <w:r>
              <w:rPr>
                <w:rFonts w:ascii="Arial" w:cs="Arial" w:eastAsia="Arial" w:hAnsi="Arial"/>
                <w:sz w:val="16"/>
                <w:szCs w:val="16"/>
                <w:b w:val="1"/>
                <w:bCs w:val="1"/>
                <w:color w:val="auto"/>
              </w:rPr>
              <w:t>Achieved</w:t>
            </w:r>
          </w:p>
        </w:tc>
        <w:tc>
          <w:tcPr>
            <w:tcW w:w="10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580" w:type="dxa"/>
            <w:vAlign w:val="bottom"/>
          </w:tcPr>
          <w:p>
            <w:pPr>
              <w:ind w:left="80"/>
              <w:spacing w:after="0" w:line="189" w:lineRule="exact"/>
              <w:rPr>
                <w:sz w:val="20"/>
                <w:szCs w:val="20"/>
                <w:color w:val="auto"/>
              </w:rPr>
            </w:pPr>
            <w:r>
              <w:rPr>
                <w:rFonts w:ascii="Arial" w:cs="Arial" w:eastAsia="Arial" w:hAnsi="Arial"/>
                <w:sz w:val="14"/>
                <w:szCs w:val="14"/>
                <w:color w:val="auto"/>
              </w:rPr>
              <w:t>Net Cash, G&amp;A</w:t>
            </w:r>
            <w:r>
              <w:rPr>
                <w:rFonts w:ascii="Arial" w:cs="Arial" w:eastAsia="Arial" w:hAnsi="Arial"/>
                <w:sz w:val="21"/>
                <w:szCs w:val="21"/>
                <w:color w:val="auto"/>
                <w:vertAlign w:val="superscript"/>
              </w:rPr>
              <w:t>(1)</w:t>
            </w:r>
            <w:r>
              <w:rPr>
                <w:rFonts w:ascii="Arial" w:cs="Arial" w:eastAsia="Arial" w:hAnsi="Arial"/>
                <w:sz w:val="14"/>
                <w:szCs w:val="14"/>
                <w:color w:val="auto"/>
              </w:rPr>
              <w:t xml:space="preserve"> $60 million, which includes</w:t>
            </w:r>
          </w:p>
        </w:tc>
        <w:tc>
          <w:tcPr>
            <w:tcW w:w="180" w:type="dxa"/>
            <w:vAlign w:val="bottom"/>
            <w:tcBorders>
              <w:right w:val="single" w:sz="8" w:color="auto"/>
            </w:tcBorders>
          </w:tcPr>
          <w:p>
            <w:pPr>
              <w:spacing w:after="0"/>
              <w:rPr>
                <w:sz w:val="16"/>
                <w:szCs w:val="16"/>
                <w:color w:val="auto"/>
              </w:rPr>
            </w:pPr>
          </w:p>
        </w:tc>
      </w:tr>
      <w:tr>
        <w:trPr>
          <w:trHeight w:val="214"/>
        </w:trPr>
        <w:tc>
          <w:tcPr>
            <w:tcW w:w="20" w:type="dxa"/>
            <w:vAlign w:val="bottom"/>
            <w:shd w:val="clear" w:color="auto" w:fill="000000"/>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160" w:type="dxa"/>
            <w:vAlign w:val="bottom"/>
          </w:tcPr>
          <w:p>
            <w:pPr>
              <w:ind w:left="120"/>
              <w:spacing w:after="0" w:line="213" w:lineRule="exact"/>
              <w:rPr>
                <w:sz w:val="20"/>
                <w:szCs w:val="20"/>
                <w:color w:val="auto"/>
              </w:rPr>
            </w:pPr>
            <w:r>
              <w:rPr>
                <w:rFonts w:ascii="Arial" w:cs="Arial" w:eastAsia="Arial" w:hAnsi="Arial"/>
                <w:sz w:val="15"/>
                <w:szCs w:val="15"/>
                <w:color w:val="auto"/>
              </w:rPr>
              <w:t>(G&amp;A)</w:t>
            </w:r>
            <w:r>
              <w:rPr>
                <w:rFonts w:ascii="Arial" w:cs="Arial" w:eastAsia="Arial" w:hAnsi="Arial"/>
                <w:sz w:val="24"/>
                <w:szCs w:val="24"/>
                <w:color w:val="auto"/>
                <w:vertAlign w:val="superscript"/>
              </w:rPr>
              <w:t>(1)</w:t>
            </w:r>
            <w:r>
              <w:rPr>
                <w:rFonts w:ascii="Arial" w:cs="Arial" w:eastAsia="Arial" w:hAnsi="Arial"/>
                <w:sz w:val="15"/>
                <w:szCs w:val="15"/>
                <w:color w:val="auto"/>
              </w:rPr>
              <w:t xml:space="preserve"> expense of $55 million</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00FF0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shd w:val="clear" w:color="auto" w:fill="00FF00"/>
          </w:tcPr>
          <w:p>
            <w:pPr>
              <w:spacing w:after="0"/>
              <w:rPr>
                <w:sz w:val="18"/>
                <w:szCs w:val="18"/>
                <w:color w:val="auto"/>
              </w:rPr>
            </w:pPr>
          </w:p>
        </w:tc>
        <w:tc>
          <w:tcPr>
            <w:tcW w:w="100" w:type="dxa"/>
            <w:vAlign w:val="bottom"/>
            <w:shd w:val="clear" w:color="auto" w:fill="00FF00"/>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580" w:type="dxa"/>
            <w:vAlign w:val="bottom"/>
          </w:tcPr>
          <w:p>
            <w:pPr>
              <w:ind w:left="80"/>
              <w:spacing w:after="0"/>
              <w:rPr>
                <w:sz w:val="20"/>
                <w:szCs w:val="20"/>
                <w:color w:val="auto"/>
              </w:rPr>
            </w:pPr>
            <w:r>
              <w:rPr>
                <w:rFonts w:ascii="Arial" w:cs="Arial" w:eastAsia="Arial" w:hAnsi="Arial"/>
                <w:sz w:val="16"/>
                <w:szCs w:val="16"/>
                <w:color w:val="auto"/>
              </w:rPr>
              <w:t>non-budgeted discretionary cash bonuses of</w:t>
            </w:r>
          </w:p>
        </w:tc>
        <w:tc>
          <w:tcPr>
            <w:tcW w:w="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173"/>
        </w:trPr>
        <w:tc>
          <w:tcPr>
            <w:tcW w:w="20" w:type="dxa"/>
            <w:vAlign w:val="bottom"/>
            <w:shd w:val="clear" w:color="auto" w:fill="000000"/>
          </w:tcPr>
          <w:p>
            <w:pPr>
              <w:spacing w:after="0"/>
              <w:rPr>
                <w:sz w:val="15"/>
                <w:szCs w:val="15"/>
                <w:color w:val="auto"/>
              </w:rPr>
            </w:pPr>
          </w:p>
        </w:tc>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shd w:val="clear" w:color="auto" w:fill="00FF00"/>
          </w:tcPr>
          <w:p>
            <w:pPr>
              <w:spacing w:after="0"/>
              <w:rPr>
                <w:sz w:val="15"/>
                <w:szCs w:val="15"/>
                <w:color w:val="auto"/>
              </w:rPr>
            </w:pPr>
          </w:p>
        </w:tc>
        <w:tc>
          <w:tcPr>
            <w:tcW w:w="1060" w:type="dxa"/>
            <w:vAlign w:val="bottom"/>
            <w:shd w:val="clear" w:color="auto" w:fill="00FF00"/>
          </w:tcPr>
          <w:p>
            <w:pPr>
              <w:spacing w:after="0"/>
              <w:rPr>
                <w:sz w:val="15"/>
                <w:szCs w:val="15"/>
                <w:color w:val="auto"/>
              </w:rPr>
            </w:pPr>
          </w:p>
        </w:tc>
        <w:tc>
          <w:tcPr>
            <w:tcW w:w="100" w:type="dxa"/>
            <w:vAlign w:val="bottom"/>
            <w:shd w:val="clear" w:color="auto" w:fill="00FF00"/>
          </w:tcPr>
          <w:p>
            <w:pPr>
              <w:spacing w:after="0"/>
              <w:rPr>
                <w:sz w:val="15"/>
                <w:szCs w:val="15"/>
                <w:color w:val="auto"/>
              </w:rPr>
            </w:pPr>
          </w:p>
        </w:tc>
        <w:tc>
          <w:tcPr>
            <w:tcW w:w="20" w:type="dxa"/>
            <w:vAlign w:val="bottom"/>
            <w:shd w:val="clear" w:color="auto" w:fill="2A3D6C"/>
          </w:tcPr>
          <w:p>
            <w:pPr>
              <w:spacing w:after="0"/>
              <w:rPr>
                <w:sz w:val="15"/>
                <w:szCs w:val="15"/>
                <w:color w:val="auto"/>
              </w:rPr>
            </w:pPr>
          </w:p>
        </w:tc>
        <w:tc>
          <w:tcPr>
            <w:tcW w:w="3580" w:type="dxa"/>
            <w:vAlign w:val="bottom"/>
          </w:tcPr>
          <w:p>
            <w:pPr>
              <w:ind w:left="80"/>
              <w:spacing w:after="0" w:line="174" w:lineRule="exact"/>
              <w:rPr>
                <w:sz w:val="20"/>
                <w:szCs w:val="20"/>
                <w:color w:val="auto"/>
              </w:rPr>
            </w:pPr>
            <w:r>
              <w:rPr>
                <w:rFonts w:ascii="Arial" w:cs="Arial" w:eastAsia="Arial" w:hAnsi="Arial"/>
                <w:sz w:val="16"/>
                <w:szCs w:val="16"/>
                <w:color w:val="auto"/>
              </w:rPr>
              <w:t>~$6 million approved by the Compensation</w:t>
            </w:r>
          </w:p>
        </w:tc>
        <w:tc>
          <w:tcPr>
            <w:tcW w:w="180" w:type="dxa"/>
            <w:vAlign w:val="bottom"/>
            <w:tcBorders>
              <w:right w:val="single" w:sz="8" w:color="auto"/>
            </w:tcBorders>
          </w:tcPr>
          <w:p>
            <w:pPr>
              <w:spacing w:after="0"/>
              <w:rPr>
                <w:sz w:val="15"/>
                <w:szCs w:val="15"/>
                <w:color w:val="auto"/>
              </w:rPr>
            </w:pPr>
          </w:p>
        </w:tc>
      </w:tr>
      <w:tr>
        <w:trPr>
          <w:trHeight w:val="242"/>
        </w:trPr>
        <w:tc>
          <w:tcPr>
            <w:tcW w:w="20" w:type="dxa"/>
            <w:vAlign w:val="bottom"/>
            <w:tcBorders>
              <w:bottom w:val="single" w:sz="8" w:color="auto"/>
            </w:tcBorders>
            <w:shd w:val="clear" w:color="auto" w:fill="000000"/>
          </w:tcPr>
          <w:p>
            <w:pPr>
              <w:spacing w:after="0"/>
              <w:rPr>
                <w:sz w:val="21"/>
                <w:szCs w:val="21"/>
                <w:color w:val="auto"/>
              </w:rPr>
            </w:pPr>
          </w:p>
        </w:tc>
        <w:tc>
          <w:tcPr>
            <w:tcW w:w="3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00FF00"/>
            </w:tcBorders>
            <w:shd w:val="clear" w:color="auto" w:fill="00FF00"/>
          </w:tcPr>
          <w:p>
            <w:pPr>
              <w:spacing w:after="0"/>
              <w:rPr>
                <w:sz w:val="21"/>
                <w:szCs w:val="21"/>
                <w:color w:val="auto"/>
              </w:rPr>
            </w:pPr>
          </w:p>
        </w:tc>
        <w:tc>
          <w:tcPr>
            <w:tcW w:w="1060" w:type="dxa"/>
            <w:vAlign w:val="bottom"/>
            <w:tcBorders>
              <w:bottom w:val="single" w:sz="8" w:color="00FF00"/>
            </w:tcBorders>
            <w:shd w:val="clear" w:color="auto" w:fill="00FF00"/>
          </w:tcPr>
          <w:p>
            <w:pPr>
              <w:spacing w:after="0"/>
              <w:rPr>
                <w:sz w:val="21"/>
                <w:szCs w:val="21"/>
                <w:color w:val="auto"/>
              </w:rPr>
            </w:pPr>
          </w:p>
        </w:tc>
        <w:tc>
          <w:tcPr>
            <w:tcW w:w="100" w:type="dxa"/>
            <w:vAlign w:val="bottom"/>
            <w:tcBorders>
              <w:bottom w:val="single" w:sz="8" w:color="00FF00"/>
            </w:tcBorders>
            <w:shd w:val="clear" w:color="auto" w:fill="00FF00"/>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3580" w:type="dxa"/>
            <w:vAlign w:val="bottom"/>
          </w:tcPr>
          <w:p>
            <w:pPr>
              <w:ind w:left="80"/>
              <w:spacing w:after="0"/>
              <w:rPr>
                <w:sz w:val="20"/>
                <w:szCs w:val="20"/>
                <w:color w:val="auto"/>
              </w:rPr>
            </w:pPr>
            <w:r>
              <w:rPr>
                <w:rFonts w:ascii="Arial" w:cs="Arial" w:eastAsia="Arial" w:hAnsi="Arial"/>
                <w:sz w:val="16"/>
                <w:szCs w:val="16"/>
                <w:color w:val="auto"/>
              </w:rPr>
              <w:t>Committee for retention and performance.</w:t>
            </w:r>
          </w:p>
        </w:tc>
        <w:tc>
          <w:tcPr>
            <w:tcW w:w="180" w:type="dxa"/>
            <w:vAlign w:val="bottom"/>
            <w:tcBorders>
              <w:right w:val="single" w:sz="8" w:color="auto"/>
            </w:tcBorders>
          </w:tcPr>
          <w:p>
            <w:pPr>
              <w:spacing w:after="0"/>
              <w:rPr>
                <w:sz w:val="21"/>
                <w:szCs w:val="21"/>
                <w:color w:val="auto"/>
              </w:rPr>
            </w:pPr>
          </w:p>
        </w:tc>
      </w:tr>
      <w:tr>
        <w:trPr>
          <w:trHeight w:val="195"/>
        </w:trPr>
        <w:tc>
          <w:tcPr>
            <w:tcW w:w="20" w:type="dxa"/>
            <w:vAlign w:val="bottom"/>
            <w:tcBorders>
              <w:top w:val="single" w:sz="8" w:color="auto"/>
            </w:tcBorders>
            <w:shd w:val="clear" w:color="auto" w:fill="000000"/>
          </w:tcPr>
          <w:p>
            <w:pPr>
              <w:spacing w:after="0"/>
              <w:rPr>
                <w:sz w:val="16"/>
                <w:szCs w:val="16"/>
                <w:color w:val="auto"/>
              </w:rPr>
            </w:pPr>
          </w:p>
        </w:tc>
        <w:tc>
          <w:tcPr>
            <w:tcW w:w="3160" w:type="dxa"/>
            <w:vAlign w:val="bottom"/>
            <w:tcBorders>
              <w:top w:val="single" w:sz="8" w:color="2A3D6C"/>
            </w:tcBorders>
          </w:tcPr>
          <w:p>
            <w:pPr>
              <w:ind w:left="120"/>
              <w:spacing w:after="0"/>
              <w:rPr>
                <w:sz w:val="20"/>
                <w:szCs w:val="20"/>
                <w:color w:val="auto"/>
              </w:rPr>
            </w:pPr>
            <w:r>
              <w:rPr>
                <w:rFonts w:ascii="Arial" w:cs="Arial" w:eastAsia="Arial" w:hAnsi="Arial"/>
                <w:sz w:val="16"/>
                <w:szCs w:val="16"/>
                <w:color w:val="auto"/>
              </w:rPr>
              <w:t>Project Capital Expenditure (CapEx) of</w:t>
            </w:r>
          </w:p>
        </w:tc>
        <w:tc>
          <w:tcPr>
            <w:tcW w:w="140" w:type="dxa"/>
            <w:vAlign w:val="bottom"/>
            <w:tcBorders>
              <w:top w:val="single" w:sz="8" w:color="2A3D6C"/>
            </w:tcBorders>
          </w:tcPr>
          <w:p>
            <w:pPr>
              <w:spacing w:after="0"/>
              <w:rPr>
                <w:sz w:val="16"/>
                <w:szCs w:val="16"/>
                <w:color w:val="auto"/>
              </w:rPr>
            </w:pPr>
          </w:p>
        </w:tc>
        <w:tc>
          <w:tcPr>
            <w:tcW w:w="100" w:type="dxa"/>
            <w:vAlign w:val="bottom"/>
            <w:tcBorders>
              <w:top w:val="single" w:sz="8" w:color="2A3D6C"/>
            </w:tcBorders>
            <w:shd w:val="clear" w:color="auto" w:fill="00FF00"/>
          </w:tcPr>
          <w:p>
            <w:pPr>
              <w:spacing w:after="0"/>
              <w:rPr>
                <w:sz w:val="16"/>
                <w:szCs w:val="16"/>
                <w:color w:val="auto"/>
              </w:rPr>
            </w:pPr>
          </w:p>
        </w:tc>
        <w:tc>
          <w:tcPr>
            <w:tcW w:w="1060" w:type="dxa"/>
            <w:vAlign w:val="bottom"/>
            <w:tcBorders>
              <w:top w:val="single" w:sz="8" w:color="2A3D6C"/>
            </w:tcBorders>
            <w:shd w:val="clear" w:color="auto" w:fill="00FF00"/>
          </w:tcPr>
          <w:p>
            <w:pPr>
              <w:ind w:left="180"/>
              <w:spacing w:after="0"/>
              <w:rPr>
                <w:sz w:val="20"/>
                <w:szCs w:val="20"/>
                <w:color w:val="auto"/>
              </w:rPr>
            </w:pPr>
            <w:r>
              <w:rPr>
                <w:rFonts w:ascii="Arial" w:cs="Arial" w:eastAsia="Arial" w:hAnsi="Arial"/>
                <w:sz w:val="16"/>
                <w:szCs w:val="16"/>
                <w:b w:val="1"/>
                <w:bCs w:val="1"/>
                <w:color w:val="auto"/>
              </w:rPr>
              <w:t>Achieved</w:t>
            </w:r>
          </w:p>
        </w:tc>
        <w:tc>
          <w:tcPr>
            <w:tcW w:w="100" w:type="dxa"/>
            <w:vAlign w:val="bottom"/>
            <w:tcBorders>
              <w:top w:val="single" w:sz="8" w:color="2A3D6C"/>
            </w:tcBorders>
            <w:shd w:val="clear" w:color="auto" w:fill="00FF00"/>
          </w:tcPr>
          <w:p>
            <w:pPr>
              <w:spacing w:after="0"/>
              <w:rPr>
                <w:sz w:val="16"/>
                <w:szCs w:val="16"/>
                <w:color w:val="auto"/>
              </w:rPr>
            </w:pPr>
          </w:p>
        </w:tc>
        <w:tc>
          <w:tcPr>
            <w:tcW w:w="20" w:type="dxa"/>
            <w:vAlign w:val="bottom"/>
            <w:tcBorders>
              <w:top w:val="single" w:sz="8" w:color="2A3D6C"/>
            </w:tcBorders>
            <w:shd w:val="clear" w:color="auto" w:fill="2A3D6C"/>
          </w:tcPr>
          <w:p>
            <w:pPr>
              <w:spacing w:after="0"/>
              <w:rPr>
                <w:sz w:val="16"/>
                <w:szCs w:val="16"/>
                <w:color w:val="auto"/>
              </w:rPr>
            </w:pPr>
          </w:p>
        </w:tc>
        <w:tc>
          <w:tcPr>
            <w:tcW w:w="3580" w:type="dxa"/>
            <w:vAlign w:val="bottom"/>
            <w:tcBorders>
              <w:top w:val="single" w:sz="8" w:color="2A3D6C"/>
            </w:tcBorders>
          </w:tcPr>
          <w:p>
            <w:pPr>
              <w:ind w:left="80"/>
              <w:spacing w:after="0"/>
              <w:rPr>
                <w:sz w:val="20"/>
                <w:szCs w:val="20"/>
                <w:color w:val="auto"/>
              </w:rPr>
            </w:pPr>
            <w:r>
              <w:rPr>
                <w:rFonts w:ascii="Arial" w:cs="Arial" w:eastAsia="Arial" w:hAnsi="Arial"/>
                <w:sz w:val="16"/>
                <w:szCs w:val="16"/>
                <w:color w:val="auto"/>
              </w:rPr>
              <w:t>CapEx of $459 million. Base business capital</w:t>
            </w:r>
          </w:p>
        </w:tc>
        <w:tc>
          <w:tcPr>
            <w:tcW w:w="180" w:type="dxa"/>
            <w:vAlign w:val="bottom"/>
            <w:tcBorders>
              <w:top w:val="single" w:sz="8" w:color="2A3D6C"/>
              <w:right w:val="single" w:sz="8" w:color="auto"/>
            </w:tcBorders>
          </w:tcPr>
          <w:p>
            <w:pPr>
              <w:spacing w:after="0"/>
              <w:rPr>
                <w:sz w:val="16"/>
                <w:szCs w:val="16"/>
                <w:color w:val="auto"/>
              </w:rPr>
            </w:pPr>
          </w:p>
        </w:tc>
      </w:tr>
      <w:tr>
        <w:trPr>
          <w:trHeight w:val="199"/>
        </w:trPr>
        <w:tc>
          <w:tcPr>
            <w:tcW w:w="20" w:type="dxa"/>
            <w:vAlign w:val="bottom"/>
            <w:shd w:val="clear" w:color="auto" w:fill="000000"/>
          </w:tcPr>
          <w:p>
            <w:pPr>
              <w:spacing w:after="0"/>
              <w:rPr>
                <w:sz w:val="17"/>
                <w:szCs w:val="17"/>
                <w:color w:val="auto"/>
              </w:rPr>
            </w:pPr>
          </w:p>
        </w:tc>
        <w:tc>
          <w:tcPr>
            <w:tcW w:w="3160" w:type="dxa"/>
            <w:vAlign w:val="bottom"/>
          </w:tcPr>
          <w:p>
            <w:pPr>
              <w:ind w:left="120"/>
              <w:spacing w:after="0" w:line="199" w:lineRule="exact"/>
              <w:rPr>
                <w:sz w:val="20"/>
                <w:szCs w:val="20"/>
                <w:color w:val="auto"/>
              </w:rPr>
            </w:pPr>
            <w:r>
              <w:rPr>
                <w:rFonts w:ascii="Arial" w:cs="Arial" w:eastAsia="Arial" w:hAnsi="Arial"/>
                <w:sz w:val="15"/>
                <w:szCs w:val="15"/>
                <w:color w:val="auto"/>
              </w:rPr>
              <w:t>$387</w:t>
            </w:r>
            <w:r>
              <w:rPr>
                <w:rFonts w:ascii="Arial" w:cs="Arial" w:eastAsia="Arial" w:hAnsi="Arial"/>
                <w:sz w:val="23"/>
                <w:szCs w:val="23"/>
                <w:color w:val="auto"/>
                <w:vertAlign w:val="superscript"/>
              </w:rPr>
              <w:t>(4)</w:t>
            </w:r>
            <w:r>
              <w:rPr>
                <w:rFonts w:ascii="Arial" w:cs="Arial" w:eastAsia="Arial" w:hAnsi="Arial"/>
                <w:sz w:val="15"/>
                <w:szCs w:val="15"/>
                <w:color w:val="auto"/>
              </w:rPr>
              <w:t xml:space="preserve"> million</w:t>
            </w:r>
          </w:p>
        </w:tc>
        <w:tc>
          <w:tcPr>
            <w:tcW w:w="140" w:type="dxa"/>
            <w:vAlign w:val="bottom"/>
          </w:tcPr>
          <w:p>
            <w:pPr>
              <w:spacing w:after="0"/>
              <w:rPr>
                <w:sz w:val="17"/>
                <w:szCs w:val="17"/>
                <w:color w:val="auto"/>
              </w:rPr>
            </w:pPr>
          </w:p>
        </w:tc>
        <w:tc>
          <w:tcPr>
            <w:tcW w:w="100" w:type="dxa"/>
            <w:vAlign w:val="bottom"/>
            <w:shd w:val="clear" w:color="auto" w:fill="00FF00"/>
          </w:tcPr>
          <w:p>
            <w:pPr>
              <w:spacing w:after="0"/>
              <w:rPr>
                <w:sz w:val="17"/>
                <w:szCs w:val="17"/>
                <w:color w:val="auto"/>
              </w:rPr>
            </w:pPr>
          </w:p>
        </w:tc>
        <w:tc>
          <w:tcPr>
            <w:tcW w:w="1060" w:type="dxa"/>
            <w:vAlign w:val="bottom"/>
            <w:shd w:val="clear" w:color="auto" w:fill="00FF00"/>
          </w:tcPr>
          <w:p>
            <w:pPr>
              <w:spacing w:after="0"/>
              <w:rPr>
                <w:sz w:val="17"/>
                <w:szCs w:val="17"/>
                <w:color w:val="auto"/>
              </w:rPr>
            </w:pPr>
          </w:p>
        </w:tc>
        <w:tc>
          <w:tcPr>
            <w:tcW w:w="100" w:type="dxa"/>
            <w:vAlign w:val="bottom"/>
            <w:shd w:val="clear" w:color="auto" w:fill="00FF00"/>
          </w:tcPr>
          <w:p>
            <w:pPr>
              <w:spacing w:after="0"/>
              <w:rPr>
                <w:sz w:val="17"/>
                <w:szCs w:val="17"/>
                <w:color w:val="auto"/>
              </w:rPr>
            </w:pPr>
          </w:p>
        </w:tc>
        <w:tc>
          <w:tcPr>
            <w:tcW w:w="20" w:type="dxa"/>
            <w:vAlign w:val="bottom"/>
            <w:shd w:val="clear" w:color="auto" w:fill="2A3D6C"/>
          </w:tcPr>
          <w:p>
            <w:pPr>
              <w:spacing w:after="0"/>
              <w:rPr>
                <w:sz w:val="17"/>
                <w:szCs w:val="17"/>
                <w:color w:val="auto"/>
              </w:rPr>
            </w:pPr>
          </w:p>
        </w:tc>
        <w:tc>
          <w:tcPr>
            <w:tcW w:w="3580" w:type="dxa"/>
            <w:vAlign w:val="bottom"/>
          </w:tcPr>
          <w:p>
            <w:pPr>
              <w:ind w:left="80"/>
              <w:spacing w:after="0"/>
              <w:rPr>
                <w:sz w:val="20"/>
                <w:szCs w:val="20"/>
                <w:color w:val="auto"/>
              </w:rPr>
            </w:pPr>
            <w:r>
              <w:rPr>
                <w:rFonts w:ascii="Arial" w:cs="Arial" w:eastAsia="Arial" w:hAnsi="Arial"/>
                <w:sz w:val="16"/>
                <w:szCs w:val="16"/>
                <w:color w:val="auto"/>
              </w:rPr>
              <w:t>expenditures of ~$270 million were in line with</w:t>
            </w:r>
          </w:p>
        </w:tc>
        <w:tc>
          <w:tcPr>
            <w:tcW w:w="180" w:type="dxa"/>
            <w:vAlign w:val="bottom"/>
            <w:tcBorders>
              <w:right w:val="single" w:sz="8" w:color="auto"/>
            </w:tcBorders>
          </w:tcPr>
          <w:p>
            <w:pPr>
              <w:spacing w:after="0"/>
              <w:rPr>
                <w:sz w:val="17"/>
                <w:szCs w:val="17"/>
                <w:color w:val="auto"/>
              </w:rPr>
            </w:pPr>
          </w:p>
        </w:tc>
      </w:tr>
      <w:tr>
        <w:trPr>
          <w:trHeight w:val="187"/>
        </w:trPr>
        <w:tc>
          <w:tcPr>
            <w:tcW w:w="20" w:type="dxa"/>
            <w:vAlign w:val="bottom"/>
            <w:shd w:val="clear" w:color="auto" w:fill="000000"/>
          </w:tcPr>
          <w:p>
            <w:pPr>
              <w:spacing w:after="0"/>
              <w:rPr>
                <w:sz w:val="16"/>
                <w:szCs w:val="16"/>
                <w:color w:val="auto"/>
              </w:rPr>
            </w:pPr>
          </w:p>
        </w:tc>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60" w:type="dxa"/>
            <w:vAlign w:val="bottom"/>
            <w:shd w:val="clear" w:color="auto" w:fill="00FF00"/>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580" w:type="dxa"/>
            <w:vAlign w:val="bottom"/>
          </w:tcPr>
          <w:p>
            <w:pPr>
              <w:ind w:left="80"/>
              <w:spacing w:after="0"/>
              <w:rPr>
                <w:sz w:val="20"/>
                <w:szCs w:val="20"/>
                <w:color w:val="auto"/>
              </w:rPr>
            </w:pPr>
            <w:r>
              <w:rPr>
                <w:rFonts w:ascii="Arial" w:cs="Arial" w:eastAsia="Arial" w:hAnsi="Arial"/>
                <w:sz w:val="16"/>
                <w:szCs w:val="16"/>
                <w:color w:val="auto"/>
              </w:rPr>
              <w:t>budget and gross M|S capital expenditures of</w:t>
            </w:r>
          </w:p>
        </w:tc>
        <w:tc>
          <w:tcPr>
            <w:tcW w:w="180" w:type="dxa"/>
            <w:vAlign w:val="bottom"/>
            <w:tcBorders>
              <w:right w:val="single" w:sz="8" w:color="auto"/>
            </w:tcBorders>
          </w:tcPr>
          <w:p>
            <w:pPr>
              <w:spacing w:after="0"/>
              <w:rPr>
                <w:sz w:val="16"/>
                <w:szCs w:val="16"/>
                <w:color w:val="auto"/>
              </w:rPr>
            </w:pPr>
          </w:p>
        </w:tc>
      </w:tr>
      <w:tr>
        <w:trPr>
          <w:trHeight w:val="187"/>
        </w:trPr>
        <w:tc>
          <w:tcPr>
            <w:tcW w:w="20" w:type="dxa"/>
            <w:vAlign w:val="bottom"/>
            <w:shd w:val="clear" w:color="auto" w:fill="000000"/>
          </w:tcPr>
          <w:p>
            <w:pPr>
              <w:spacing w:after="0"/>
              <w:rPr>
                <w:sz w:val="16"/>
                <w:szCs w:val="16"/>
                <w:color w:val="auto"/>
              </w:rPr>
            </w:pPr>
          </w:p>
        </w:tc>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60" w:type="dxa"/>
            <w:vAlign w:val="bottom"/>
            <w:shd w:val="clear" w:color="auto" w:fill="00FF00"/>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580" w:type="dxa"/>
            <w:vAlign w:val="bottom"/>
          </w:tcPr>
          <w:p>
            <w:pPr>
              <w:ind w:left="80"/>
              <w:spacing w:after="0"/>
              <w:rPr>
                <w:sz w:val="20"/>
                <w:szCs w:val="20"/>
                <w:color w:val="auto"/>
              </w:rPr>
            </w:pPr>
            <w:r>
              <w:rPr>
                <w:rFonts w:ascii="Arial" w:cs="Arial" w:eastAsia="Arial" w:hAnsi="Arial"/>
                <w:sz w:val="16"/>
                <w:szCs w:val="16"/>
                <w:color w:val="auto"/>
              </w:rPr>
              <w:t>~$171 million was also in line with approved</w:t>
            </w:r>
          </w:p>
        </w:tc>
        <w:tc>
          <w:tcPr>
            <w:tcW w:w="180" w:type="dxa"/>
            <w:vAlign w:val="bottom"/>
            <w:tcBorders>
              <w:right w:val="single" w:sz="8" w:color="auto"/>
            </w:tcBorders>
          </w:tcPr>
          <w:p>
            <w:pPr>
              <w:spacing w:after="0"/>
              <w:rPr>
                <w:sz w:val="16"/>
                <w:szCs w:val="16"/>
                <w:color w:val="auto"/>
              </w:rPr>
            </w:pPr>
          </w:p>
        </w:tc>
      </w:tr>
      <w:tr>
        <w:trPr>
          <w:trHeight w:val="187"/>
        </w:trPr>
        <w:tc>
          <w:tcPr>
            <w:tcW w:w="20" w:type="dxa"/>
            <w:vAlign w:val="bottom"/>
            <w:shd w:val="clear" w:color="auto" w:fill="000000"/>
          </w:tcPr>
          <w:p>
            <w:pPr>
              <w:spacing w:after="0"/>
              <w:rPr>
                <w:sz w:val="16"/>
                <w:szCs w:val="16"/>
                <w:color w:val="auto"/>
              </w:rPr>
            </w:pPr>
          </w:p>
        </w:tc>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60" w:type="dxa"/>
            <w:vAlign w:val="bottom"/>
            <w:shd w:val="clear" w:color="auto" w:fill="00FF00"/>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580" w:type="dxa"/>
            <w:vAlign w:val="bottom"/>
          </w:tcPr>
          <w:p>
            <w:pPr>
              <w:ind w:left="80"/>
              <w:spacing w:after="0"/>
              <w:rPr>
                <w:sz w:val="20"/>
                <w:szCs w:val="20"/>
                <w:color w:val="auto"/>
              </w:rPr>
            </w:pPr>
            <w:r>
              <w:rPr>
                <w:rFonts w:ascii="Arial" w:cs="Arial" w:eastAsia="Arial" w:hAnsi="Arial"/>
                <w:sz w:val="16"/>
                <w:szCs w:val="16"/>
                <w:color w:val="auto"/>
              </w:rPr>
              <w:t>budget, however the net amount reflected</w:t>
            </w:r>
          </w:p>
        </w:tc>
        <w:tc>
          <w:tcPr>
            <w:tcW w:w="180" w:type="dxa"/>
            <w:vAlign w:val="bottom"/>
            <w:tcBorders>
              <w:right w:val="single" w:sz="8" w:color="auto"/>
            </w:tcBorders>
          </w:tcPr>
          <w:p>
            <w:pPr>
              <w:spacing w:after="0"/>
              <w:rPr>
                <w:sz w:val="16"/>
                <w:szCs w:val="16"/>
                <w:color w:val="auto"/>
              </w:rPr>
            </w:pPr>
          </w:p>
        </w:tc>
      </w:tr>
      <w:tr>
        <w:trPr>
          <w:trHeight w:val="187"/>
        </w:trPr>
        <w:tc>
          <w:tcPr>
            <w:tcW w:w="20" w:type="dxa"/>
            <w:vAlign w:val="bottom"/>
            <w:shd w:val="clear" w:color="auto" w:fill="000000"/>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16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00FF0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shd w:val="clear" w:color="auto" w:fill="00FF00"/>
          </w:tcPr>
          <w:p>
            <w:pPr>
              <w:spacing w:after="0"/>
              <w:rPr>
                <w:sz w:val="16"/>
                <w:szCs w:val="16"/>
                <w:color w:val="auto"/>
              </w:rPr>
            </w:pPr>
          </w:p>
        </w:tc>
        <w:tc>
          <w:tcPr>
            <w:tcW w:w="100" w:type="dxa"/>
            <w:vAlign w:val="bottom"/>
            <w:shd w:val="clear" w:color="auto" w:fill="00FF00"/>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580" w:type="dxa"/>
            <w:vAlign w:val="bottom"/>
          </w:tcPr>
          <w:p>
            <w:pPr>
              <w:ind w:left="80"/>
              <w:spacing w:after="0"/>
              <w:rPr>
                <w:sz w:val="20"/>
                <w:szCs w:val="20"/>
                <w:color w:val="auto"/>
              </w:rPr>
            </w:pPr>
            <w:r>
              <w:rPr>
                <w:rFonts w:ascii="Arial" w:cs="Arial" w:eastAsia="Arial" w:hAnsi="Arial"/>
                <w:sz w:val="16"/>
                <w:szCs w:val="16"/>
                <w:color w:val="auto"/>
              </w:rPr>
              <w:t>increased capital due to delayed timing of FPSO</w:t>
            </w:r>
          </w:p>
        </w:tc>
        <w:tc>
          <w:tcPr>
            <w:tcW w:w="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187"/>
        </w:trPr>
        <w:tc>
          <w:tcPr>
            <w:tcW w:w="20" w:type="dxa"/>
            <w:vAlign w:val="bottom"/>
            <w:shd w:val="clear" w:color="auto" w:fill="000000"/>
          </w:tcPr>
          <w:p>
            <w:pPr>
              <w:spacing w:after="0"/>
              <w:rPr>
                <w:sz w:val="16"/>
                <w:szCs w:val="16"/>
                <w:color w:val="auto"/>
              </w:rPr>
            </w:pPr>
          </w:p>
        </w:tc>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60" w:type="dxa"/>
            <w:vAlign w:val="bottom"/>
            <w:shd w:val="clear" w:color="auto" w:fill="00FF00"/>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580" w:type="dxa"/>
            <w:vAlign w:val="bottom"/>
          </w:tcPr>
          <w:p>
            <w:pPr>
              <w:ind w:left="80"/>
              <w:spacing w:after="0"/>
              <w:rPr>
                <w:sz w:val="20"/>
                <w:szCs w:val="20"/>
                <w:color w:val="auto"/>
              </w:rPr>
            </w:pPr>
            <w:r>
              <w:rPr>
                <w:rFonts w:ascii="Arial" w:cs="Arial" w:eastAsia="Arial" w:hAnsi="Arial"/>
                <w:sz w:val="16"/>
                <w:szCs w:val="16"/>
                <w:color w:val="auto"/>
              </w:rPr>
              <w:t>sale and leaseback transaction (completed in 3Q</w:t>
            </w:r>
          </w:p>
        </w:tc>
        <w:tc>
          <w:tcPr>
            <w:tcW w:w="180" w:type="dxa"/>
            <w:vAlign w:val="bottom"/>
            <w:tcBorders>
              <w:right w:val="single" w:sz="8" w:color="auto"/>
            </w:tcBorders>
          </w:tcPr>
          <w:p>
            <w:pPr>
              <w:spacing w:after="0"/>
              <w:rPr>
                <w:sz w:val="16"/>
                <w:szCs w:val="16"/>
                <w:color w:val="auto"/>
              </w:rPr>
            </w:pPr>
          </w:p>
        </w:tc>
      </w:tr>
      <w:tr>
        <w:trPr>
          <w:trHeight w:val="187"/>
        </w:trPr>
        <w:tc>
          <w:tcPr>
            <w:tcW w:w="20" w:type="dxa"/>
            <w:vAlign w:val="bottom"/>
            <w:shd w:val="clear" w:color="auto" w:fill="000000"/>
          </w:tcPr>
          <w:p>
            <w:pPr>
              <w:spacing w:after="0"/>
              <w:rPr>
                <w:sz w:val="16"/>
                <w:szCs w:val="16"/>
                <w:color w:val="auto"/>
              </w:rPr>
            </w:pPr>
          </w:p>
        </w:tc>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60" w:type="dxa"/>
            <w:vAlign w:val="bottom"/>
            <w:shd w:val="clear" w:color="auto" w:fill="00FF00"/>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580" w:type="dxa"/>
            <w:vAlign w:val="bottom"/>
          </w:tcPr>
          <w:p>
            <w:pPr>
              <w:ind w:left="80"/>
              <w:spacing w:after="0"/>
              <w:rPr>
                <w:sz w:val="20"/>
                <w:szCs w:val="20"/>
                <w:color w:val="auto"/>
              </w:rPr>
            </w:pPr>
            <w:r>
              <w:rPr>
                <w:rFonts w:ascii="Arial" w:cs="Arial" w:eastAsia="Arial" w:hAnsi="Arial"/>
                <w:sz w:val="16"/>
                <w:szCs w:val="16"/>
                <w:color w:val="auto"/>
              </w:rPr>
              <w:t>vs budgeted at end of 1Q). The Company also</w:t>
            </w:r>
          </w:p>
        </w:tc>
        <w:tc>
          <w:tcPr>
            <w:tcW w:w="180" w:type="dxa"/>
            <w:vAlign w:val="bottom"/>
            <w:tcBorders>
              <w:right w:val="single" w:sz="8" w:color="auto"/>
            </w:tcBorders>
          </w:tcPr>
          <w:p>
            <w:pPr>
              <w:spacing w:after="0"/>
              <w:rPr>
                <w:sz w:val="16"/>
                <w:szCs w:val="16"/>
                <w:color w:val="auto"/>
              </w:rPr>
            </w:pPr>
          </w:p>
        </w:tc>
      </w:tr>
      <w:tr>
        <w:trPr>
          <w:trHeight w:val="187"/>
        </w:trPr>
        <w:tc>
          <w:tcPr>
            <w:tcW w:w="20" w:type="dxa"/>
            <w:vAlign w:val="bottom"/>
            <w:shd w:val="clear" w:color="auto" w:fill="000000"/>
          </w:tcPr>
          <w:p>
            <w:pPr>
              <w:spacing w:after="0"/>
              <w:rPr>
                <w:sz w:val="16"/>
                <w:szCs w:val="16"/>
                <w:color w:val="auto"/>
              </w:rPr>
            </w:pPr>
          </w:p>
        </w:tc>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60" w:type="dxa"/>
            <w:vAlign w:val="bottom"/>
            <w:shd w:val="clear" w:color="auto" w:fill="00FF00"/>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580" w:type="dxa"/>
            <w:vAlign w:val="bottom"/>
          </w:tcPr>
          <w:p>
            <w:pPr>
              <w:ind w:left="80"/>
              <w:spacing w:after="0"/>
              <w:rPr>
                <w:sz w:val="20"/>
                <w:szCs w:val="20"/>
                <w:color w:val="auto"/>
              </w:rPr>
            </w:pPr>
            <w:r>
              <w:rPr>
                <w:rFonts w:ascii="Arial" w:cs="Arial" w:eastAsia="Arial" w:hAnsi="Arial"/>
                <w:sz w:val="16"/>
                <w:szCs w:val="16"/>
                <w:color w:val="auto"/>
              </w:rPr>
              <w:t>incurred an additional $18 million of unbudgeted</w:t>
            </w:r>
          </w:p>
        </w:tc>
        <w:tc>
          <w:tcPr>
            <w:tcW w:w="180" w:type="dxa"/>
            <w:vAlign w:val="bottom"/>
            <w:tcBorders>
              <w:right w:val="single" w:sz="8" w:color="auto"/>
            </w:tcBorders>
          </w:tcPr>
          <w:p>
            <w:pPr>
              <w:spacing w:after="0"/>
              <w:rPr>
                <w:sz w:val="16"/>
                <w:szCs w:val="16"/>
                <w:color w:val="auto"/>
              </w:rPr>
            </w:pPr>
          </w:p>
        </w:tc>
      </w:tr>
      <w:tr>
        <w:trPr>
          <w:trHeight w:val="187"/>
        </w:trPr>
        <w:tc>
          <w:tcPr>
            <w:tcW w:w="20" w:type="dxa"/>
            <w:vAlign w:val="bottom"/>
            <w:shd w:val="clear" w:color="auto" w:fill="000000"/>
          </w:tcPr>
          <w:p>
            <w:pPr>
              <w:spacing w:after="0"/>
              <w:rPr>
                <w:sz w:val="16"/>
                <w:szCs w:val="16"/>
                <w:color w:val="auto"/>
              </w:rPr>
            </w:pPr>
          </w:p>
        </w:tc>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60" w:type="dxa"/>
            <w:vAlign w:val="bottom"/>
            <w:shd w:val="clear" w:color="auto" w:fill="00FF00"/>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580" w:type="dxa"/>
            <w:vAlign w:val="bottom"/>
          </w:tcPr>
          <w:p>
            <w:pPr>
              <w:ind w:left="80"/>
              <w:spacing w:after="0"/>
              <w:rPr>
                <w:sz w:val="20"/>
                <w:szCs w:val="20"/>
                <w:color w:val="auto"/>
              </w:rPr>
            </w:pPr>
            <w:r>
              <w:rPr>
                <w:rFonts w:ascii="Arial" w:cs="Arial" w:eastAsia="Arial" w:hAnsi="Arial"/>
                <w:sz w:val="16"/>
                <w:szCs w:val="16"/>
                <w:color w:val="auto"/>
              </w:rPr>
              <w:t>capital expenditures for additional Ghana</w:t>
            </w:r>
          </w:p>
        </w:tc>
        <w:tc>
          <w:tcPr>
            <w:tcW w:w="180" w:type="dxa"/>
            <w:vAlign w:val="bottom"/>
            <w:tcBorders>
              <w:right w:val="single" w:sz="8" w:color="auto"/>
            </w:tcBorders>
          </w:tcPr>
          <w:p>
            <w:pPr>
              <w:spacing w:after="0"/>
              <w:rPr>
                <w:sz w:val="16"/>
                <w:szCs w:val="16"/>
                <w:color w:val="auto"/>
              </w:rPr>
            </w:pPr>
          </w:p>
        </w:tc>
      </w:tr>
      <w:tr>
        <w:trPr>
          <w:trHeight w:val="228"/>
        </w:trPr>
        <w:tc>
          <w:tcPr>
            <w:tcW w:w="20" w:type="dxa"/>
            <w:vAlign w:val="bottom"/>
            <w:shd w:val="clear" w:color="auto" w:fill="000000"/>
          </w:tcPr>
          <w:p>
            <w:pPr>
              <w:spacing w:after="0"/>
              <w:rPr>
                <w:sz w:val="19"/>
                <w:szCs w:val="19"/>
                <w:color w:val="auto"/>
              </w:rPr>
            </w:pPr>
          </w:p>
        </w:tc>
        <w:tc>
          <w:tcPr>
            <w:tcW w:w="3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shd w:val="clear" w:color="auto" w:fill="00FF00"/>
          </w:tcPr>
          <w:p>
            <w:pPr>
              <w:spacing w:after="0"/>
              <w:rPr>
                <w:sz w:val="19"/>
                <w:szCs w:val="19"/>
                <w:color w:val="auto"/>
              </w:rPr>
            </w:pPr>
          </w:p>
        </w:tc>
        <w:tc>
          <w:tcPr>
            <w:tcW w:w="1060" w:type="dxa"/>
            <w:vAlign w:val="bottom"/>
            <w:shd w:val="clear" w:color="auto" w:fill="00FF00"/>
          </w:tcPr>
          <w:p>
            <w:pPr>
              <w:spacing w:after="0"/>
              <w:rPr>
                <w:sz w:val="19"/>
                <w:szCs w:val="19"/>
                <w:color w:val="auto"/>
              </w:rPr>
            </w:pPr>
          </w:p>
        </w:tc>
        <w:tc>
          <w:tcPr>
            <w:tcW w:w="100" w:type="dxa"/>
            <w:vAlign w:val="bottom"/>
            <w:shd w:val="clear" w:color="auto" w:fill="00FF00"/>
          </w:tcPr>
          <w:p>
            <w:pPr>
              <w:spacing w:after="0"/>
              <w:rPr>
                <w:sz w:val="19"/>
                <w:szCs w:val="19"/>
                <w:color w:val="auto"/>
              </w:rPr>
            </w:pPr>
          </w:p>
        </w:tc>
        <w:tc>
          <w:tcPr>
            <w:tcW w:w="20" w:type="dxa"/>
            <w:vAlign w:val="bottom"/>
            <w:shd w:val="clear" w:color="auto" w:fill="2A3D6C"/>
          </w:tcPr>
          <w:p>
            <w:pPr>
              <w:spacing w:after="0"/>
              <w:rPr>
                <w:sz w:val="19"/>
                <w:szCs w:val="19"/>
                <w:color w:val="auto"/>
              </w:rPr>
            </w:pPr>
          </w:p>
        </w:tc>
        <w:tc>
          <w:tcPr>
            <w:tcW w:w="3580" w:type="dxa"/>
            <w:vAlign w:val="bottom"/>
          </w:tcPr>
          <w:p>
            <w:pPr>
              <w:ind w:left="80"/>
              <w:spacing w:after="0"/>
              <w:rPr>
                <w:sz w:val="20"/>
                <w:szCs w:val="20"/>
                <w:color w:val="auto"/>
              </w:rPr>
            </w:pPr>
            <w:r>
              <w:rPr>
                <w:rFonts w:ascii="Arial" w:cs="Arial" w:eastAsia="Arial" w:hAnsi="Arial"/>
                <w:sz w:val="16"/>
                <w:szCs w:val="16"/>
                <w:color w:val="auto"/>
              </w:rPr>
              <w:t>interests acquired from Oxy in 2021.</w:t>
            </w:r>
          </w:p>
        </w:tc>
        <w:tc>
          <w:tcPr>
            <w:tcW w:w="180" w:type="dxa"/>
            <w:vAlign w:val="bottom"/>
            <w:tcBorders>
              <w:right w:val="single" w:sz="8" w:color="auto"/>
            </w:tcBorders>
          </w:tcPr>
          <w:p>
            <w:pPr>
              <w:spacing w:after="0"/>
              <w:rPr>
                <w:sz w:val="19"/>
                <w:szCs w:val="19"/>
                <w:color w:val="auto"/>
              </w:rPr>
            </w:pPr>
          </w:p>
        </w:tc>
      </w:tr>
      <w:tr>
        <w:trPr>
          <w:trHeight w:val="131"/>
        </w:trPr>
        <w:tc>
          <w:tcPr>
            <w:tcW w:w="20" w:type="dxa"/>
            <w:vAlign w:val="bottom"/>
            <w:shd w:val="clear" w:color="auto" w:fill="000000"/>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160" w:type="dxa"/>
            <w:vAlign w:val="bottom"/>
            <w:gridSpan w:val="7"/>
            <w:shd w:val="clear" w:color="auto" w:fill="606489"/>
          </w:tcPr>
          <w:p>
            <w:pPr>
              <w:ind w:left="1280"/>
              <w:spacing w:after="0" w:line="121" w:lineRule="exact"/>
              <w:rPr>
                <w:sz w:val="20"/>
                <w:szCs w:val="20"/>
                <w:color w:val="auto"/>
              </w:rPr>
            </w:pPr>
            <w:r>
              <w:rPr>
                <w:rFonts w:ascii="Arial" w:cs="Arial" w:eastAsia="Arial" w:hAnsi="Arial"/>
                <w:sz w:val="13"/>
                <w:szCs w:val="13"/>
                <w:b w:val="1"/>
                <w:bCs w:val="1"/>
                <w:color w:val="FFFFFF"/>
              </w:rPr>
              <w:t>Deliver 2021 Corporate Targets and Maintain Long Term Financial Liquidity</w:t>
            </w:r>
          </w:p>
        </w:tc>
        <w:tc>
          <w:tcPr>
            <w:tcW w:w="180" w:type="dxa"/>
            <w:vAlign w:val="bottom"/>
            <w:tcBorders>
              <w:right w:val="single" w:sz="8" w:color="auto"/>
            </w:tcBorders>
            <w:shd w:val="clear" w:color="auto" w:fill="606489"/>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111"/>
        </w:trPr>
        <w:tc>
          <w:tcPr>
            <w:tcW w:w="20" w:type="dxa"/>
            <w:vAlign w:val="bottom"/>
            <w:shd w:val="clear" w:color="auto" w:fill="000000"/>
          </w:tcPr>
          <w:p>
            <w:pPr>
              <w:spacing w:after="0"/>
              <w:rPr>
                <w:sz w:val="9"/>
                <w:szCs w:val="9"/>
                <w:color w:val="auto"/>
              </w:rPr>
            </w:pPr>
          </w:p>
        </w:tc>
        <w:tc>
          <w:tcPr>
            <w:tcW w:w="3160" w:type="dxa"/>
            <w:vAlign w:val="bottom"/>
            <w:shd w:val="clear" w:color="auto" w:fill="606489"/>
          </w:tcPr>
          <w:p>
            <w:pPr>
              <w:spacing w:after="0"/>
              <w:rPr>
                <w:sz w:val="9"/>
                <w:szCs w:val="9"/>
                <w:color w:val="auto"/>
              </w:rPr>
            </w:pPr>
          </w:p>
        </w:tc>
        <w:tc>
          <w:tcPr>
            <w:tcW w:w="140" w:type="dxa"/>
            <w:vAlign w:val="bottom"/>
            <w:shd w:val="clear" w:color="auto" w:fill="606489"/>
          </w:tcPr>
          <w:p>
            <w:pPr>
              <w:spacing w:after="0"/>
              <w:rPr>
                <w:sz w:val="9"/>
                <w:szCs w:val="9"/>
                <w:color w:val="auto"/>
              </w:rPr>
            </w:pPr>
          </w:p>
        </w:tc>
        <w:tc>
          <w:tcPr>
            <w:tcW w:w="100" w:type="dxa"/>
            <w:vAlign w:val="bottom"/>
            <w:shd w:val="clear" w:color="auto" w:fill="606489"/>
          </w:tcPr>
          <w:p>
            <w:pPr>
              <w:spacing w:after="0"/>
              <w:rPr>
                <w:sz w:val="9"/>
                <w:szCs w:val="9"/>
                <w:color w:val="auto"/>
              </w:rPr>
            </w:pPr>
          </w:p>
        </w:tc>
        <w:tc>
          <w:tcPr>
            <w:tcW w:w="1060" w:type="dxa"/>
            <w:vAlign w:val="bottom"/>
            <w:shd w:val="clear" w:color="auto" w:fill="606489"/>
          </w:tcPr>
          <w:p>
            <w:pPr>
              <w:spacing w:after="0"/>
              <w:rPr>
                <w:sz w:val="9"/>
                <w:szCs w:val="9"/>
                <w:color w:val="auto"/>
              </w:rPr>
            </w:pPr>
          </w:p>
        </w:tc>
        <w:tc>
          <w:tcPr>
            <w:tcW w:w="100" w:type="dxa"/>
            <w:vAlign w:val="bottom"/>
            <w:shd w:val="clear" w:color="auto" w:fill="606489"/>
          </w:tcPr>
          <w:p>
            <w:pPr>
              <w:spacing w:after="0"/>
              <w:rPr>
                <w:sz w:val="9"/>
                <w:szCs w:val="9"/>
                <w:color w:val="auto"/>
              </w:rPr>
            </w:pPr>
          </w:p>
        </w:tc>
        <w:tc>
          <w:tcPr>
            <w:tcW w:w="20" w:type="dxa"/>
            <w:vAlign w:val="bottom"/>
            <w:shd w:val="clear" w:color="auto" w:fill="606489"/>
          </w:tcPr>
          <w:p>
            <w:pPr>
              <w:spacing w:after="0"/>
              <w:rPr>
                <w:sz w:val="9"/>
                <w:szCs w:val="9"/>
                <w:color w:val="auto"/>
              </w:rPr>
            </w:pPr>
          </w:p>
        </w:tc>
        <w:tc>
          <w:tcPr>
            <w:tcW w:w="3580" w:type="dxa"/>
            <w:vAlign w:val="bottom"/>
            <w:tcBorders>
              <w:left w:val="single" w:sz="8" w:color="606489"/>
            </w:tcBorders>
            <w:shd w:val="clear" w:color="auto" w:fill="606489"/>
          </w:tcPr>
          <w:p>
            <w:pPr>
              <w:spacing w:after="0"/>
              <w:rPr>
                <w:sz w:val="9"/>
                <w:szCs w:val="9"/>
                <w:color w:val="auto"/>
              </w:rPr>
            </w:pPr>
          </w:p>
        </w:tc>
        <w:tc>
          <w:tcPr>
            <w:tcW w:w="180" w:type="dxa"/>
            <w:vAlign w:val="bottom"/>
            <w:tcBorders>
              <w:right w:val="single" w:sz="8" w:color="auto"/>
            </w:tcBorders>
            <w:shd w:val="clear" w:color="auto" w:fill="606489"/>
          </w:tcPr>
          <w:p>
            <w:pPr>
              <w:spacing w:after="0"/>
              <w:rPr>
                <w:sz w:val="9"/>
                <w:szCs w:val="9"/>
                <w:color w:val="auto"/>
              </w:rPr>
            </w:pPr>
          </w:p>
        </w:tc>
      </w:tr>
      <w:tr>
        <w:trPr>
          <w:trHeight w:val="188"/>
        </w:trPr>
        <w:tc>
          <w:tcPr>
            <w:tcW w:w="20" w:type="dxa"/>
            <w:vAlign w:val="bottom"/>
            <w:shd w:val="clear" w:color="auto" w:fill="000000"/>
          </w:tcPr>
          <w:p>
            <w:pPr>
              <w:spacing w:after="0"/>
              <w:rPr>
                <w:sz w:val="16"/>
                <w:szCs w:val="16"/>
                <w:color w:val="auto"/>
              </w:rPr>
            </w:pPr>
          </w:p>
        </w:tc>
        <w:tc>
          <w:tcPr>
            <w:tcW w:w="3160" w:type="dxa"/>
            <w:vAlign w:val="bottom"/>
          </w:tcPr>
          <w:p>
            <w:pPr>
              <w:ind w:left="120"/>
              <w:spacing w:after="0"/>
              <w:rPr>
                <w:sz w:val="20"/>
                <w:szCs w:val="20"/>
                <w:color w:val="auto"/>
              </w:rPr>
            </w:pPr>
            <w:r>
              <w:rPr>
                <w:rFonts w:ascii="Arial" w:cs="Arial" w:eastAsia="Arial" w:hAnsi="Arial"/>
                <w:sz w:val="16"/>
                <w:szCs w:val="16"/>
                <w:color w:val="auto"/>
              </w:rPr>
              <w:t>Deliver production target of 55-58</w:t>
            </w:r>
          </w:p>
        </w:tc>
        <w:tc>
          <w:tcPr>
            <w:tcW w:w="140" w:type="dxa"/>
            <w:vAlign w:val="bottom"/>
          </w:tcPr>
          <w:p>
            <w:pPr>
              <w:spacing w:after="0"/>
              <w:rPr>
                <w:sz w:val="16"/>
                <w:szCs w:val="16"/>
                <w:color w:val="auto"/>
              </w:rPr>
            </w:pPr>
          </w:p>
        </w:tc>
        <w:tc>
          <w:tcPr>
            <w:tcW w:w="100" w:type="dxa"/>
            <w:vAlign w:val="bottom"/>
            <w:shd w:val="clear" w:color="auto" w:fill="FF0000"/>
          </w:tcPr>
          <w:p>
            <w:pPr>
              <w:spacing w:after="0"/>
              <w:rPr>
                <w:sz w:val="16"/>
                <w:szCs w:val="16"/>
                <w:color w:val="auto"/>
              </w:rPr>
            </w:pPr>
          </w:p>
        </w:tc>
        <w:tc>
          <w:tcPr>
            <w:tcW w:w="1060" w:type="dxa"/>
            <w:vAlign w:val="bottom"/>
            <w:shd w:val="clear" w:color="auto" w:fill="FF0000"/>
          </w:tcPr>
          <w:p>
            <w:pPr>
              <w:ind w:left="20"/>
              <w:spacing w:after="0"/>
              <w:rPr>
                <w:sz w:val="20"/>
                <w:szCs w:val="20"/>
                <w:color w:val="auto"/>
              </w:rPr>
            </w:pPr>
            <w:r>
              <w:rPr>
                <w:rFonts w:ascii="Arial" w:cs="Arial" w:eastAsia="Arial" w:hAnsi="Arial"/>
                <w:sz w:val="16"/>
                <w:szCs w:val="16"/>
                <w:b w:val="1"/>
                <w:bCs w:val="1"/>
                <w:color w:val="auto"/>
                <w:w w:val="99"/>
              </w:rPr>
              <w:t>Not Achieved</w:t>
            </w:r>
          </w:p>
        </w:tc>
        <w:tc>
          <w:tcPr>
            <w:tcW w:w="100" w:type="dxa"/>
            <w:vAlign w:val="bottom"/>
            <w:shd w:val="clear" w:color="auto" w:fill="FF00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580" w:type="dxa"/>
            <w:vAlign w:val="bottom"/>
          </w:tcPr>
          <w:p>
            <w:pPr>
              <w:ind w:left="80"/>
              <w:spacing w:after="0"/>
              <w:rPr>
                <w:sz w:val="20"/>
                <w:szCs w:val="20"/>
                <w:color w:val="auto"/>
              </w:rPr>
            </w:pPr>
            <w:r>
              <w:rPr>
                <w:rFonts w:ascii="Arial" w:cs="Arial" w:eastAsia="Arial" w:hAnsi="Arial"/>
                <w:sz w:val="16"/>
                <w:szCs w:val="16"/>
                <w:color w:val="auto"/>
              </w:rPr>
              <w:t>Delivered 2021 production of ~55 Mboepd (~52</w:t>
            </w:r>
          </w:p>
        </w:tc>
        <w:tc>
          <w:tcPr>
            <w:tcW w:w="180" w:type="dxa"/>
            <w:vAlign w:val="bottom"/>
            <w:tcBorders>
              <w:right w:val="single" w:sz="8" w:color="auto"/>
            </w:tcBorders>
          </w:tcPr>
          <w:p>
            <w:pPr>
              <w:spacing w:after="0"/>
              <w:rPr>
                <w:sz w:val="16"/>
                <w:szCs w:val="16"/>
                <w:color w:val="auto"/>
              </w:rPr>
            </w:pPr>
          </w:p>
        </w:tc>
      </w:tr>
      <w:tr>
        <w:trPr>
          <w:trHeight w:val="199"/>
        </w:trPr>
        <w:tc>
          <w:tcPr>
            <w:tcW w:w="20" w:type="dxa"/>
            <w:vAlign w:val="bottom"/>
            <w:shd w:val="clear" w:color="auto" w:fill="000000"/>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160" w:type="dxa"/>
            <w:vAlign w:val="bottom"/>
          </w:tcPr>
          <w:p>
            <w:pPr>
              <w:ind w:left="120"/>
              <w:spacing w:after="0" w:line="199" w:lineRule="exact"/>
              <w:rPr>
                <w:sz w:val="20"/>
                <w:szCs w:val="20"/>
                <w:color w:val="auto"/>
              </w:rPr>
            </w:pPr>
            <w:r>
              <w:rPr>
                <w:rFonts w:ascii="Arial" w:cs="Arial" w:eastAsia="Arial" w:hAnsi="Arial"/>
                <w:sz w:val="15"/>
                <w:szCs w:val="15"/>
                <w:color w:val="auto"/>
              </w:rPr>
              <w:t>Mboepd</w:t>
            </w:r>
            <w:r>
              <w:rPr>
                <w:rFonts w:ascii="Arial" w:cs="Arial" w:eastAsia="Arial" w:hAnsi="Arial"/>
                <w:sz w:val="23"/>
                <w:szCs w:val="23"/>
                <w:color w:val="auto"/>
                <w:vertAlign w:val="superscript"/>
              </w:rPr>
              <w:t>(2)</w:t>
            </w:r>
            <w:r>
              <w:rPr>
                <w:rFonts w:ascii="Arial" w:cs="Arial" w:eastAsia="Arial" w:hAnsi="Arial"/>
                <w:sz w:val="15"/>
                <w:szCs w:val="15"/>
                <w:color w:val="auto"/>
              </w:rPr>
              <w:t xml:space="preserve"> and corresponding EBITDAX</w:t>
            </w:r>
            <w:r>
              <w:rPr>
                <w:rFonts w:ascii="Arial" w:cs="Arial" w:eastAsia="Arial" w:hAnsi="Arial"/>
                <w:sz w:val="23"/>
                <w:szCs w:val="23"/>
                <w:color w:val="auto"/>
                <w:vertAlign w:val="superscript"/>
              </w:rPr>
              <w:t>(3)</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gridSpan w:val="2"/>
            <w:shd w:val="clear" w:color="auto" w:fill="FF000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FF0000"/>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580" w:type="dxa"/>
            <w:vAlign w:val="bottom"/>
          </w:tcPr>
          <w:p>
            <w:pPr>
              <w:ind w:left="80"/>
              <w:spacing w:after="0"/>
              <w:rPr>
                <w:sz w:val="20"/>
                <w:szCs w:val="20"/>
                <w:color w:val="auto"/>
              </w:rPr>
            </w:pPr>
            <w:r>
              <w:rPr>
                <w:rFonts w:ascii="Arial" w:cs="Arial" w:eastAsia="Arial" w:hAnsi="Arial"/>
                <w:sz w:val="16"/>
                <w:szCs w:val="16"/>
                <w:color w:val="auto"/>
              </w:rPr>
              <w:t>Mboepd excluding the impacts of acquisitions).</w:t>
            </w:r>
          </w:p>
        </w:tc>
        <w:tc>
          <w:tcPr>
            <w:tcW w:w="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187"/>
        </w:trPr>
        <w:tc>
          <w:tcPr>
            <w:tcW w:w="20" w:type="dxa"/>
            <w:vAlign w:val="bottom"/>
            <w:shd w:val="clear" w:color="auto" w:fill="000000"/>
          </w:tcPr>
          <w:p>
            <w:pPr>
              <w:spacing w:after="0"/>
              <w:rPr>
                <w:sz w:val="16"/>
                <w:szCs w:val="16"/>
                <w:color w:val="auto"/>
              </w:rPr>
            </w:pPr>
          </w:p>
        </w:tc>
        <w:tc>
          <w:tcPr>
            <w:tcW w:w="3160" w:type="dxa"/>
            <w:vAlign w:val="bottom"/>
          </w:tcPr>
          <w:p>
            <w:pPr>
              <w:ind w:left="120"/>
              <w:spacing w:after="0" w:line="188" w:lineRule="exact"/>
              <w:rPr>
                <w:sz w:val="20"/>
                <w:szCs w:val="20"/>
                <w:color w:val="auto"/>
              </w:rPr>
            </w:pPr>
            <w:r>
              <w:rPr>
                <w:rFonts w:ascii="Arial" w:cs="Arial" w:eastAsia="Arial" w:hAnsi="Arial"/>
                <w:sz w:val="14"/>
                <w:szCs w:val="14"/>
                <w:color w:val="auto"/>
              </w:rPr>
              <w:t>of $500 – 550 million</w:t>
            </w:r>
            <w:r>
              <w:rPr>
                <w:rFonts w:ascii="Arial" w:cs="Arial" w:eastAsia="Arial" w:hAnsi="Arial"/>
                <w:sz w:val="21"/>
                <w:szCs w:val="21"/>
                <w:color w:val="auto"/>
                <w:vertAlign w:val="superscript"/>
              </w:rPr>
              <w:t>(2)</w:t>
            </w:r>
            <w:r>
              <w:rPr>
                <w:rFonts w:ascii="Arial" w:cs="Arial" w:eastAsia="Arial" w:hAnsi="Arial"/>
                <w:sz w:val="14"/>
                <w:szCs w:val="14"/>
                <w:color w:val="auto"/>
              </w:rPr>
              <w:t xml:space="preserve"> at $45/Bbl Brent</w:t>
            </w:r>
          </w:p>
        </w:tc>
        <w:tc>
          <w:tcPr>
            <w:tcW w:w="140" w:type="dxa"/>
            <w:vAlign w:val="bottom"/>
          </w:tcPr>
          <w:p>
            <w:pPr>
              <w:spacing w:after="0"/>
              <w:rPr>
                <w:sz w:val="16"/>
                <w:szCs w:val="16"/>
                <w:color w:val="auto"/>
              </w:rPr>
            </w:pPr>
          </w:p>
        </w:tc>
        <w:tc>
          <w:tcPr>
            <w:tcW w:w="100" w:type="dxa"/>
            <w:vAlign w:val="bottom"/>
            <w:shd w:val="clear" w:color="auto" w:fill="FF0000"/>
          </w:tcPr>
          <w:p>
            <w:pPr>
              <w:spacing w:after="0"/>
              <w:rPr>
                <w:sz w:val="16"/>
                <w:szCs w:val="16"/>
                <w:color w:val="auto"/>
              </w:rPr>
            </w:pPr>
          </w:p>
        </w:tc>
        <w:tc>
          <w:tcPr>
            <w:tcW w:w="1060" w:type="dxa"/>
            <w:vAlign w:val="bottom"/>
            <w:shd w:val="clear" w:color="auto" w:fill="FF0000"/>
          </w:tcPr>
          <w:p>
            <w:pPr>
              <w:spacing w:after="0"/>
              <w:rPr>
                <w:sz w:val="16"/>
                <w:szCs w:val="16"/>
                <w:color w:val="auto"/>
              </w:rPr>
            </w:pPr>
          </w:p>
        </w:tc>
        <w:tc>
          <w:tcPr>
            <w:tcW w:w="100" w:type="dxa"/>
            <w:vAlign w:val="bottom"/>
            <w:shd w:val="clear" w:color="auto" w:fill="FF00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580" w:type="dxa"/>
            <w:vAlign w:val="bottom"/>
          </w:tcPr>
          <w:p>
            <w:pPr>
              <w:ind w:left="80"/>
              <w:spacing w:after="0" w:line="188" w:lineRule="exact"/>
              <w:rPr>
                <w:sz w:val="20"/>
                <w:szCs w:val="20"/>
                <w:color w:val="auto"/>
              </w:rPr>
            </w:pPr>
            <w:r>
              <w:rPr>
                <w:rFonts w:ascii="Arial" w:cs="Arial" w:eastAsia="Arial" w:hAnsi="Arial"/>
                <w:sz w:val="14"/>
                <w:szCs w:val="14"/>
                <w:color w:val="auto"/>
              </w:rPr>
              <w:t>EBITDAX of $702 million</w:t>
            </w:r>
            <w:r>
              <w:rPr>
                <w:rFonts w:ascii="Arial" w:cs="Arial" w:eastAsia="Arial" w:hAnsi="Arial"/>
                <w:sz w:val="21"/>
                <w:szCs w:val="21"/>
                <w:color w:val="auto"/>
                <w:vertAlign w:val="superscript"/>
              </w:rPr>
              <w:t>(3)</w:t>
            </w:r>
            <w:r>
              <w:rPr>
                <w:rFonts w:ascii="Arial" w:cs="Arial" w:eastAsia="Arial" w:hAnsi="Arial"/>
                <w:sz w:val="14"/>
                <w:szCs w:val="14"/>
                <w:color w:val="auto"/>
              </w:rPr>
              <w:t xml:space="preserve"> delivered at average</w:t>
            </w:r>
          </w:p>
        </w:tc>
        <w:tc>
          <w:tcPr>
            <w:tcW w:w="180" w:type="dxa"/>
            <w:vAlign w:val="bottom"/>
            <w:tcBorders>
              <w:right w:val="single" w:sz="8" w:color="auto"/>
            </w:tcBorders>
          </w:tcPr>
          <w:p>
            <w:pPr>
              <w:spacing w:after="0"/>
              <w:rPr>
                <w:sz w:val="16"/>
                <w:szCs w:val="16"/>
                <w:color w:val="auto"/>
              </w:rPr>
            </w:pPr>
          </w:p>
        </w:tc>
      </w:tr>
      <w:tr>
        <w:trPr>
          <w:trHeight w:val="242"/>
        </w:trPr>
        <w:tc>
          <w:tcPr>
            <w:tcW w:w="20" w:type="dxa"/>
            <w:vAlign w:val="bottom"/>
            <w:tcBorders>
              <w:bottom w:val="single" w:sz="8" w:color="auto"/>
            </w:tcBorders>
            <w:shd w:val="clear" w:color="auto" w:fill="000000"/>
          </w:tcPr>
          <w:p>
            <w:pPr>
              <w:spacing w:after="0"/>
              <w:rPr>
                <w:sz w:val="21"/>
                <w:szCs w:val="21"/>
                <w:color w:val="auto"/>
              </w:rPr>
            </w:pPr>
          </w:p>
        </w:tc>
        <w:tc>
          <w:tcPr>
            <w:tcW w:w="3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FF0000"/>
            </w:tcBorders>
            <w:shd w:val="clear" w:color="auto" w:fill="FF0000"/>
          </w:tcPr>
          <w:p>
            <w:pPr>
              <w:spacing w:after="0"/>
              <w:rPr>
                <w:sz w:val="21"/>
                <w:szCs w:val="21"/>
                <w:color w:val="auto"/>
              </w:rPr>
            </w:pPr>
          </w:p>
        </w:tc>
        <w:tc>
          <w:tcPr>
            <w:tcW w:w="1060" w:type="dxa"/>
            <w:vAlign w:val="bottom"/>
            <w:tcBorders>
              <w:bottom w:val="single" w:sz="8" w:color="FF0000"/>
            </w:tcBorders>
            <w:shd w:val="clear" w:color="auto" w:fill="FF0000"/>
          </w:tcPr>
          <w:p>
            <w:pPr>
              <w:spacing w:after="0"/>
              <w:rPr>
                <w:sz w:val="21"/>
                <w:szCs w:val="21"/>
                <w:color w:val="auto"/>
              </w:rPr>
            </w:pPr>
          </w:p>
        </w:tc>
        <w:tc>
          <w:tcPr>
            <w:tcW w:w="100" w:type="dxa"/>
            <w:vAlign w:val="bottom"/>
            <w:tcBorders>
              <w:bottom w:val="single" w:sz="8" w:color="FF0000"/>
            </w:tcBorders>
            <w:shd w:val="clear" w:color="auto" w:fill="FF0000"/>
          </w:tcPr>
          <w:p>
            <w:pPr>
              <w:spacing w:after="0"/>
              <w:rPr>
                <w:sz w:val="21"/>
                <w:szCs w:val="21"/>
                <w:color w:val="auto"/>
              </w:rPr>
            </w:pPr>
          </w:p>
        </w:tc>
        <w:tc>
          <w:tcPr>
            <w:tcW w:w="20" w:type="dxa"/>
            <w:vAlign w:val="bottom"/>
            <w:tcBorders>
              <w:bottom w:val="single" w:sz="8" w:color="2A3D6C"/>
            </w:tcBorders>
            <w:shd w:val="clear" w:color="auto" w:fill="2A3D6C"/>
          </w:tcPr>
          <w:p>
            <w:pPr>
              <w:spacing w:after="0"/>
              <w:rPr>
                <w:sz w:val="21"/>
                <w:szCs w:val="21"/>
                <w:color w:val="auto"/>
              </w:rPr>
            </w:pPr>
          </w:p>
        </w:tc>
        <w:tc>
          <w:tcPr>
            <w:tcW w:w="3580" w:type="dxa"/>
            <w:vAlign w:val="bottom"/>
          </w:tcPr>
          <w:p>
            <w:pPr>
              <w:ind w:left="80"/>
              <w:spacing w:after="0"/>
              <w:rPr>
                <w:sz w:val="20"/>
                <w:szCs w:val="20"/>
                <w:color w:val="auto"/>
              </w:rPr>
            </w:pPr>
            <w:r>
              <w:rPr>
                <w:rFonts w:ascii="Arial" w:cs="Arial" w:eastAsia="Arial" w:hAnsi="Arial"/>
                <w:sz w:val="16"/>
                <w:szCs w:val="16"/>
                <w:color w:val="auto"/>
              </w:rPr>
              <w:t>$71/Bbl Brent.</w:t>
            </w:r>
          </w:p>
        </w:tc>
        <w:tc>
          <w:tcPr>
            <w:tcW w:w="180" w:type="dxa"/>
            <w:vAlign w:val="bottom"/>
            <w:tcBorders>
              <w:right w:val="single" w:sz="8" w:color="auto"/>
            </w:tcBorders>
          </w:tcPr>
          <w:p>
            <w:pPr>
              <w:spacing w:after="0"/>
              <w:rPr>
                <w:sz w:val="21"/>
                <w:szCs w:val="21"/>
                <w:color w:val="auto"/>
              </w:rPr>
            </w:pPr>
          </w:p>
        </w:tc>
      </w:tr>
      <w:tr>
        <w:trPr>
          <w:trHeight w:val="207"/>
        </w:trPr>
        <w:tc>
          <w:tcPr>
            <w:tcW w:w="20" w:type="dxa"/>
            <w:vAlign w:val="bottom"/>
            <w:tcBorders>
              <w:top w:val="single" w:sz="8" w:color="auto"/>
            </w:tcBorders>
            <w:shd w:val="clear" w:color="auto" w:fill="000000"/>
          </w:tcPr>
          <w:p>
            <w:pPr>
              <w:spacing w:after="0"/>
              <w:rPr>
                <w:sz w:val="17"/>
                <w:szCs w:val="17"/>
                <w:color w:val="auto"/>
              </w:rPr>
            </w:pPr>
          </w:p>
        </w:tc>
        <w:tc>
          <w:tcPr>
            <w:tcW w:w="3160" w:type="dxa"/>
            <w:vAlign w:val="bottom"/>
            <w:tcBorders>
              <w:top w:val="single" w:sz="8" w:color="2A3D6C"/>
            </w:tcBorders>
          </w:tcPr>
          <w:p>
            <w:pPr>
              <w:ind w:left="120"/>
              <w:spacing w:after="0"/>
              <w:rPr>
                <w:sz w:val="20"/>
                <w:szCs w:val="20"/>
                <w:color w:val="auto"/>
              </w:rPr>
            </w:pPr>
            <w:r>
              <w:rPr>
                <w:rFonts w:ascii="Arial" w:cs="Arial" w:eastAsia="Arial" w:hAnsi="Arial"/>
                <w:sz w:val="16"/>
                <w:szCs w:val="16"/>
                <w:color w:val="auto"/>
              </w:rPr>
              <w:t>Maintain long-term financial strength</w:t>
            </w:r>
          </w:p>
        </w:tc>
        <w:tc>
          <w:tcPr>
            <w:tcW w:w="140" w:type="dxa"/>
            <w:vAlign w:val="bottom"/>
            <w:tcBorders>
              <w:top w:val="single" w:sz="8" w:color="2A3D6C"/>
            </w:tcBorders>
          </w:tcPr>
          <w:p>
            <w:pPr>
              <w:spacing w:after="0"/>
              <w:rPr>
                <w:sz w:val="17"/>
                <w:szCs w:val="17"/>
                <w:color w:val="auto"/>
              </w:rPr>
            </w:pPr>
          </w:p>
        </w:tc>
        <w:tc>
          <w:tcPr>
            <w:tcW w:w="100" w:type="dxa"/>
            <w:vAlign w:val="bottom"/>
            <w:tcBorders>
              <w:top w:val="single" w:sz="8" w:color="2A3D6C"/>
            </w:tcBorders>
            <w:shd w:val="clear" w:color="auto" w:fill="00FF00"/>
          </w:tcPr>
          <w:p>
            <w:pPr>
              <w:spacing w:after="0"/>
              <w:rPr>
                <w:sz w:val="17"/>
                <w:szCs w:val="17"/>
                <w:color w:val="auto"/>
              </w:rPr>
            </w:pPr>
          </w:p>
        </w:tc>
        <w:tc>
          <w:tcPr>
            <w:tcW w:w="1060" w:type="dxa"/>
            <w:vAlign w:val="bottom"/>
            <w:tcBorders>
              <w:top w:val="single" w:sz="8" w:color="2A3D6C"/>
            </w:tcBorders>
            <w:shd w:val="clear" w:color="auto" w:fill="00FF00"/>
          </w:tcPr>
          <w:p>
            <w:pPr>
              <w:ind w:left="180"/>
              <w:spacing w:after="0"/>
              <w:rPr>
                <w:sz w:val="20"/>
                <w:szCs w:val="20"/>
                <w:color w:val="auto"/>
              </w:rPr>
            </w:pPr>
            <w:r>
              <w:rPr>
                <w:rFonts w:ascii="Arial" w:cs="Arial" w:eastAsia="Arial" w:hAnsi="Arial"/>
                <w:sz w:val="16"/>
                <w:szCs w:val="16"/>
                <w:b w:val="1"/>
                <w:bCs w:val="1"/>
                <w:color w:val="auto"/>
              </w:rPr>
              <w:t>Achieved</w:t>
            </w:r>
          </w:p>
        </w:tc>
        <w:tc>
          <w:tcPr>
            <w:tcW w:w="100" w:type="dxa"/>
            <w:vAlign w:val="bottom"/>
            <w:tcBorders>
              <w:top w:val="single" w:sz="8" w:color="2A3D6C"/>
            </w:tcBorders>
            <w:shd w:val="clear" w:color="auto" w:fill="00FF00"/>
          </w:tcPr>
          <w:p>
            <w:pPr>
              <w:spacing w:after="0"/>
              <w:rPr>
                <w:sz w:val="17"/>
                <w:szCs w:val="17"/>
                <w:color w:val="auto"/>
              </w:rPr>
            </w:pPr>
          </w:p>
        </w:tc>
        <w:tc>
          <w:tcPr>
            <w:tcW w:w="20" w:type="dxa"/>
            <w:vAlign w:val="bottom"/>
            <w:tcBorders>
              <w:top w:val="single" w:sz="8" w:color="2A3D6C"/>
            </w:tcBorders>
            <w:shd w:val="clear" w:color="auto" w:fill="2A3D6C"/>
          </w:tcPr>
          <w:p>
            <w:pPr>
              <w:spacing w:after="0"/>
              <w:rPr>
                <w:sz w:val="17"/>
                <w:szCs w:val="17"/>
                <w:color w:val="auto"/>
              </w:rPr>
            </w:pPr>
          </w:p>
        </w:tc>
        <w:tc>
          <w:tcPr>
            <w:tcW w:w="3580" w:type="dxa"/>
            <w:vAlign w:val="bottom"/>
            <w:tcBorders>
              <w:top w:val="single" w:sz="8" w:color="2A3D6C"/>
            </w:tcBorders>
          </w:tcPr>
          <w:p>
            <w:pPr>
              <w:ind w:left="80"/>
              <w:spacing w:after="0"/>
              <w:rPr>
                <w:sz w:val="20"/>
                <w:szCs w:val="20"/>
                <w:color w:val="auto"/>
              </w:rPr>
            </w:pPr>
            <w:r>
              <w:rPr>
                <w:rFonts w:ascii="Arial" w:cs="Arial" w:eastAsia="Arial" w:hAnsi="Arial"/>
                <w:sz w:val="16"/>
                <w:szCs w:val="16"/>
                <w:color w:val="auto"/>
              </w:rPr>
              <w:t>Successfully completed RBL refinancing and</w:t>
            </w:r>
          </w:p>
        </w:tc>
        <w:tc>
          <w:tcPr>
            <w:tcW w:w="180" w:type="dxa"/>
            <w:vAlign w:val="bottom"/>
            <w:tcBorders>
              <w:top w:val="single" w:sz="8" w:color="2A3D6C"/>
              <w:right w:val="single" w:sz="8" w:color="auto"/>
            </w:tcBorders>
          </w:tcPr>
          <w:p>
            <w:pPr>
              <w:spacing w:after="0"/>
              <w:rPr>
                <w:sz w:val="17"/>
                <w:szCs w:val="17"/>
                <w:color w:val="auto"/>
              </w:rPr>
            </w:pPr>
          </w:p>
        </w:tc>
      </w:tr>
      <w:tr>
        <w:trPr>
          <w:trHeight w:val="187"/>
        </w:trPr>
        <w:tc>
          <w:tcPr>
            <w:tcW w:w="20" w:type="dxa"/>
            <w:vAlign w:val="bottom"/>
            <w:shd w:val="clear" w:color="auto" w:fill="000000"/>
          </w:tcPr>
          <w:p>
            <w:pPr>
              <w:spacing w:after="0"/>
              <w:rPr>
                <w:sz w:val="16"/>
                <w:szCs w:val="16"/>
                <w:color w:val="auto"/>
              </w:rPr>
            </w:pPr>
          </w:p>
        </w:tc>
        <w:tc>
          <w:tcPr>
            <w:tcW w:w="3160" w:type="dxa"/>
            <w:vAlign w:val="bottom"/>
          </w:tcPr>
          <w:p>
            <w:pPr>
              <w:ind w:left="120"/>
              <w:spacing w:after="0"/>
              <w:rPr>
                <w:sz w:val="20"/>
                <w:szCs w:val="20"/>
                <w:color w:val="auto"/>
              </w:rPr>
            </w:pPr>
            <w:r>
              <w:rPr>
                <w:rFonts w:ascii="Arial" w:cs="Arial" w:eastAsia="Arial" w:hAnsi="Arial"/>
                <w:sz w:val="16"/>
                <w:szCs w:val="16"/>
                <w:color w:val="auto"/>
                <w:w w:val="99"/>
              </w:rPr>
              <w:t>through refinancing of RBL and RCF credit</w:t>
            </w: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60" w:type="dxa"/>
            <w:vAlign w:val="bottom"/>
            <w:shd w:val="clear" w:color="auto" w:fill="00FF00"/>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580" w:type="dxa"/>
            <w:vAlign w:val="bottom"/>
          </w:tcPr>
          <w:p>
            <w:pPr>
              <w:ind w:left="80"/>
              <w:spacing w:after="0"/>
              <w:rPr>
                <w:sz w:val="20"/>
                <w:szCs w:val="20"/>
                <w:color w:val="auto"/>
              </w:rPr>
            </w:pPr>
            <w:r>
              <w:rPr>
                <w:rFonts w:ascii="Arial" w:cs="Arial" w:eastAsia="Arial" w:hAnsi="Arial"/>
                <w:sz w:val="16"/>
                <w:szCs w:val="16"/>
                <w:color w:val="auto"/>
              </w:rPr>
              <w:t>issuance of $850 million of High Yield Notes</w:t>
            </w:r>
          </w:p>
        </w:tc>
        <w:tc>
          <w:tcPr>
            <w:tcW w:w="180" w:type="dxa"/>
            <w:vAlign w:val="bottom"/>
            <w:tcBorders>
              <w:right w:val="single" w:sz="8" w:color="auto"/>
            </w:tcBorders>
          </w:tcPr>
          <w:p>
            <w:pPr>
              <w:spacing w:after="0"/>
              <w:rPr>
                <w:sz w:val="16"/>
                <w:szCs w:val="16"/>
                <w:color w:val="auto"/>
              </w:rPr>
            </w:pPr>
          </w:p>
        </w:tc>
      </w:tr>
      <w:tr>
        <w:trPr>
          <w:trHeight w:val="187"/>
        </w:trPr>
        <w:tc>
          <w:tcPr>
            <w:tcW w:w="20" w:type="dxa"/>
            <w:vAlign w:val="bottom"/>
            <w:shd w:val="clear" w:color="auto" w:fill="000000"/>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160" w:type="dxa"/>
            <w:vAlign w:val="bottom"/>
          </w:tcPr>
          <w:p>
            <w:pPr>
              <w:ind w:left="120"/>
              <w:spacing w:after="0"/>
              <w:rPr>
                <w:sz w:val="20"/>
                <w:szCs w:val="20"/>
                <w:color w:val="auto"/>
              </w:rPr>
            </w:pPr>
            <w:r>
              <w:rPr>
                <w:rFonts w:ascii="Arial" w:cs="Arial" w:eastAsia="Arial" w:hAnsi="Arial"/>
                <w:sz w:val="16"/>
                <w:szCs w:val="16"/>
                <w:color w:val="auto"/>
              </w:rPr>
              <w:t>facilities, capital markets issuance and</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gridSpan w:val="2"/>
            <w:shd w:val="clear" w:color="auto" w:fill="00FF0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00FF00"/>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580" w:type="dxa"/>
            <w:vAlign w:val="bottom"/>
          </w:tcPr>
          <w:p>
            <w:pPr>
              <w:ind w:left="80"/>
              <w:spacing w:after="0"/>
              <w:rPr>
                <w:sz w:val="20"/>
                <w:szCs w:val="20"/>
                <w:color w:val="auto"/>
              </w:rPr>
            </w:pPr>
            <w:r>
              <w:rPr>
                <w:rFonts w:ascii="Arial" w:cs="Arial" w:eastAsia="Arial" w:hAnsi="Arial"/>
                <w:sz w:val="16"/>
                <w:szCs w:val="16"/>
                <w:color w:val="auto"/>
              </w:rPr>
              <w:t>offerings.</w:t>
            </w:r>
          </w:p>
        </w:tc>
        <w:tc>
          <w:tcPr>
            <w:tcW w:w="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187"/>
        </w:trPr>
        <w:tc>
          <w:tcPr>
            <w:tcW w:w="20" w:type="dxa"/>
            <w:vAlign w:val="bottom"/>
            <w:shd w:val="clear" w:color="auto" w:fill="000000"/>
          </w:tcPr>
          <w:p>
            <w:pPr>
              <w:spacing w:after="0"/>
              <w:rPr>
                <w:sz w:val="16"/>
                <w:szCs w:val="16"/>
                <w:color w:val="auto"/>
              </w:rPr>
            </w:pPr>
          </w:p>
        </w:tc>
        <w:tc>
          <w:tcPr>
            <w:tcW w:w="3160" w:type="dxa"/>
            <w:vAlign w:val="bottom"/>
          </w:tcPr>
          <w:p>
            <w:pPr>
              <w:ind w:left="120"/>
              <w:spacing w:after="0"/>
              <w:rPr>
                <w:sz w:val="20"/>
                <w:szCs w:val="20"/>
                <w:color w:val="auto"/>
              </w:rPr>
            </w:pPr>
            <w:r>
              <w:rPr>
                <w:rFonts w:ascii="Arial" w:cs="Arial" w:eastAsia="Arial" w:hAnsi="Arial"/>
                <w:sz w:val="16"/>
                <w:szCs w:val="16"/>
                <w:color w:val="auto"/>
              </w:rPr>
              <w:t>continuing a disciplined hedging program</w:t>
            </w:r>
          </w:p>
        </w:tc>
        <w:tc>
          <w:tcPr>
            <w:tcW w:w="140" w:type="dxa"/>
            <w:vAlign w:val="bottom"/>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1060" w:type="dxa"/>
            <w:vAlign w:val="bottom"/>
            <w:shd w:val="clear" w:color="auto" w:fill="00FF00"/>
          </w:tcPr>
          <w:p>
            <w:pPr>
              <w:spacing w:after="0"/>
              <w:rPr>
                <w:sz w:val="16"/>
                <w:szCs w:val="16"/>
                <w:color w:val="auto"/>
              </w:rPr>
            </w:pPr>
          </w:p>
        </w:tc>
        <w:tc>
          <w:tcPr>
            <w:tcW w:w="100" w:type="dxa"/>
            <w:vAlign w:val="bottom"/>
            <w:shd w:val="clear" w:color="auto" w:fill="00FF00"/>
          </w:tcPr>
          <w:p>
            <w:pPr>
              <w:spacing w:after="0"/>
              <w:rPr>
                <w:sz w:val="16"/>
                <w:szCs w:val="16"/>
                <w:color w:val="auto"/>
              </w:rPr>
            </w:pPr>
          </w:p>
        </w:tc>
        <w:tc>
          <w:tcPr>
            <w:tcW w:w="20" w:type="dxa"/>
            <w:vAlign w:val="bottom"/>
            <w:shd w:val="clear" w:color="auto" w:fill="2A3D6C"/>
          </w:tcPr>
          <w:p>
            <w:pPr>
              <w:spacing w:after="0"/>
              <w:rPr>
                <w:sz w:val="16"/>
                <w:szCs w:val="16"/>
                <w:color w:val="auto"/>
              </w:rPr>
            </w:pPr>
          </w:p>
        </w:tc>
        <w:tc>
          <w:tcPr>
            <w:tcW w:w="3580" w:type="dxa"/>
            <w:vAlign w:val="bottom"/>
          </w:tcPr>
          <w:p>
            <w:pPr>
              <w:ind w:left="80"/>
              <w:spacing w:after="0"/>
              <w:rPr>
                <w:sz w:val="20"/>
                <w:szCs w:val="20"/>
                <w:color w:val="auto"/>
              </w:rPr>
            </w:pPr>
            <w:r>
              <w:rPr>
                <w:rFonts w:ascii="Arial" w:cs="Arial" w:eastAsia="Arial" w:hAnsi="Arial"/>
                <w:sz w:val="16"/>
                <w:szCs w:val="16"/>
                <w:color w:val="auto"/>
              </w:rPr>
              <w:t> </w:t>
            </w:r>
          </w:p>
        </w:tc>
        <w:tc>
          <w:tcPr>
            <w:tcW w:w="180" w:type="dxa"/>
            <w:vAlign w:val="bottom"/>
            <w:tcBorders>
              <w:right w:val="single" w:sz="8" w:color="auto"/>
            </w:tcBorders>
          </w:tcPr>
          <w:p>
            <w:pPr>
              <w:spacing w:after="0"/>
              <w:rPr>
                <w:sz w:val="16"/>
                <w:szCs w:val="16"/>
                <w:color w:val="auto"/>
              </w:rPr>
            </w:pPr>
          </w:p>
        </w:tc>
      </w:tr>
      <w:tr>
        <w:trPr>
          <w:trHeight w:val="228"/>
        </w:trPr>
        <w:tc>
          <w:tcPr>
            <w:tcW w:w="20" w:type="dxa"/>
            <w:vAlign w:val="bottom"/>
            <w:shd w:val="clear" w:color="auto" w:fill="000000"/>
          </w:tcPr>
          <w:p>
            <w:pPr>
              <w:spacing w:after="0"/>
              <w:rPr>
                <w:sz w:val="19"/>
                <w:szCs w:val="19"/>
                <w:color w:val="auto"/>
              </w:rPr>
            </w:pPr>
          </w:p>
        </w:tc>
        <w:tc>
          <w:tcPr>
            <w:tcW w:w="3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shd w:val="clear" w:color="auto" w:fill="00FF00"/>
          </w:tcPr>
          <w:p>
            <w:pPr>
              <w:spacing w:after="0"/>
              <w:rPr>
                <w:sz w:val="19"/>
                <w:szCs w:val="19"/>
                <w:color w:val="auto"/>
              </w:rPr>
            </w:pPr>
          </w:p>
        </w:tc>
        <w:tc>
          <w:tcPr>
            <w:tcW w:w="1060" w:type="dxa"/>
            <w:vAlign w:val="bottom"/>
            <w:shd w:val="clear" w:color="auto" w:fill="00FF00"/>
          </w:tcPr>
          <w:p>
            <w:pPr>
              <w:spacing w:after="0"/>
              <w:rPr>
                <w:sz w:val="19"/>
                <w:szCs w:val="19"/>
                <w:color w:val="auto"/>
              </w:rPr>
            </w:pPr>
          </w:p>
        </w:tc>
        <w:tc>
          <w:tcPr>
            <w:tcW w:w="100" w:type="dxa"/>
            <w:vAlign w:val="bottom"/>
            <w:shd w:val="clear" w:color="auto" w:fill="00FF00"/>
          </w:tcPr>
          <w:p>
            <w:pPr>
              <w:spacing w:after="0"/>
              <w:rPr>
                <w:sz w:val="19"/>
                <w:szCs w:val="19"/>
                <w:color w:val="auto"/>
              </w:rPr>
            </w:pPr>
          </w:p>
        </w:tc>
        <w:tc>
          <w:tcPr>
            <w:tcW w:w="20" w:type="dxa"/>
            <w:vAlign w:val="bottom"/>
            <w:shd w:val="clear" w:color="auto" w:fill="2A3D6C"/>
          </w:tcPr>
          <w:p>
            <w:pPr>
              <w:spacing w:after="0"/>
              <w:rPr>
                <w:sz w:val="19"/>
                <w:szCs w:val="19"/>
                <w:color w:val="auto"/>
              </w:rPr>
            </w:pPr>
          </w:p>
        </w:tc>
        <w:tc>
          <w:tcPr>
            <w:tcW w:w="3580" w:type="dxa"/>
            <w:vAlign w:val="bottom"/>
          </w:tcPr>
          <w:p>
            <w:pPr>
              <w:ind w:left="80"/>
              <w:spacing w:after="0"/>
              <w:rPr>
                <w:sz w:val="20"/>
                <w:szCs w:val="20"/>
                <w:color w:val="auto"/>
              </w:rPr>
            </w:pPr>
            <w:r>
              <w:rPr>
                <w:rFonts w:ascii="Arial" w:cs="Arial" w:eastAsia="Arial" w:hAnsi="Arial"/>
                <w:sz w:val="16"/>
                <w:szCs w:val="16"/>
                <w:color w:val="auto"/>
              </w:rPr>
              <w:t>~55% of expected 2022 production hedged.</w:t>
            </w:r>
          </w:p>
        </w:tc>
        <w:tc>
          <w:tcPr>
            <w:tcW w:w="180" w:type="dxa"/>
            <w:vAlign w:val="bottom"/>
            <w:tcBorders>
              <w:right w:val="single" w:sz="8" w:color="auto"/>
            </w:tcBorders>
          </w:tcPr>
          <w:p>
            <w:pPr>
              <w:spacing w:after="0"/>
              <w:rPr>
                <w:sz w:val="19"/>
                <w:szCs w:val="19"/>
                <w:color w:val="auto"/>
              </w:rPr>
            </w:pPr>
          </w:p>
        </w:tc>
      </w:tr>
      <w:tr>
        <w:trPr>
          <w:trHeight w:val="131"/>
        </w:trPr>
        <w:tc>
          <w:tcPr>
            <w:tcW w:w="20" w:type="dxa"/>
            <w:vAlign w:val="bottom"/>
            <w:shd w:val="clear" w:color="auto" w:fill="000000"/>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160" w:type="dxa"/>
            <w:vAlign w:val="bottom"/>
            <w:shd w:val="clear" w:color="auto" w:fill="606489"/>
          </w:tcPr>
          <w:p>
            <w:pPr>
              <w:spacing w:after="0"/>
              <w:rPr>
                <w:sz w:val="11"/>
                <w:szCs w:val="11"/>
                <w:color w:val="auto"/>
              </w:rPr>
            </w:pPr>
          </w:p>
        </w:tc>
        <w:tc>
          <w:tcPr>
            <w:tcW w:w="5000" w:type="dxa"/>
            <w:vAlign w:val="bottom"/>
            <w:gridSpan w:val="6"/>
            <w:shd w:val="clear" w:color="auto" w:fill="606489"/>
          </w:tcPr>
          <w:p>
            <w:pPr>
              <w:ind w:left="20"/>
              <w:spacing w:after="0" w:line="121" w:lineRule="exact"/>
              <w:rPr>
                <w:sz w:val="20"/>
                <w:szCs w:val="20"/>
                <w:color w:val="auto"/>
              </w:rPr>
            </w:pPr>
            <w:r>
              <w:rPr>
                <w:rFonts w:ascii="Arial" w:cs="Arial" w:eastAsia="Arial" w:hAnsi="Arial"/>
                <w:sz w:val="13"/>
                <w:szCs w:val="13"/>
                <w:b w:val="1"/>
                <w:bCs w:val="1"/>
                <w:color w:val="FFFFFF"/>
              </w:rPr>
              <w:t>Reposition the Company</w:t>
            </w:r>
          </w:p>
        </w:tc>
        <w:tc>
          <w:tcPr>
            <w:tcW w:w="180" w:type="dxa"/>
            <w:vAlign w:val="bottom"/>
            <w:tcBorders>
              <w:right w:val="single" w:sz="8" w:color="auto"/>
            </w:tcBorders>
            <w:shd w:val="clear" w:color="auto" w:fill="606489"/>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111"/>
        </w:trPr>
        <w:tc>
          <w:tcPr>
            <w:tcW w:w="20" w:type="dxa"/>
            <w:vAlign w:val="bottom"/>
            <w:shd w:val="clear" w:color="auto" w:fill="000000"/>
          </w:tcPr>
          <w:p>
            <w:pPr>
              <w:spacing w:after="0"/>
              <w:rPr>
                <w:sz w:val="9"/>
                <w:szCs w:val="9"/>
                <w:color w:val="auto"/>
              </w:rPr>
            </w:pPr>
          </w:p>
        </w:tc>
        <w:tc>
          <w:tcPr>
            <w:tcW w:w="3160" w:type="dxa"/>
            <w:vAlign w:val="bottom"/>
            <w:shd w:val="clear" w:color="auto" w:fill="606489"/>
          </w:tcPr>
          <w:p>
            <w:pPr>
              <w:spacing w:after="0"/>
              <w:rPr>
                <w:sz w:val="9"/>
                <w:szCs w:val="9"/>
                <w:color w:val="auto"/>
              </w:rPr>
            </w:pPr>
          </w:p>
        </w:tc>
        <w:tc>
          <w:tcPr>
            <w:tcW w:w="140" w:type="dxa"/>
            <w:vAlign w:val="bottom"/>
            <w:shd w:val="clear" w:color="auto" w:fill="606489"/>
          </w:tcPr>
          <w:p>
            <w:pPr>
              <w:spacing w:after="0"/>
              <w:rPr>
                <w:sz w:val="9"/>
                <w:szCs w:val="9"/>
                <w:color w:val="auto"/>
              </w:rPr>
            </w:pPr>
          </w:p>
        </w:tc>
        <w:tc>
          <w:tcPr>
            <w:tcW w:w="100" w:type="dxa"/>
            <w:vAlign w:val="bottom"/>
            <w:shd w:val="clear" w:color="auto" w:fill="606489"/>
          </w:tcPr>
          <w:p>
            <w:pPr>
              <w:spacing w:after="0"/>
              <w:rPr>
                <w:sz w:val="9"/>
                <w:szCs w:val="9"/>
                <w:color w:val="auto"/>
              </w:rPr>
            </w:pPr>
          </w:p>
        </w:tc>
        <w:tc>
          <w:tcPr>
            <w:tcW w:w="1060" w:type="dxa"/>
            <w:vAlign w:val="bottom"/>
            <w:shd w:val="clear" w:color="auto" w:fill="606489"/>
          </w:tcPr>
          <w:p>
            <w:pPr>
              <w:spacing w:after="0"/>
              <w:rPr>
                <w:sz w:val="9"/>
                <w:szCs w:val="9"/>
                <w:color w:val="auto"/>
              </w:rPr>
            </w:pPr>
          </w:p>
        </w:tc>
        <w:tc>
          <w:tcPr>
            <w:tcW w:w="100" w:type="dxa"/>
            <w:vAlign w:val="bottom"/>
            <w:shd w:val="clear" w:color="auto" w:fill="606489"/>
          </w:tcPr>
          <w:p>
            <w:pPr>
              <w:spacing w:after="0"/>
              <w:rPr>
                <w:sz w:val="9"/>
                <w:szCs w:val="9"/>
                <w:color w:val="auto"/>
              </w:rPr>
            </w:pPr>
          </w:p>
        </w:tc>
        <w:tc>
          <w:tcPr>
            <w:tcW w:w="20" w:type="dxa"/>
            <w:vAlign w:val="bottom"/>
            <w:shd w:val="clear" w:color="auto" w:fill="606489"/>
          </w:tcPr>
          <w:p>
            <w:pPr>
              <w:spacing w:after="0"/>
              <w:rPr>
                <w:sz w:val="9"/>
                <w:szCs w:val="9"/>
                <w:color w:val="auto"/>
              </w:rPr>
            </w:pPr>
          </w:p>
        </w:tc>
        <w:tc>
          <w:tcPr>
            <w:tcW w:w="3580" w:type="dxa"/>
            <w:vAlign w:val="bottom"/>
            <w:tcBorders>
              <w:left w:val="single" w:sz="8" w:color="606489"/>
            </w:tcBorders>
            <w:shd w:val="clear" w:color="auto" w:fill="606489"/>
          </w:tcPr>
          <w:p>
            <w:pPr>
              <w:spacing w:after="0"/>
              <w:rPr>
                <w:sz w:val="9"/>
                <w:szCs w:val="9"/>
                <w:color w:val="auto"/>
              </w:rPr>
            </w:pPr>
          </w:p>
        </w:tc>
        <w:tc>
          <w:tcPr>
            <w:tcW w:w="180" w:type="dxa"/>
            <w:vAlign w:val="bottom"/>
            <w:tcBorders>
              <w:right w:val="single" w:sz="8" w:color="auto"/>
            </w:tcBorders>
            <w:shd w:val="clear" w:color="auto" w:fill="606489"/>
          </w:tcPr>
          <w:p>
            <w:pPr>
              <w:spacing w:after="0"/>
              <w:rPr>
                <w:sz w:val="9"/>
                <w:szCs w:val="9"/>
                <w:color w:val="auto"/>
              </w:rPr>
            </w:pPr>
          </w:p>
        </w:tc>
      </w:tr>
      <w:tr>
        <w:trPr>
          <w:trHeight w:val="200"/>
        </w:trPr>
        <w:tc>
          <w:tcPr>
            <w:tcW w:w="20" w:type="dxa"/>
            <w:vAlign w:val="bottom"/>
            <w:shd w:val="clear" w:color="auto" w:fill="000000"/>
          </w:tcPr>
          <w:p>
            <w:pPr>
              <w:spacing w:after="0"/>
              <w:rPr>
                <w:sz w:val="17"/>
                <w:szCs w:val="17"/>
                <w:color w:val="auto"/>
              </w:rPr>
            </w:pPr>
          </w:p>
        </w:tc>
        <w:tc>
          <w:tcPr>
            <w:tcW w:w="3160" w:type="dxa"/>
            <w:vAlign w:val="bottom"/>
          </w:tcPr>
          <w:p>
            <w:pPr>
              <w:ind w:left="120"/>
              <w:spacing w:after="0"/>
              <w:rPr>
                <w:sz w:val="20"/>
                <w:szCs w:val="20"/>
                <w:color w:val="auto"/>
              </w:rPr>
            </w:pPr>
            <w:r>
              <w:rPr>
                <w:rFonts w:ascii="Arial" w:cs="Arial" w:eastAsia="Arial" w:hAnsi="Arial"/>
                <w:sz w:val="16"/>
                <w:szCs w:val="16"/>
                <w:color w:val="auto"/>
              </w:rPr>
              <w:t>Deliver transaction that re-rates the</w:t>
            </w:r>
          </w:p>
        </w:tc>
        <w:tc>
          <w:tcPr>
            <w:tcW w:w="140" w:type="dxa"/>
            <w:vAlign w:val="bottom"/>
          </w:tcPr>
          <w:p>
            <w:pPr>
              <w:spacing w:after="0"/>
              <w:rPr>
                <w:sz w:val="17"/>
                <w:szCs w:val="17"/>
                <w:color w:val="auto"/>
              </w:rPr>
            </w:pPr>
          </w:p>
        </w:tc>
        <w:tc>
          <w:tcPr>
            <w:tcW w:w="100" w:type="dxa"/>
            <w:vAlign w:val="bottom"/>
            <w:shd w:val="clear" w:color="auto" w:fill="00FF00"/>
          </w:tcPr>
          <w:p>
            <w:pPr>
              <w:spacing w:after="0"/>
              <w:rPr>
                <w:sz w:val="17"/>
                <w:szCs w:val="17"/>
                <w:color w:val="auto"/>
              </w:rPr>
            </w:pPr>
          </w:p>
        </w:tc>
        <w:tc>
          <w:tcPr>
            <w:tcW w:w="1060" w:type="dxa"/>
            <w:vAlign w:val="bottom"/>
            <w:shd w:val="clear" w:color="auto" w:fill="00FF00"/>
          </w:tcPr>
          <w:p>
            <w:pPr>
              <w:ind w:left="180"/>
              <w:spacing w:after="0"/>
              <w:rPr>
                <w:sz w:val="20"/>
                <w:szCs w:val="20"/>
                <w:color w:val="auto"/>
              </w:rPr>
            </w:pPr>
            <w:r>
              <w:rPr>
                <w:rFonts w:ascii="Arial" w:cs="Arial" w:eastAsia="Arial" w:hAnsi="Arial"/>
                <w:sz w:val="16"/>
                <w:szCs w:val="16"/>
                <w:b w:val="1"/>
                <w:bCs w:val="1"/>
                <w:color w:val="auto"/>
              </w:rPr>
              <w:t>Achieved</w:t>
            </w:r>
          </w:p>
        </w:tc>
        <w:tc>
          <w:tcPr>
            <w:tcW w:w="100" w:type="dxa"/>
            <w:vAlign w:val="bottom"/>
            <w:shd w:val="clear" w:color="auto" w:fill="00FF00"/>
          </w:tcPr>
          <w:p>
            <w:pPr>
              <w:spacing w:after="0"/>
              <w:rPr>
                <w:sz w:val="17"/>
                <w:szCs w:val="17"/>
                <w:color w:val="auto"/>
              </w:rPr>
            </w:pPr>
          </w:p>
        </w:tc>
        <w:tc>
          <w:tcPr>
            <w:tcW w:w="20" w:type="dxa"/>
            <w:vAlign w:val="bottom"/>
            <w:shd w:val="clear" w:color="auto" w:fill="2A3D6C"/>
          </w:tcPr>
          <w:p>
            <w:pPr>
              <w:spacing w:after="0"/>
              <w:rPr>
                <w:sz w:val="17"/>
                <w:szCs w:val="17"/>
                <w:color w:val="auto"/>
              </w:rPr>
            </w:pPr>
          </w:p>
        </w:tc>
        <w:tc>
          <w:tcPr>
            <w:tcW w:w="3580" w:type="dxa"/>
            <w:vAlign w:val="bottom"/>
            <w:tcBorders>
              <w:left w:val="single" w:sz="8" w:color="2A3D6C"/>
            </w:tcBorders>
          </w:tcPr>
          <w:p>
            <w:pPr>
              <w:ind w:left="80"/>
              <w:spacing w:after="0"/>
              <w:rPr>
                <w:sz w:val="20"/>
                <w:szCs w:val="20"/>
                <w:color w:val="auto"/>
              </w:rPr>
            </w:pPr>
            <w:r>
              <w:rPr>
                <w:rFonts w:ascii="Arial" w:cs="Arial" w:eastAsia="Arial" w:hAnsi="Arial"/>
                <w:sz w:val="16"/>
                <w:szCs w:val="16"/>
                <w:color w:val="auto"/>
              </w:rPr>
              <w:t>Successful acquisition of additional interests in</w:t>
            </w:r>
          </w:p>
        </w:tc>
        <w:tc>
          <w:tcPr>
            <w:tcW w:w="180" w:type="dxa"/>
            <w:vAlign w:val="bottom"/>
            <w:tcBorders>
              <w:right w:val="single" w:sz="8" w:color="auto"/>
            </w:tcBorders>
          </w:tcPr>
          <w:p>
            <w:pPr>
              <w:spacing w:after="0"/>
              <w:rPr>
                <w:sz w:val="17"/>
                <w:szCs w:val="17"/>
                <w:color w:val="auto"/>
              </w:rPr>
            </w:pPr>
          </w:p>
        </w:tc>
      </w:tr>
      <w:tr>
        <w:trPr>
          <w:trHeight w:val="202"/>
        </w:trPr>
        <w:tc>
          <w:tcPr>
            <w:tcW w:w="20" w:type="dxa"/>
            <w:vAlign w:val="bottom"/>
            <w:shd w:val="clear" w:color="auto" w:fill="000000"/>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160" w:type="dxa"/>
            <w:vAlign w:val="bottom"/>
          </w:tcPr>
          <w:p>
            <w:pPr>
              <w:ind w:left="120"/>
              <w:spacing w:after="0"/>
              <w:rPr>
                <w:sz w:val="20"/>
                <w:szCs w:val="20"/>
                <w:color w:val="auto"/>
              </w:rPr>
            </w:pPr>
            <w:r>
              <w:rPr>
                <w:rFonts w:ascii="Arial" w:cs="Arial" w:eastAsia="Arial" w:hAnsi="Arial"/>
                <w:sz w:val="16"/>
                <w:szCs w:val="16"/>
                <w:color w:val="auto"/>
              </w:rPr>
              <w:t>company by building scale and</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gridSpan w:val="2"/>
            <w:shd w:val="clear" w:color="auto" w:fill="00FF0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00FF00"/>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2A3D6C"/>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580" w:type="dxa"/>
            <w:vAlign w:val="bottom"/>
            <w:tcBorders>
              <w:left w:val="single" w:sz="8" w:color="2A3D6C"/>
            </w:tcBorders>
          </w:tcPr>
          <w:p>
            <w:pPr>
              <w:ind w:left="80"/>
              <w:spacing w:after="0"/>
              <w:rPr>
                <w:sz w:val="20"/>
                <w:szCs w:val="20"/>
                <w:color w:val="auto"/>
              </w:rPr>
            </w:pPr>
            <w:r>
              <w:rPr>
                <w:rFonts w:ascii="Arial" w:cs="Arial" w:eastAsia="Arial" w:hAnsi="Arial"/>
                <w:sz w:val="16"/>
                <w:szCs w:val="16"/>
                <w:color w:val="auto"/>
              </w:rPr>
              <w:t>Ghana from Occidental Petroleum that should</w:t>
            </w:r>
          </w:p>
        </w:tc>
        <w:tc>
          <w:tcPr>
            <w:tcW w:w="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r>
      <w:tr>
        <w:trPr>
          <w:trHeight w:val="173"/>
        </w:trPr>
        <w:tc>
          <w:tcPr>
            <w:tcW w:w="20" w:type="dxa"/>
            <w:vAlign w:val="bottom"/>
            <w:shd w:val="clear" w:color="auto" w:fill="000000"/>
          </w:tcPr>
          <w:p>
            <w:pPr>
              <w:spacing w:after="0"/>
              <w:rPr>
                <w:sz w:val="15"/>
                <w:szCs w:val="15"/>
                <w:color w:val="auto"/>
              </w:rPr>
            </w:pPr>
          </w:p>
        </w:tc>
        <w:tc>
          <w:tcPr>
            <w:tcW w:w="3160" w:type="dxa"/>
            <w:vAlign w:val="bottom"/>
          </w:tcPr>
          <w:p>
            <w:pPr>
              <w:ind w:left="120"/>
              <w:spacing w:after="0" w:line="174" w:lineRule="exact"/>
              <w:rPr>
                <w:sz w:val="20"/>
                <w:szCs w:val="20"/>
                <w:color w:val="auto"/>
              </w:rPr>
            </w:pPr>
            <w:r>
              <w:rPr>
                <w:rFonts w:ascii="Arial" w:cs="Arial" w:eastAsia="Arial" w:hAnsi="Arial"/>
                <w:sz w:val="16"/>
                <w:szCs w:val="16"/>
                <w:color w:val="auto"/>
              </w:rPr>
              <w:t>strengthening the balance sheet</w:t>
            </w:r>
          </w:p>
        </w:tc>
        <w:tc>
          <w:tcPr>
            <w:tcW w:w="140" w:type="dxa"/>
            <w:vAlign w:val="bottom"/>
          </w:tcPr>
          <w:p>
            <w:pPr>
              <w:spacing w:after="0"/>
              <w:rPr>
                <w:sz w:val="15"/>
                <w:szCs w:val="15"/>
                <w:color w:val="auto"/>
              </w:rPr>
            </w:pPr>
          </w:p>
        </w:tc>
        <w:tc>
          <w:tcPr>
            <w:tcW w:w="100" w:type="dxa"/>
            <w:vAlign w:val="bottom"/>
            <w:shd w:val="clear" w:color="auto" w:fill="00FF00"/>
          </w:tcPr>
          <w:p>
            <w:pPr>
              <w:spacing w:after="0"/>
              <w:rPr>
                <w:sz w:val="15"/>
                <w:szCs w:val="15"/>
                <w:color w:val="auto"/>
              </w:rPr>
            </w:pPr>
          </w:p>
        </w:tc>
        <w:tc>
          <w:tcPr>
            <w:tcW w:w="1060" w:type="dxa"/>
            <w:vAlign w:val="bottom"/>
            <w:shd w:val="clear" w:color="auto" w:fill="00FF00"/>
          </w:tcPr>
          <w:p>
            <w:pPr>
              <w:spacing w:after="0"/>
              <w:rPr>
                <w:sz w:val="15"/>
                <w:szCs w:val="15"/>
                <w:color w:val="auto"/>
              </w:rPr>
            </w:pPr>
          </w:p>
        </w:tc>
        <w:tc>
          <w:tcPr>
            <w:tcW w:w="100" w:type="dxa"/>
            <w:vAlign w:val="bottom"/>
            <w:shd w:val="clear" w:color="auto" w:fill="00FF00"/>
          </w:tcPr>
          <w:p>
            <w:pPr>
              <w:spacing w:after="0"/>
              <w:rPr>
                <w:sz w:val="15"/>
                <w:szCs w:val="15"/>
                <w:color w:val="auto"/>
              </w:rPr>
            </w:pPr>
          </w:p>
        </w:tc>
        <w:tc>
          <w:tcPr>
            <w:tcW w:w="20" w:type="dxa"/>
            <w:vAlign w:val="bottom"/>
            <w:shd w:val="clear" w:color="auto" w:fill="2A3D6C"/>
          </w:tcPr>
          <w:p>
            <w:pPr>
              <w:spacing w:after="0"/>
              <w:rPr>
                <w:sz w:val="15"/>
                <w:szCs w:val="15"/>
                <w:color w:val="auto"/>
              </w:rPr>
            </w:pPr>
          </w:p>
        </w:tc>
        <w:tc>
          <w:tcPr>
            <w:tcW w:w="3580" w:type="dxa"/>
            <w:vAlign w:val="bottom"/>
            <w:tcBorders>
              <w:left w:val="single" w:sz="8" w:color="2A3D6C"/>
            </w:tcBorders>
          </w:tcPr>
          <w:p>
            <w:pPr>
              <w:ind w:left="80"/>
              <w:spacing w:after="0" w:line="174" w:lineRule="exact"/>
              <w:rPr>
                <w:sz w:val="20"/>
                <w:szCs w:val="20"/>
                <w:color w:val="auto"/>
              </w:rPr>
            </w:pPr>
            <w:r>
              <w:rPr>
                <w:rFonts w:ascii="Arial" w:cs="Arial" w:eastAsia="Arial" w:hAnsi="Arial"/>
                <w:sz w:val="16"/>
                <w:szCs w:val="16"/>
                <w:color w:val="auto"/>
              </w:rPr>
              <w:t>improve the Company’s EBITDAX and free cash</w:t>
            </w:r>
          </w:p>
        </w:tc>
        <w:tc>
          <w:tcPr>
            <w:tcW w:w="180" w:type="dxa"/>
            <w:vAlign w:val="bottom"/>
            <w:tcBorders>
              <w:right w:val="single" w:sz="8" w:color="auto"/>
            </w:tcBorders>
          </w:tcPr>
          <w:p>
            <w:pPr>
              <w:spacing w:after="0"/>
              <w:rPr>
                <w:sz w:val="15"/>
                <w:szCs w:val="15"/>
                <w:color w:val="auto"/>
              </w:rPr>
            </w:pPr>
          </w:p>
        </w:tc>
      </w:tr>
      <w:tr>
        <w:trPr>
          <w:trHeight w:val="235"/>
        </w:trPr>
        <w:tc>
          <w:tcPr>
            <w:tcW w:w="20" w:type="dxa"/>
            <w:vAlign w:val="bottom"/>
            <w:tcBorders>
              <w:bottom w:val="single" w:sz="8" w:color="auto"/>
            </w:tcBorders>
            <w:shd w:val="clear" w:color="auto" w:fill="000000"/>
          </w:tcPr>
          <w:p>
            <w:pPr>
              <w:spacing w:after="0"/>
              <w:rPr>
                <w:sz w:val="20"/>
                <w:szCs w:val="20"/>
                <w:color w:val="auto"/>
              </w:rPr>
            </w:pPr>
          </w:p>
        </w:tc>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00FF00"/>
            </w:tcBorders>
            <w:shd w:val="clear" w:color="auto" w:fill="00FF00"/>
          </w:tcPr>
          <w:p>
            <w:pPr>
              <w:spacing w:after="0"/>
              <w:rPr>
                <w:sz w:val="20"/>
                <w:szCs w:val="20"/>
                <w:color w:val="auto"/>
              </w:rPr>
            </w:pPr>
          </w:p>
        </w:tc>
        <w:tc>
          <w:tcPr>
            <w:tcW w:w="1060" w:type="dxa"/>
            <w:vAlign w:val="bottom"/>
            <w:tcBorders>
              <w:bottom w:val="single" w:sz="8" w:color="00FF00"/>
            </w:tcBorders>
            <w:shd w:val="clear" w:color="auto" w:fill="00FF00"/>
          </w:tcPr>
          <w:p>
            <w:pPr>
              <w:spacing w:after="0"/>
              <w:rPr>
                <w:sz w:val="20"/>
                <w:szCs w:val="20"/>
                <w:color w:val="auto"/>
              </w:rPr>
            </w:pPr>
          </w:p>
        </w:tc>
        <w:tc>
          <w:tcPr>
            <w:tcW w:w="100" w:type="dxa"/>
            <w:vAlign w:val="bottom"/>
            <w:tcBorders>
              <w:bottom w:val="single" w:sz="8" w:color="00FF00"/>
            </w:tcBorders>
            <w:shd w:val="clear" w:color="auto" w:fill="00FF00"/>
          </w:tcPr>
          <w:p>
            <w:pPr>
              <w:spacing w:after="0"/>
              <w:rPr>
                <w:sz w:val="20"/>
                <w:szCs w:val="20"/>
                <w:color w:val="auto"/>
              </w:rPr>
            </w:pPr>
          </w:p>
        </w:tc>
        <w:tc>
          <w:tcPr>
            <w:tcW w:w="20" w:type="dxa"/>
            <w:vAlign w:val="bottom"/>
            <w:tcBorders>
              <w:bottom w:val="single" w:sz="8" w:color="2A3D6C"/>
            </w:tcBorders>
            <w:shd w:val="clear" w:color="auto" w:fill="2A3D6C"/>
          </w:tcPr>
          <w:p>
            <w:pPr>
              <w:spacing w:after="0"/>
              <w:rPr>
                <w:sz w:val="20"/>
                <w:szCs w:val="20"/>
                <w:color w:val="auto"/>
              </w:rPr>
            </w:pPr>
          </w:p>
        </w:tc>
        <w:tc>
          <w:tcPr>
            <w:tcW w:w="3580" w:type="dxa"/>
            <w:vAlign w:val="bottom"/>
            <w:tcBorders>
              <w:left w:val="single" w:sz="8" w:color="2A3D6C"/>
            </w:tcBorders>
          </w:tcPr>
          <w:p>
            <w:pPr>
              <w:ind w:left="80"/>
              <w:spacing w:after="0"/>
              <w:rPr>
                <w:sz w:val="20"/>
                <w:szCs w:val="20"/>
                <w:color w:val="auto"/>
              </w:rPr>
            </w:pPr>
            <w:r>
              <w:rPr>
                <w:rFonts w:ascii="Arial" w:cs="Arial" w:eastAsia="Arial" w:hAnsi="Arial"/>
                <w:sz w:val="16"/>
                <w:szCs w:val="16"/>
                <w:color w:val="auto"/>
              </w:rPr>
              <w:t>flow.</w:t>
            </w:r>
          </w:p>
        </w:tc>
        <w:tc>
          <w:tcPr>
            <w:tcW w:w="180" w:type="dxa"/>
            <w:vAlign w:val="bottom"/>
            <w:tcBorders>
              <w:right w:val="single" w:sz="8" w:color="auto"/>
            </w:tcBorders>
          </w:tcPr>
          <w:p>
            <w:pPr>
              <w:spacing w:after="0"/>
              <w:rPr>
                <w:sz w:val="20"/>
                <w:szCs w:val="20"/>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2A3D6C"/>
          </w:tcPr>
          <w:p>
            <w:pPr>
              <w:spacing w:after="0" w:line="20" w:lineRule="exact"/>
              <w:rPr>
                <w:sz w:val="1"/>
                <w:szCs w:val="1"/>
                <w:color w:val="auto"/>
              </w:rPr>
            </w:pPr>
          </w:p>
        </w:tc>
        <w:tc>
          <w:tcPr>
            <w:tcW w:w="3580" w:type="dxa"/>
            <w:vAlign w:val="bottom"/>
            <w:tcBorders>
              <w:left w:val="single" w:sz="8" w:color="2A3D6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-3884930</wp:posOffset>
            </wp:positionV>
            <wp:extent cx="8255" cy="38855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3885565"/>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153035</wp:posOffset>
            </wp:positionV>
            <wp:extent cx="8159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271" w:lineRule="exact"/>
        <w:rPr>
          <w:sz w:val="20"/>
          <w:szCs w:val="20"/>
          <w:color w:val="auto"/>
        </w:rPr>
      </w:pPr>
    </w:p>
    <w:p>
      <w:pPr>
        <w:ind w:left="680" w:hanging="354"/>
        <w:spacing w:after="0"/>
        <w:tabs>
          <w:tab w:leader="none" w:pos="6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“Net Cash G&amp;A” represents G&amp;A excluding non-cash equity-based compensation expense.</w:t>
      </w:r>
    </w:p>
    <w:p>
      <w:pPr>
        <w:spacing w:after="0" w:line="41" w:lineRule="exact"/>
        <w:rPr>
          <w:rFonts w:ascii="Arial" w:cs="Arial" w:eastAsia="Arial" w:hAnsi="Arial"/>
          <w:sz w:val="15"/>
          <w:szCs w:val="15"/>
          <w:color w:val="auto"/>
        </w:rPr>
      </w:pPr>
    </w:p>
    <w:p>
      <w:pPr>
        <w:ind w:left="680" w:hanging="354"/>
        <w:spacing w:after="0"/>
        <w:tabs>
          <w:tab w:leader="none" w:pos="6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Excluding impact of acquisitions.</w:t>
      </w:r>
    </w:p>
    <w:p>
      <w:pPr>
        <w:spacing w:after="0" w:line="41" w:lineRule="exact"/>
        <w:rPr>
          <w:rFonts w:ascii="Arial" w:cs="Arial" w:eastAsia="Arial" w:hAnsi="Arial"/>
          <w:sz w:val="15"/>
          <w:szCs w:val="15"/>
          <w:color w:val="auto"/>
        </w:rPr>
      </w:pPr>
    </w:p>
    <w:p>
      <w:pPr>
        <w:ind w:left="680" w:hanging="354"/>
        <w:spacing w:after="0"/>
        <w:tabs>
          <w:tab w:leader="none" w:pos="6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“EBITDAX” is defined in the Company’s 2021 Annual Report on Form 10-K.</w:t>
      </w:r>
    </w:p>
    <w:p>
      <w:pPr>
        <w:spacing w:after="0" w:line="41" w:lineRule="exact"/>
        <w:rPr>
          <w:rFonts w:ascii="Arial" w:cs="Arial" w:eastAsia="Arial" w:hAnsi="Arial"/>
          <w:sz w:val="15"/>
          <w:szCs w:val="15"/>
          <w:color w:val="auto"/>
        </w:rPr>
      </w:pPr>
    </w:p>
    <w:p>
      <w:pPr>
        <w:ind w:left="680" w:hanging="354"/>
        <w:spacing w:after="0"/>
        <w:tabs>
          <w:tab w:leader="none" w:pos="6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Inclusive of Winterfell Appraisal capital due to successful exploration drilling.</w:t>
      </w:r>
    </w:p>
    <w:p>
      <w:pPr>
        <w:spacing w:after="0" w:line="119"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44</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80"/>
        </w:trPr>
        <w:tc>
          <w:tcPr>
            <w:tcW w:w="920" w:type="dxa"/>
            <w:vAlign w:val="bottom"/>
            <w:vMerge w:val="continue"/>
          </w:tcPr>
          <w:p>
            <w:pPr>
              <w:spacing w:after="0"/>
              <w:rPr>
                <w:sz w:val="24"/>
                <w:szCs w:val="24"/>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9" w:name="page50"/>
    <w:bookmarkEnd w:id="49"/>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right"/>
        <w:ind w:right="339"/>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26" w:lineRule="exact"/>
        <w:rPr>
          <w:sz w:val="20"/>
          <w:szCs w:val="20"/>
          <w:color w:val="auto"/>
        </w:rPr>
      </w:pPr>
    </w:p>
    <w:p>
      <w:pPr>
        <w:ind w:left="320"/>
        <w:spacing w:after="0" w:line="248" w:lineRule="auto"/>
        <w:rPr>
          <w:sz w:val="20"/>
          <w:szCs w:val="20"/>
          <w:color w:val="auto"/>
        </w:rPr>
      </w:pPr>
      <w:r>
        <w:rPr>
          <w:rFonts w:ascii="Arial" w:cs="Arial" w:eastAsia="Arial" w:hAnsi="Arial"/>
          <w:sz w:val="16"/>
          <w:szCs w:val="16"/>
          <w:color w:val="auto"/>
        </w:rPr>
        <w:t>In evaluating the Actual Bonus Pool for the 2021 performance year, the Compensation Committee considered the Company’s strategic, financial and operating performance, including robust production growth, a strengthened balance sheet and healthy liquidity, the acquisition of additional interests in Ghana from Occidental Petroleum and the continued advancement of Phase 1 of the Tortue LNG project to approximately 70% complete at year end. As a result, the Committee approved the Actual Bonus Pool for 2021 at 100% of the Base Bonus Pool.</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359"/>
        <w:spacing w:after="0" w:line="250" w:lineRule="auto"/>
        <w:rPr>
          <w:sz w:val="20"/>
          <w:szCs w:val="20"/>
          <w:color w:val="auto"/>
        </w:rPr>
      </w:pPr>
      <w:r>
        <w:rPr>
          <w:rFonts w:ascii="Arial" w:cs="Arial" w:eastAsia="Arial" w:hAnsi="Arial"/>
          <w:sz w:val="16"/>
          <w:szCs w:val="16"/>
          <w:color w:val="auto"/>
        </w:rPr>
        <w:t>In determining the individual bonus award for each of our current named executive officers for 2021 payable from the 2021 Actual Bonus Pool, the Compensation Committee considered each executive’s individual contributions, including strategic initiatives, financial performance, operating performance and organizational leadership.</w:t>
      </w:r>
    </w:p>
    <w:p>
      <w:pPr>
        <w:spacing w:after="0" w:line="827" w:lineRule="exact"/>
        <w:rPr>
          <w:sz w:val="20"/>
          <w:szCs w:val="20"/>
          <w:color w:val="auto"/>
        </w:rPr>
      </w:pPr>
    </w:p>
    <w:p>
      <w:pPr>
        <w:sectPr>
          <w:pgSz w:w="11900" w:h="16838" w:orient="portrait"/>
          <w:cols w:equalWidth="0" w:num="2">
            <w:col w:w="4340" w:space="280"/>
            <w:col w:w="4399"/>
          </w:cols>
          <w:pgMar w:left="1440" w:top="262" w:right="1440" w:bottom="1440" w:gutter="0" w:footer="0" w:header="0"/>
          <w:type w:val="continuous"/>
        </w:sectPr>
      </w:pPr>
    </w:p>
    <w:p>
      <w:pPr>
        <w:ind w:left="320" w:right="439"/>
        <w:spacing w:after="0" w:line="263" w:lineRule="auto"/>
        <w:rPr>
          <w:sz w:val="20"/>
          <w:szCs w:val="20"/>
          <w:color w:val="auto"/>
        </w:rPr>
      </w:pPr>
      <w:r>
        <w:rPr>
          <w:rFonts w:ascii="Arial" w:cs="Arial" w:eastAsia="Arial" w:hAnsi="Arial"/>
          <w:sz w:val="16"/>
          <w:szCs w:val="16"/>
          <w:color w:val="auto"/>
        </w:rPr>
        <w:t>The table below sets forth our current named executive officers’ target and maximum bonus opportunities for 2021, along with the actual amounts of the bonuses that they received for 2021 based on the achievement of the KPIs and Company described above:</w:t>
      </w:r>
    </w:p>
    <w:p>
      <w:pPr>
        <w:spacing w:after="0" w:line="39" w:lineRule="exact"/>
        <w:rPr>
          <w:sz w:val="20"/>
          <w:szCs w:val="20"/>
          <w:color w:val="auto"/>
        </w:rPr>
      </w:pPr>
    </w:p>
    <w:tbl>
      <w:tblPr>
        <w:tblLayout w:type="fixed"/>
        <w:tblInd w:w="32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1280" w:type="dxa"/>
            <w:vAlign w:val="bottom"/>
            <w:shd w:val="clear" w:color="auto" w:fill="717295"/>
          </w:tcPr>
          <w:p>
            <w:pPr>
              <w:spacing w:after="0"/>
              <w:rPr>
                <w:sz w:val="22"/>
                <w:szCs w:val="22"/>
                <w:color w:val="auto"/>
              </w:rPr>
            </w:pPr>
          </w:p>
        </w:tc>
        <w:tc>
          <w:tcPr>
            <w:tcW w:w="940" w:type="dxa"/>
            <w:vAlign w:val="bottom"/>
            <w:shd w:val="clear" w:color="auto" w:fill="717295"/>
          </w:tcPr>
          <w:p>
            <w:pPr>
              <w:spacing w:after="0"/>
              <w:rPr>
                <w:sz w:val="22"/>
                <w:szCs w:val="22"/>
                <w:color w:val="auto"/>
              </w:rPr>
            </w:pPr>
          </w:p>
        </w:tc>
        <w:tc>
          <w:tcPr>
            <w:tcW w:w="880" w:type="dxa"/>
            <w:vAlign w:val="bottom"/>
            <w:shd w:val="clear" w:color="auto" w:fill="717295"/>
          </w:tcPr>
          <w:p>
            <w:pPr>
              <w:spacing w:after="0"/>
              <w:rPr>
                <w:sz w:val="22"/>
                <w:szCs w:val="22"/>
                <w:color w:val="auto"/>
              </w:rPr>
            </w:pPr>
          </w:p>
        </w:tc>
        <w:tc>
          <w:tcPr>
            <w:tcW w:w="140" w:type="dxa"/>
            <w:vAlign w:val="bottom"/>
            <w:shd w:val="clear" w:color="auto" w:fill="717295"/>
          </w:tcPr>
          <w:p>
            <w:pPr>
              <w:spacing w:after="0"/>
              <w:rPr>
                <w:sz w:val="22"/>
                <w:szCs w:val="22"/>
                <w:color w:val="auto"/>
              </w:rPr>
            </w:pPr>
          </w:p>
        </w:tc>
        <w:tc>
          <w:tcPr>
            <w:tcW w:w="102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Target Bonus</w:t>
            </w:r>
          </w:p>
        </w:tc>
        <w:tc>
          <w:tcPr>
            <w:tcW w:w="100" w:type="dxa"/>
            <w:vAlign w:val="bottom"/>
            <w:shd w:val="clear" w:color="auto" w:fill="717295"/>
          </w:tcPr>
          <w:p>
            <w:pPr>
              <w:spacing w:after="0"/>
              <w:rPr>
                <w:sz w:val="22"/>
                <w:szCs w:val="22"/>
                <w:color w:val="auto"/>
              </w:rPr>
            </w:pPr>
          </w:p>
        </w:tc>
        <w:tc>
          <w:tcPr>
            <w:tcW w:w="160" w:type="dxa"/>
            <w:vAlign w:val="bottom"/>
            <w:shd w:val="clear" w:color="auto" w:fill="717295"/>
          </w:tcPr>
          <w:p>
            <w:pPr>
              <w:spacing w:after="0"/>
              <w:rPr>
                <w:sz w:val="22"/>
                <w:szCs w:val="22"/>
                <w:color w:val="auto"/>
              </w:rPr>
            </w:pPr>
          </w:p>
        </w:tc>
        <w:tc>
          <w:tcPr>
            <w:tcW w:w="1080" w:type="dxa"/>
            <w:vAlign w:val="bottom"/>
            <w:shd w:val="clear" w:color="auto" w:fill="717295"/>
          </w:tcPr>
          <w:p>
            <w:pPr>
              <w:spacing w:after="0"/>
              <w:rPr>
                <w:sz w:val="22"/>
                <w:szCs w:val="22"/>
                <w:color w:val="auto"/>
              </w:rPr>
            </w:pPr>
          </w:p>
        </w:tc>
        <w:tc>
          <w:tcPr>
            <w:tcW w:w="80" w:type="dxa"/>
            <w:vAlign w:val="bottom"/>
            <w:shd w:val="clear" w:color="auto" w:fill="717295"/>
          </w:tcPr>
          <w:p>
            <w:pPr>
              <w:spacing w:after="0"/>
              <w:rPr>
                <w:sz w:val="22"/>
                <w:szCs w:val="22"/>
                <w:color w:val="auto"/>
              </w:rPr>
            </w:pPr>
          </w:p>
        </w:tc>
        <w:tc>
          <w:tcPr>
            <w:tcW w:w="160" w:type="dxa"/>
            <w:vAlign w:val="bottom"/>
            <w:shd w:val="clear" w:color="auto" w:fill="717295"/>
          </w:tcPr>
          <w:p>
            <w:pPr>
              <w:spacing w:after="0"/>
              <w:rPr>
                <w:sz w:val="22"/>
                <w:szCs w:val="22"/>
                <w:color w:val="auto"/>
              </w:rPr>
            </w:pPr>
          </w:p>
        </w:tc>
        <w:tc>
          <w:tcPr>
            <w:tcW w:w="1260" w:type="dxa"/>
            <w:vAlign w:val="bottom"/>
            <w:shd w:val="clear" w:color="auto" w:fill="717295"/>
          </w:tcPr>
          <w:p>
            <w:pPr>
              <w:spacing w:after="0"/>
              <w:rPr>
                <w:sz w:val="22"/>
                <w:szCs w:val="22"/>
                <w:color w:val="auto"/>
              </w:rPr>
            </w:pPr>
          </w:p>
        </w:tc>
        <w:tc>
          <w:tcPr>
            <w:tcW w:w="80" w:type="dxa"/>
            <w:vAlign w:val="bottom"/>
            <w:shd w:val="clear" w:color="auto" w:fill="717295"/>
          </w:tcPr>
          <w:p>
            <w:pPr>
              <w:spacing w:after="0"/>
              <w:rPr>
                <w:sz w:val="22"/>
                <w:szCs w:val="22"/>
                <w:color w:val="auto"/>
              </w:rPr>
            </w:pPr>
          </w:p>
        </w:tc>
        <w:tc>
          <w:tcPr>
            <w:tcW w:w="160" w:type="dxa"/>
            <w:vAlign w:val="bottom"/>
            <w:shd w:val="clear" w:color="auto" w:fill="717295"/>
          </w:tcPr>
          <w:p>
            <w:pPr>
              <w:spacing w:after="0"/>
              <w:rPr>
                <w:sz w:val="22"/>
                <w:szCs w:val="22"/>
                <w:color w:val="auto"/>
              </w:rPr>
            </w:pPr>
          </w:p>
        </w:tc>
        <w:tc>
          <w:tcPr>
            <w:tcW w:w="880" w:type="dxa"/>
            <w:vAlign w:val="bottom"/>
            <w:shd w:val="clear" w:color="auto" w:fill="717295"/>
          </w:tcPr>
          <w:p>
            <w:pPr>
              <w:spacing w:after="0"/>
              <w:rPr>
                <w:sz w:val="22"/>
                <w:szCs w:val="22"/>
                <w:color w:val="auto"/>
              </w:rPr>
            </w:pPr>
          </w:p>
        </w:tc>
        <w:tc>
          <w:tcPr>
            <w:tcW w:w="120" w:type="dxa"/>
            <w:vAlign w:val="bottom"/>
            <w:shd w:val="clear" w:color="auto" w:fill="717295"/>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280" w:type="dxa"/>
            <w:vAlign w:val="bottom"/>
            <w:shd w:val="clear" w:color="auto" w:fill="717295"/>
          </w:tcPr>
          <w:p>
            <w:pPr>
              <w:spacing w:after="0"/>
              <w:rPr>
                <w:sz w:val="14"/>
                <w:szCs w:val="14"/>
                <w:color w:val="auto"/>
              </w:rPr>
            </w:pPr>
          </w:p>
        </w:tc>
        <w:tc>
          <w:tcPr>
            <w:tcW w:w="940" w:type="dxa"/>
            <w:vAlign w:val="bottom"/>
            <w:shd w:val="clear" w:color="auto" w:fill="717295"/>
          </w:tcPr>
          <w:p>
            <w:pPr>
              <w:spacing w:after="0"/>
              <w:rPr>
                <w:sz w:val="14"/>
                <w:szCs w:val="14"/>
                <w:color w:val="auto"/>
              </w:rPr>
            </w:pPr>
          </w:p>
        </w:tc>
        <w:tc>
          <w:tcPr>
            <w:tcW w:w="880" w:type="dxa"/>
            <w:vAlign w:val="bottom"/>
            <w:shd w:val="clear" w:color="auto" w:fill="717295"/>
          </w:tcPr>
          <w:p>
            <w:pPr>
              <w:ind w:left="8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717295"/>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Opportunity</w:t>
            </w:r>
          </w:p>
        </w:tc>
        <w:tc>
          <w:tcPr>
            <w:tcW w:w="100" w:type="dxa"/>
            <w:vAlign w:val="bottom"/>
            <w:shd w:val="clear" w:color="auto" w:fill="717295"/>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717295"/>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vMerge w:val="restart"/>
            <w:shd w:val="clear" w:color="auto" w:fill="717295"/>
          </w:tcPr>
          <w:p>
            <w:pPr>
              <w:jc w:val="right"/>
              <w:ind w:right="2"/>
              <w:spacing w:after="0"/>
              <w:rPr>
                <w:sz w:val="20"/>
                <w:szCs w:val="20"/>
                <w:color w:val="auto"/>
              </w:rPr>
            </w:pPr>
            <w:r>
              <w:rPr>
                <w:rFonts w:ascii="Arial" w:cs="Arial" w:eastAsia="Arial" w:hAnsi="Arial"/>
                <w:sz w:val="14"/>
                <w:szCs w:val="14"/>
                <w:b w:val="1"/>
                <w:bCs w:val="1"/>
                <w:color w:val="FFFFFF"/>
              </w:rPr>
              <w:t>Target Bonus</w:t>
            </w:r>
          </w:p>
        </w:tc>
        <w:tc>
          <w:tcPr>
            <w:tcW w:w="80" w:type="dxa"/>
            <w:vAlign w:val="bottom"/>
            <w:shd w:val="clear" w:color="auto" w:fill="717295"/>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717295"/>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vMerge w:val="restart"/>
            <w:shd w:val="clear" w:color="auto" w:fill="717295"/>
          </w:tcPr>
          <w:p>
            <w:pPr>
              <w:jc w:val="right"/>
              <w:spacing w:after="0"/>
              <w:rPr>
                <w:sz w:val="20"/>
                <w:szCs w:val="20"/>
                <w:color w:val="auto"/>
              </w:rPr>
            </w:pPr>
            <w:r>
              <w:rPr>
                <w:rFonts w:ascii="Arial" w:cs="Arial" w:eastAsia="Arial" w:hAnsi="Arial"/>
                <w:sz w:val="14"/>
                <w:szCs w:val="14"/>
                <w:b w:val="1"/>
                <w:bCs w:val="1"/>
                <w:color w:val="FFFFFF"/>
              </w:rPr>
              <w:t>Maximum Bonus</w:t>
            </w:r>
          </w:p>
        </w:tc>
        <w:tc>
          <w:tcPr>
            <w:tcW w:w="80" w:type="dxa"/>
            <w:vAlign w:val="bottom"/>
            <w:shd w:val="clear" w:color="auto" w:fill="717295"/>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717295"/>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vMerge w:val="restart"/>
            <w:shd w:val="clear" w:color="auto" w:fill="717295"/>
          </w:tcPr>
          <w:p>
            <w:pPr>
              <w:jc w:val="center"/>
              <w:spacing w:after="0"/>
              <w:rPr>
                <w:sz w:val="20"/>
                <w:szCs w:val="20"/>
                <w:color w:val="auto"/>
              </w:rPr>
            </w:pPr>
            <w:r>
              <w:rPr>
                <w:rFonts w:ascii="Arial" w:cs="Arial" w:eastAsia="Arial" w:hAnsi="Arial"/>
                <w:sz w:val="14"/>
                <w:szCs w:val="14"/>
                <w:b w:val="1"/>
                <w:bCs w:val="1"/>
                <w:color w:val="FFFFFF"/>
              </w:rPr>
              <w:t>Actual 2021</w:t>
            </w:r>
          </w:p>
        </w:tc>
        <w:tc>
          <w:tcPr>
            <w:tcW w:w="120" w:type="dxa"/>
            <w:vAlign w:val="bottom"/>
            <w:shd w:val="clear" w:color="auto" w:fill="717295"/>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80" w:type="dxa"/>
            <w:vAlign w:val="bottom"/>
            <w:shd w:val="clear" w:color="auto" w:fill="717295"/>
          </w:tcPr>
          <w:p>
            <w:pPr>
              <w:spacing w:after="0"/>
              <w:rPr>
                <w:sz w:val="13"/>
                <w:szCs w:val="13"/>
                <w:color w:val="auto"/>
              </w:rPr>
            </w:pPr>
          </w:p>
        </w:tc>
        <w:tc>
          <w:tcPr>
            <w:tcW w:w="940" w:type="dxa"/>
            <w:vAlign w:val="bottom"/>
            <w:shd w:val="clear" w:color="auto" w:fill="717295"/>
          </w:tcPr>
          <w:p>
            <w:pPr>
              <w:spacing w:after="0"/>
              <w:rPr>
                <w:sz w:val="13"/>
                <w:szCs w:val="13"/>
                <w:color w:val="auto"/>
              </w:rPr>
            </w:pPr>
          </w:p>
        </w:tc>
        <w:tc>
          <w:tcPr>
            <w:tcW w:w="880" w:type="dxa"/>
            <w:vAlign w:val="bottom"/>
            <w:shd w:val="clear" w:color="auto" w:fill="717295"/>
          </w:tcPr>
          <w:p>
            <w:pPr>
              <w:spacing w:after="0"/>
              <w:rPr>
                <w:sz w:val="13"/>
                <w:szCs w:val="13"/>
                <w:color w:val="auto"/>
              </w:rPr>
            </w:pPr>
          </w:p>
        </w:tc>
        <w:tc>
          <w:tcPr>
            <w:tcW w:w="140" w:type="dxa"/>
            <w:vAlign w:val="bottom"/>
            <w:shd w:val="clear" w:color="auto" w:fill="717295"/>
          </w:tcPr>
          <w:p>
            <w:pPr>
              <w:spacing w:after="0"/>
              <w:rPr>
                <w:sz w:val="13"/>
                <w:szCs w:val="13"/>
                <w:color w:val="auto"/>
              </w:rPr>
            </w:pPr>
          </w:p>
        </w:tc>
        <w:tc>
          <w:tcPr>
            <w:tcW w:w="1020" w:type="dxa"/>
            <w:vAlign w:val="bottom"/>
            <w:shd w:val="clear" w:color="auto" w:fill="717295"/>
          </w:tcPr>
          <w:p>
            <w:pPr>
              <w:jc w:val="center"/>
              <w:spacing w:after="0" w:line="151" w:lineRule="exact"/>
              <w:rPr>
                <w:sz w:val="20"/>
                <w:szCs w:val="20"/>
                <w:color w:val="auto"/>
              </w:rPr>
            </w:pPr>
            <w:r>
              <w:rPr>
                <w:rFonts w:ascii="Arial" w:cs="Arial" w:eastAsia="Arial" w:hAnsi="Arial"/>
                <w:sz w:val="14"/>
                <w:szCs w:val="14"/>
                <w:b w:val="1"/>
                <w:bCs w:val="1"/>
                <w:color w:val="FFFFFF"/>
              </w:rPr>
              <w:t>(as % of Base</w:t>
            </w:r>
          </w:p>
        </w:tc>
        <w:tc>
          <w:tcPr>
            <w:tcW w:w="100" w:type="dxa"/>
            <w:vAlign w:val="bottom"/>
            <w:shd w:val="clear" w:color="auto" w:fill="717295"/>
          </w:tcPr>
          <w:p>
            <w:pPr>
              <w:spacing w:after="0"/>
              <w:rPr>
                <w:sz w:val="13"/>
                <w:szCs w:val="13"/>
                <w:color w:val="auto"/>
              </w:rPr>
            </w:pPr>
          </w:p>
        </w:tc>
        <w:tc>
          <w:tcPr>
            <w:tcW w:w="160" w:type="dxa"/>
            <w:vAlign w:val="bottom"/>
            <w:shd w:val="clear" w:color="auto" w:fill="717295"/>
          </w:tcPr>
          <w:p>
            <w:pPr>
              <w:spacing w:after="0"/>
              <w:rPr>
                <w:sz w:val="13"/>
                <w:szCs w:val="13"/>
                <w:color w:val="auto"/>
              </w:rPr>
            </w:pPr>
          </w:p>
        </w:tc>
        <w:tc>
          <w:tcPr>
            <w:tcW w:w="1080" w:type="dxa"/>
            <w:vAlign w:val="bottom"/>
            <w:vMerge w:val="continue"/>
            <w:shd w:val="clear" w:color="auto" w:fill="717295"/>
          </w:tcPr>
          <w:p>
            <w:pPr>
              <w:spacing w:after="0"/>
              <w:rPr>
                <w:sz w:val="13"/>
                <w:szCs w:val="13"/>
                <w:color w:val="auto"/>
              </w:rPr>
            </w:pPr>
          </w:p>
        </w:tc>
        <w:tc>
          <w:tcPr>
            <w:tcW w:w="80" w:type="dxa"/>
            <w:vAlign w:val="bottom"/>
            <w:shd w:val="clear" w:color="auto" w:fill="717295"/>
          </w:tcPr>
          <w:p>
            <w:pPr>
              <w:spacing w:after="0"/>
              <w:rPr>
                <w:sz w:val="13"/>
                <w:szCs w:val="13"/>
                <w:color w:val="auto"/>
              </w:rPr>
            </w:pPr>
          </w:p>
        </w:tc>
        <w:tc>
          <w:tcPr>
            <w:tcW w:w="160" w:type="dxa"/>
            <w:vAlign w:val="bottom"/>
            <w:shd w:val="clear" w:color="auto" w:fill="717295"/>
          </w:tcPr>
          <w:p>
            <w:pPr>
              <w:spacing w:after="0"/>
              <w:rPr>
                <w:sz w:val="13"/>
                <w:szCs w:val="13"/>
                <w:color w:val="auto"/>
              </w:rPr>
            </w:pPr>
          </w:p>
        </w:tc>
        <w:tc>
          <w:tcPr>
            <w:tcW w:w="1260" w:type="dxa"/>
            <w:vAlign w:val="bottom"/>
            <w:vMerge w:val="continue"/>
            <w:shd w:val="clear" w:color="auto" w:fill="717295"/>
          </w:tcPr>
          <w:p>
            <w:pPr>
              <w:spacing w:after="0"/>
              <w:rPr>
                <w:sz w:val="13"/>
                <w:szCs w:val="13"/>
                <w:color w:val="auto"/>
              </w:rPr>
            </w:pPr>
          </w:p>
        </w:tc>
        <w:tc>
          <w:tcPr>
            <w:tcW w:w="80" w:type="dxa"/>
            <w:vAlign w:val="bottom"/>
            <w:shd w:val="clear" w:color="auto" w:fill="717295"/>
          </w:tcPr>
          <w:p>
            <w:pPr>
              <w:spacing w:after="0"/>
              <w:rPr>
                <w:sz w:val="13"/>
                <w:szCs w:val="13"/>
                <w:color w:val="auto"/>
              </w:rPr>
            </w:pPr>
          </w:p>
        </w:tc>
        <w:tc>
          <w:tcPr>
            <w:tcW w:w="160" w:type="dxa"/>
            <w:vAlign w:val="bottom"/>
            <w:shd w:val="clear" w:color="auto" w:fill="717295"/>
          </w:tcPr>
          <w:p>
            <w:pPr>
              <w:spacing w:after="0"/>
              <w:rPr>
                <w:sz w:val="13"/>
                <w:szCs w:val="13"/>
                <w:color w:val="auto"/>
              </w:rPr>
            </w:pPr>
          </w:p>
        </w:tc>
        <w:tc>
          <w:tcPr>
            <w:tcW w:w="880" w:type="dxa"/>
            <w:vAlign w:val="bottom"/>
            <w:vMerge w:val="continue"/>
            <w:shd w:val="clear" w:color="auto" w:fill="717295"/>
          </w:tcPr>
          <w:p>
            <w:pPr>
              <w:spacing w:after="0"/>
              <w:rPr>
                <w:sz w:val="13"/>
                <w:szCs w:val="13"/>
                <w:color w:val="auto"/>
              </w:rPr>
            </w:pPr>
          </w:p>
        </w:tc>
        <w:tc>
          <w:tcPr>
            <w:tcW w:w="120" w:type="dxa"/>
            <w:vAlign w:val="bottom"/>
            <w:shd w:val="clear" w:color="auto" w:fill="717295"/>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220" w:type="dxa"/>
            <w:vAlign w:val="bottom"/>
            <w:tcBorders>
              <w:bottom w:val="single" w:sz="8" w:color="717295"/>
            </w:tcBorders>
            <w:gridSpan w:val="2"/>
            <w:shd w:val="clear" w:color="auto" w:fill="717295"/>
          </w:tcPr>
          <w:p>
            <w:pPr>
              <w:ind w:left="120"/>
              <w:spacing w:after="0"/>
              <w:rPr>
                <w:sz w:val="20"/>
                <w:szCs w:val="20"/>
                <w:color w:val="auto"/>
              </w:rPr>
            </w:pPr>
            <w:r>
              <w:rPr>
                <w:rFonts w:ascii="Arial" w:cs="Arial" w:eastAsia="Arial" w:hAnsi="Arial"/>
                <w:sz w:val="14"/>
                <w:szCs w:val="14"/>
                <w:b w:val="1"/>
                <w:bCs w:val="1"/>
                <w:color w:val="FFFFFF"/>
              </w:rPr>
              <w:t>Name</w:t>
            </w:r>
          </w:p>
        </w:tc>
        <w:tc>
          <w:tcPr>
            <w:tcW w:w="880" w:type="dxa"/>
            <w:vAlign w:val="bottom"/>
            <w:tcBorders>
              <w:bottom w:val="single" w:sz="8" w:color="717295"/>
            </w:tcBorders>
            <w:shd w:val="clear" w:color="auto" w:fill="717295"/>
          </w:tcPr>
          <w:p>
            <w:pPr>
              <w:spacing w:after="0"/>
              <w:rPr>
                <w:sz w:val="17"/>
                <w:szCs w:val="17"/>
                <w:color w:val="auto"/>
              </w:rPr>
            </w:pPr>
          </w:p>
        </w:tc>
        <w:tc>
          <w:tcPr>
            <w:tcW w:w="140" w:type="dxa"/>
            <w:vAlign w:val="bottom"/>
            <w:tcBorders>
              <w:bottom w:val="single" w:sz="8" w:color="717295"/>
            </w:tcBorders>
            <w:shd w:val="clear" w:color="auto" w:fill="717295"/>
          </w:tcPr>
          <w:p>
            <w:pPr>
              <w:spacing w:after="0"/>
              <w:rPr>
                <w:sz w:val="17"/>
                <w:szCs w:val="17"/>
                <w:color w:val="auto"/>
              </w:rPr>
            </w:pPr>
          </w:p>
        </w:tc>
        <w:tc>
          <w:tcPr>
            <w:tcW w:w="1020" w:type="dxa"/>
            <w:vAlign w:val="bottom"/>
            <w:tcBorders>
              <w:bottom w:val="single" w:sz="8" w:color="717295"/>
            </w:tcBorders>
            <w:shd w:val="clear" w:color="auto" w:fill="717295"/>
          </w:tcPr>
          <w:p>
            <w:pPr>
              <w:jc w:val="right"/>
              <w:ind w:right="144"/>
              <w:spacing w:after="0"/>
              <w:rPr>
                <w:sz w:val="20"/>
                <w:szCs w:val="20"/>
                <w:color w:val="auto"/>
              </w:rPr>
            </w:pPr>
            <w:r>
              <w:rPr>
                <w:rFonts w:ascii="Arial" w:cs="Arial" w:eastAsia="Arial" w:hAnsi="Arial"/>
                <w:sz w:val="14"/>
                <w:szCs w:val="14"/>
                <w:b w:val="1"/>
                <w:bCs w:val="1"/>
                <w:color w:val="FFFFFF"/>
              </w:rPr>
              <w:t>Salary)</w:t>
            </w:r>
          </w:p>
        </w:tc>
        <w:tc>
          <w:tcPr>
            <w:tcW w:w="100" w:type="dxa"/>
            <w:vAlign w:val="bottom"/>
            <w:tcBorders>
              <w:bottom w:val="single" w:sz="8" w:color="717295"/>
            </w:tcBorders>
            <w:shd w:val="clear" w:color="auto" w:fill="717295"/>
          </w:tcPr>
          <w:p>
            <w:pPr>
              <w:spacing w:after="0"/>
              <w:rPr>
                <w:sz w:val="17"/>
                <w:szCs w:val="17"/>
                <w:color w:val="auto"/>
              </w:rPr>
            </w:pPr>
          </w:p>
        </w:tc>
        <w:tc>
          <w:tcPr>
            <w:tcW w:w="160" w:type="dxa"/>
            <w:vAlign w:val="bottom"/>
            <w:tcBorders>
              <w:bottom w:val="single" w:sz="8" w:color="717295"/>
            </w:tcBorders>
            <w:shd w:val="clear" w:color="auto" w:fill="717295"/>
          </w:tcPr>
          <w:p>
            <w:pPr>
              <w:spacing w:after="0"/>
              <w:rPr>
                <w:sz w:val="17"/>
                <w:szCs w:val="17"/>
                <w:color w:val="auto"/>
              </w:rPr>
            </w:pPr>
          </w:p>
        </w:tc>
        <w:tc>
          <w:tcPr>
            <w:tcW w:w="1080" w:type="dxa"/>
            <w:vAlign w:val="bottom"/>
            <w:tcBorders>
              <w:bottom w:val="single" w:sz="8" w:color="717295"/>
            </w:tcBorders>
            <w:shd w:val="clear" w:color="auto" w:fill="717295"/>
          </w:tcPr>
          <w:p>
            <w:pPr>
              <w:jc w:val="right"/>
              <w:spacing w:after="0"/>
              <w:rPr>
                <w:sz w:val="20"/>
                <w:szCs w:val="20"/>
                <w:color w:val="auto"/>
              </w:rPr>
            </w:pPr>
            <w:r>
              <w:rPr>
                <w:rFonts w:ascii="Arial" w:cs="Arial" w:eastAsia="Arial" w:hAnsi="Arial"/>
                <w:sz w:val="14"/>
                <w:szCs w:val="14"/>
                <w:b w:val="1"/>
                <w:bCs w:val="1"/>
                <w:color w:val="FFFFFF"/>
              </w:rPr>
              <w:t>Opportunity ($)</w:t>
            </w:r>
          </w:p>
        </w:tc>
        <w:tc>
          <w:tcPr>
            <w:tcW w:w="80" w:type="dxa"/>
            <w:vAlign w:val="bottom"/>
            <w:tcBorders>
              <w:bottom w:val="single" w:sz="8" w:color="717295"/>
            </w:tcBorders>
            <w:shd w:val="clear" w:color="auto" w:fill="717295"/>
          </w:tcPr>
          <w:p>
            <w:pPr>
              <w:spacing w:after="0"/>
              <w:rPr>
                <w:sz w:val="17"/>
                <w:szCs w:val="17"/>
                <w:color w:val="auto"/>
              </w:rPr>
            </w:pPr>
          </w:p>
        </w:tc>
        <w:tc>
          <w:tcPr>
            <w:tcW w:w="160" w:type="dxa"/>
            <w:vAlign w:val="bottom"/>
            <w:tcBorders>
              <w:bottom w:val="single" w:sz="8" w:color="717295"/>
            </w:tcBorders>
            <w:shd w:val="clear" w:color="auto" w:fill="717295"/>
          </w:tcPr>
          <w:p>
            <w:pPr>
              <w:spacing w:after="0"/>
              <w:rPr>
                <w:sz w:val="17"/>
                <w:szCs w:val="17"/>
                <w:color w:val="auto"/>
              </w:rPr>
            </w:pPr>
          </w:p>
        </w:tc>
        <w:tc>
          <w:tcPr>
            <w:tcW w:w="1260" w:type="dxa"/>
            <w:vAlign w:val="bottom"/>
            <w:tcBorders>
              <w:bottom w:val="single" w:sz="8" w:color="717295"/>
            </w:tcBorders>
            <w:shd w:val="clear" w:color="auto" w:fill="717295"/>
          </w:tcPr>
          <w:p>
            <w:pPr>
              <w:jc w:val="right"/>
              <w:spacing w:after="0"/>
              <w:rPr>
                <w:sz w:val="20"/>
                <w:szCs w:val="20"/>
                <w:color w:val="auto"/>
              </w:rPr>
            </w:pPr>
            <w:r>
              <w:rPr>
                <w:rFonts w:ascii="Arial" w:cs="Arial" w:eastAsia="Arial" w:hAnsi="Arial"/>
                <w:sz w:val="14"/>
                <w:szCs w:val="14"/>
                <w:b w:val="1"/>
                <w:bCs w:val="1"/>
                <w:color w:val="FFFFFF"/>
              </w:rPr>
              <w:t>Opportunity ($)(1)</w:t>
            </w:r>
          </w:p>
        </w:tc>
        <w:tc>
          <w:tcPr>
            <w:tcW w:w="80" w:type="dxa"/>
            <w:vAlign w:val="bottom"/>
            <w:tcBorders>
              <w:bottom w:val="single" w:sz="8" w:color="717295"/>
            </w:tcBorders>
            <w:shd w:val="clear" w:color="auto" w:fill="717295"/>
          </w:tcPr>
          <w:p>
            <w:pPr>
              <w:spacing w:after="0"/>
              <w:rPr>
                <w:sz w:val="17"/>
                <w:szCs w:val="17"/>
                <w:color w:val="auto"/>
              </w:rPr>
            </w:pPr>
          </w:p>
        </w:tc>
        <w:tc>
          <w:tcPr>
            <w:tcW w:w="160" w:type="dxa"/>
            <w:vAlign w:val="bottom"/>
            <w:tcBorders>
              <w:bottom w:val="single" w:sz="8" w:color="717295"/>
            </w:tcBorders>
            <w:shd w:val="clear" w:color="auto" w:fill="717295"/>
          </w:tcPr>
          <w:p>
            <w:pPr>
              <w:spacing w:after="0"/>
              <w:rPr>
                <w:sz w:val="17"/>
                <w:szCs w:val="17"/>
                <w:color w:val="auto"/>
              </w:rPr>
            </w:pPr>
          </w:p>
        </w:tc>
        <w:tc>
          <w:tcPr>
            <w:tcW w:w="880" w:type="dxa"/>
            <w:vAlign w:val="bottom"/>
            <w:tcBorders>
              <w:bottom w:val="single" w:sz="8" w:color="717295"/>
            </w:tcBorders>
            <w:shd w:val="clear" w:color="auto" w:fill="717295"/>
          </w:tcPr>
          <w:p>
            <w:pPr>
              <w:jc w:val="center"/>
              <w:ind w:left="22"/>
              <w:spacing w:after="0"/>
              <w:rPr>
                <w:sz w:val="20"/>
                <w:szCs w:val="20"/>
                <w:color w:val="auto"/>
              </w:rPr>
            </w:pPr>
            <w:r>
              <w:rPr>
                <w:rFonts w:ascii="Arial" w:cs="Arial" w:eastAsia="Arial" w:hAnsi="Arial"/>
                <w:sz w:val="14"/>
                <w:szCs w:val="14"/>
                <w:b w:val="1"/>
                <w:bCs w:val="1"/>
                <w:color w:val="FFFFFF"/>
              </w:rPr>
              <w:t>Bonus ($)</w:t>
            </w:r>
          </w:p>
        </w:tc>
        <w:tc>
          <w:tcPr>
            <w:tcW w:w="120" w:type="dxa"/>
            <w:vAlign w:val="bottom"/>
            <w:tcBorders>
              <w:bottom w:val="single" w:sz="8" w:color="717295"/>
            </w:tcBorders>
            <w:shd w:val="clear" w:color="auto" w:fill="717295"/>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220" w:type="dxa"/>
            <w:vAlign w:val="bottom"/>
            <w:tcBorders>
              <w:bottom w:val="single" w:sz="8" w:color="ACABC0"/>
            </w:tcBorders>
            <w:gridSpan w:val="2"/>
            <w:shd w:val="clear" w:color="auto" w:fill="ACABC0"/>
          </w:tcPr>
          <w:p>
            <w:pPr>
              <w:ind w:left="120"/>
              <w:spacing w:after="0"/>
              <w:rPr>
                <w:sz w:val="20"/>
                <w:szCs w:val="20"/>
                <w:color w:val="auto"/>
              </w:rPr>
            </w:pPr>
            <w:r>
              <w:rPr>
                <w:rFonts w:ascii="Arial" w:cs="Arial" w:eastAsia="Arial" w:hAnsi="Arial"/>
                <w:sz w:val="16"/>
                <w:szCs w:val="16"/>
                <w:color w:val="auto"/>
              </w:rPr>
              <w:t>Andrew G. Inglis</w:t>
            </w:r>
          </w:p>
        </w:tc>
        <w:tc>
          <w:tcPr>
            <w:tcW w:w="880" w:type="dxa"/>
            <w:vAlign w:val="bottom"/>
            <w:tcBorders>
              <w:bottom w:val="single" w:sz="8" w:color="ACABC0"/>
            </w:tcBorders>
            <w:shd w:val="clear" w:color="auto" w:fill="ACABC0"/>
          </w:tcPr>
          <w:p>
            <w:pPr>
              <w:ind w:left="8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Borders>
              <w:bottom w:val="single" w:sz="8" w:color="ACABC0"/>
            </w:tcBorders>
            <w:shd w:val="clear" w:color="auto" w:fill="ACABC0"/>
          </w:tcPr>
          <w:p>
            <w:pPr>
              <w:jc w:val="right"/>
              <w:ind w:right="144"/>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ACABC0"/>
            </w:tcBorders>
            <w:shd w:val="clear" w:color="auto" w:fill="ACABC0"/>
          </w:tcPr>
          <w:p>
            <w:pPr>
              <w:jc w:val="right"/>
              <w:ind w:right="62"/>
              <w:spacing w:after="0"/>
              <w:rPr>
                <w:sz w:val="20"/>
                <w:szCs w:val="20"/>
                <w:color w:val="auto"/>
              </w:rPr>
            </w:pPr>
            <w:r>
              <w:rPr>
                <w:rFonts w:ascii="Arial" w:cs="Arial" w:eastAsia="Arial" w:hAnsi="Arial"/>
                <w:sz w:val="16"/>
                <w:szCs w:val="16"/>
                <w:color w:val="auto"/>
              </w:rPr>
              <w:t>1,028,012</w:t>
            </w:r>
          </w:p>
        </w:tc>
        <w:tc>
          <w:tcPr>
            <w:tcW w:w="8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Borders>
              <w:bottom w:val="single" w:sz="8" w:color="ACABC0"/>
            </w:tcBorders>
            <w:shd w:val="clear" w:color="auto" w:fill="ACABC0"/>
          </w:tcPr>
          <w:p>
            <w:pPr>
              <w:jc w:val="right"/>
              <w:ind w:right="162"/>
              <w:spacing w:after="0"/>
              <w:rPr>
                <w:sz w:val="20"/>
                <w:szCs w:val="20"/>
                <w:color w:val="auto"/>
              </w:rPr>
            </w:pPr>
            <w:r>
              <w:rPr>
                <w:rFonts w:ascii="Arial" w:cs="Arial" w:eastAsia="Arial" w:hAnsi="Arial"/>
                <w:sz w:val="16"/>
                <w:szCs w:val="16"/>
                <w:color w:val="auto"/>
              </w:rPr>
              <w:t>2,056,024</w:t>
            </w:r>
          </w:p>
        </w:tc>
        <w:tc>
          <w:tcPr>
            <w:tcW w:w="80" w:type="dxa"/>
            <w:vAlign w:val="bottom"/>
            <w:tcBorders>
              <w:bottom w:val="single" w:sz="8" w:color="ACABC0"/>
            </w:tcBorders>
            <w:shd w:val="clear" w:color="auto" w:fill="ACABC0"/>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6"/>
                <w:szCs w:val="16"/>
                <w:color w:val="auto"/>
                <w:w w:val="98"/>
              </w:rPr>
              <w:t>1,500,000</w:t>
            </w:r>
          </w:p>
        </w:tc>
        <w:tc>
          <w:tcPr>
            <w:tcW w:w="120" w:type="dxa"/>
            <w:vAlign w:val="bottom"/>
            <w:tcBorders>
              <w:bottom w:val="single" w:sz="8" w:color="ACABC0"/>
            </w:tcBorders>
            <w:shd w:val="clear" w:color="auto" w:fill="ACABC0"/>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220" w:type="dxa"/>
            <w:vAlign w:val="bottom"/>
            <w:tcBorders>
              <w:bottom w:val="single" w:sz="8" w:color="F1F2F2"/>
            </w:tcBorders>
            <w:gridSpan w:val="2"/>
            <w:shd w:val="clear" w:color="auto" w:fill="F1F2F2"/>
          </w:tcPr>
          <w:p>
            <w:pPr>
              <w:ind w:left="120"/>
              <w:spacing w:after="0"/>
              <w:rPr>
                <w:sz w:val="20"/>
                <w:szCs w:val="20"/>
                <w:color w:val="auto"/>
              </w:rPr>
            </w:pPr>
            <w:r>
              <w:rPr>
                <w:rFonts w:ascii="Arial" w:cs="Arial" w:eastAsia="Arial" w:hAnsi="Arial"/>
                <w:sz w:val="16"/>
                <w:szCs w:val="16"/>
                <w:color w:val="auto"/>
              </w:rPr>
              <w:t>Neal D. Shah</w:t>
            </w:r>
          </w:p>
        </w:tc>
        <w:tc>
          <w:tcPr>
            <w:tcW w:w="880" w:type="dxa"/>
            <w:vAlign w:val="bottom"/>
            <w:tcBorders>
              <w:bottom w:val="single" w:sz="8" w:color="F1F2F2"/>
            </w:tcBorders>
            <w:shd w:val="clear" w:color="auto" w:fill="F1F2F2"/>
          </w:tcPr>
          <w:p>
            <w:pPr>
              <w:ind w:left="8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F1F2F2"/>
            </w:tcBorders>
            <w:shd w:val="clear" w:color="auto" w:fill="F1F2F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Borders>
              <w:bottom w:val="single" w:sz="8" w:color="F1F2F2"/>
            </w:tcBorders>
            <w:shd w:val="clear" w:color="auto" w:fill="F1F2F2"/>
          </w:tcPr>
          <w:p>
            <w:pPr>
              <w:jc w:val="right"/>
              <w:ind w:right="144"/>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F1F2F2"/>
            </w:tcBorders>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F1F2F2"/>
            </w:tcBorders>
            <w:shd w:val="clear" w:color="auto" w:fill="F1F2F2"/>
          </w:tcPr>
          <w:p>
            <w:pPr>
              <w:jc w:val="right"/>
              <w:ind w:right="82"/>
              <w:spacing w:after="0"/>
              <w:rPr>
                <w:sz w:val="20"/>
                <w:szCs w:val="20"/>
                <w:color w:val="auto"/>
              </w:rPr>
            </w:pPr>
            <w:r>
              <w:rPr>
                <w:rFonts w:ascii="Arial" w:cs="Arial" w:eastAsia="Arial" w:hAnsi="Arial"/>
                <w:sz w:val="16"/>
                <w:szCs w:val="16"/>
                <w:color w:val="auto"/>
              </w:rPr>
              <w:t>550,000</w:t>
            </w:r>
          </w:p>
        </w:tc>
        <w:tc>
          <w:tcPr>
            <w:tcW w:w="8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F1F2F2"/>
            </w:tcBorders>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Borders>
              <w:bottom w:val="single" w:sz="8" w:color="F1F2F2"/>
            </w:tcBorders>
            <w:shd w:val="clear" w:color="auto" w:fill="F1F2F2"/>
          </w:tcPr>
          <w:p>
            <w:pPr>
              <w:jc w:val="right"/>
              <w:ind w:right="162"/>
              <w:spacing w:after="0"/>
              <w:rPr>
                <w:sz w:val="20"/>
                <w:szCs w:val="20"/>
                <w:color w:val="auto"/>
              </w:rPr>
            </w:pPr>
            <w:r>
              <w:rPr>
                <w:rFonts w:ascii="Arial" w:cs="Arial" w:eastAsia="Arial" w:hAnsi="Arial"/>
                <w:sz w:val="16"/>
                <w:szCs w:val="16"/>
                <w:color w:val="auto"/>
              </w:rPr>
              <w:t>1,100,000</w:t>
            </w:r>
          </w:p>
        </w:tc>
        <w:tc>
          <w:tcPr>
            <w:tcW w:w="80" w:type="dxa"/>
            <w:vAlign w:val="bottom"/>
            <w:tcBorders>
              <w:bottom w:val="single" w:sz="8" w:color="F1F2F2"/>
            </w:tcBorders>
            <w:shd w:val="clear" w:color="auto" w:fill="F1F2F2"/>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F1F2F2"/>
            </w:tcBorders>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6"/>
                <w:szCs w:val="16"/>
                <w:color w:val="auto"/>
                <w:w w:val="98"/>
              </w:rPr>
              <w:t>1,100,000</w:t>
            </w:r>
          </w:p>
        </w:tc>
        <w:tc>
          <w:tcPr>
            <w:tcW w:w="120" w:type="dxa"/>
            <w:vAlign w:val="bottom"/>
            <w:tcBorders>
              <w:bottom w:val="single" w:sz="8" w:color="F1F2F2"/>
            </w:tcBorders>
            <w:shd w:val="clear" w:color="auto" w:fill="F1F2F2"/>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220" w:type="dxa"/>
            <w:vAlign w:val="bottom"/>
            <w:tcBorders>
              <w:bottom w:val="single" w:sz="8" w:color="ACABC0"/>
            </w:tcBorders>
            <w:gridSpan w:val="2"/>
            <w:shd w:val="clear" w:color="auto" w:fill="ACABC0"/>
          </w:tcPr>
          <w:p>
            <w:pPr>
              <w:ind w:left="120"/>
              <w:spacing w:after="0"/>
              <w:rPr>
                <w:sz w:val="20"/>
                <w:szCs w:val="20"/>
                <w:color w:val="auto"/>
              </w:rPr>
            </w:pPr>
            <w:r>
              <w:rPr>
                <w:rFonts w:ascii="Arial" w:cs="Arial" w:eastAsia="Arial" w:hAnsi="Arial"/>
                <w:sz w:val="16"/>
                <w:szCs w:val="16"/>
                <w:color w:val="auto"/>
              </w:rPr>
              <w:t>Christopher J. Ball</w:t>
            </w:r>
          </w:p>
        </w:tc>
        <w:tc>
          <w:tcPr>
            <w:tcW w:w="880" w:type="dxa"/>
            <w:vAlign w:val="bottom"/>
            <w:tcBorders>
              <w:bottom w:val="single" w:sz="8" w:color="ACABC0"/>
            </w:tcBorders>
            <w:shd w:val="clear" w:color="auto" w:fill="ACABC0"/>
          </w:tcPr>
          <w:p>
            <w:pPr>
              <w:ind w:left="8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Borders>
              <w:bottom w:val="single" w:sz="8" w:color="ACABC0"/>
            </w:tcBorders>
            <w:shd w:val="clear" w:color="auto" w:fill="ACABC0"/>
          </w:tcPr>
          <w:p>
            <w:pPr>
              <w:jc w:val="right"/>
              <w:ind w:right="144"/>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ACABC0"/>
            </w:tcBorders>
            <w:shd w:val="clear" w:color="auto" w:fill="ACABC0"/>
          </w:tcPr>
          <w:p>
            <w:pPr>
              <w:jc w:val="right"/>
              <w:ind w:right="82"/>
              <w:spacing w:after="0"/>
              <w:rPr>
                <w:sz w:val="20"/>
                <w:szCs w:val="20"/>
                <w:color w:val="auto"/>
              </w:rPr>
            </w:pPr>
            <w:r>
              <w:rPr>
                <w:rFonts w:ascii="Arial" w:cs="Arial" w:eastAsia="Arial" w:hAnsi="Arial"/>
                <w:sz w:val="16"/>
                <w:szCs w:val="16"/>
                <w:color w:val="auto"/>
              </w:rPr>
              <w:t>615,652</w:t>
            </w:r>
          </w:p>
        </w:tc>
        <w:tc>
          <w:tcPr>
            <w:tcW w:w="8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Borders>
              <w:bottom w:val="single" w:sz="8" w:color="ACABC0"/>
            </w:tcBorders>
            <w:shd w:val="clear" w:color="auto" w:fill="ACABC0"/>
          </w:tcPr>
          <w:p>
            <w:pPr>
              <w:jc w:val="right"/>
              <w:ind w:right="162"/>
              <w:spacing w:after="0"/>
              <w:rPr>
                <w:sz w:val="20"/>
                <w:szCs w:val="20"/>
                <w:color w:val="auto"/>
              </w:rPr>
            </w:pPr>
            <w:r>
              <w:rPr>
                <w:rFonts w:ascii="Arial" w:cs="Arial" w:eastAsia="Arial" w:hAnsi="Arial"/>
                <w:sz w:val="16"/>
                <w:szCs w:val="16"/>
                <w:color w:val="auto"/>
              </w:rPr>
              <w:t>1,231,304</w:t>
            </w:r>
          </w:p>
        </w:tc>
        <w:tc>
          <w:tcPr>
            <w:tcW w:w="80" w:type="dxa"/>
            <w:vAlign w:val="bottom"/>
            <w:tcBorders>
              <w:bottom w:val="single" w:sz="8" w:color="ACABC0"/>
            </w:tcBorders>
            <w:shd w:val="clear" w:color="auto" w:fill="ACABC0"/>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ACABC0"/>
            </w:tcBorders>
            <w:gridSpan w:val="2"/>
            <w:shd w:val="clear" w:color="auto" w:fill="ACABC0"/>
          </w:tcPr>
          <w:p>
            <w:pPr>
              <w:jc w:val="right"/>
              <w:ind w:right="62"/>
              <w:spacing w:after="0"/>
              <w:rPr>
                <w:sz w:val="20"/>
                <w:szCs w:val="20"/>
                <w:color w:val="auto"/>
              </w:rPr>
            </w:pPr>
            <w:r>
              <w:rPr>
                <w:rFonts w:ascii="Arial" w:cs="Arial" w:eastAsia="Arial" w:hAnsi="Arial"/>
                <w:sz w:val="16"/>
                <w:szCs w:val="16"/>
                <w:color w:val="auto"/>
              </w:rPr>
              <w:t xml:space="preserve">976,718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220" w:type="dxa"/>
            <w:vAlign w:val="bottom"/>
            <w:tcBorders>
              <w:bottom w:val="single" w:sz="8" w:color="F1F2F2"/>
            </w:tcBorders>
            <w:gridSpan w:val="2"/>
            <w:shd w:val="clear" w:color="auto" w:fill="F1F2F2"/>
          </w:tcPr>
          <w:p>
            <w:pPr>
              <w:ind w:left="120"/>
              <w:spacing w:after="0"/>
              <w:rPr>
                <w:sz w:val="20"/>
                <w:szCs w:val="20"/>
                <w:color w:val="auto"/>
              </w:rPr>
            </w:pPr>
            <w:r>
              <w:rPr>
                <w:rFonts w:ascii="Arial" w:cs="Arial" w:eastAsia="Arial" w:hAnsi="Arial"/>
                <w:sz w:val="16"/>
                <w:szCs w:val="16"/>
                <w:color w:val="auto"/>
              </w:rPr>
              <w:t>Richard R. Clark</w:t>
            </w:r>
          </w:p>
        </w:tc>
        <w:tc>
          <w:tcPr>
            <w:tcW w:w="880" w:type="dxa"/>
            <w:vAlign w:val="bottom"/>
            <w:tcBorders>
              <w:bottom w:val="single" w:sz="8" w:color="F1F2F2"/>
            </w:tcBorders>
            <w:shd w:val="clear" w:color="auto" w:fill="F1F2F2"/>
          </w:tcPr>
          <w:p>
            <w:pPr>
              <w:ind w:left="8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F1F2F2"/>
            </w:tcBorders>
            <w:shd w:val="clear" w:color="auto" w:fill="F1F2F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Borders>
              <w:bottom w:val="single" w:sz="8" w:color="F1F2F2"/>
            </w:tcBorders>
            <w:shd w:val="clear" w:color="auto" w:fill="F1F2F2"/>
          </w:tcPr>
          <w:p>
            <w:pPr>
              <w:jc w:val="right"/>
              <w:ind w:right="144"/>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F1F2F2"/>
            </w:tcBorders>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F1F2F2"/>
            </w:tcBorders>
            <w:shd w:val="clear" w:color="auto" w:fill="F1F2F2"/>
          </w:tcPr>
          <w:p>
            <w:pPr>
              <w:jc w:val="right"/>
              <w:ind w:right="82"/>
              <w:spacing w:after="0"/>
              <w:rPr>
                <w:sz w:val="20"/>
                <w:szCs w:val="20"/>
                <w:color w:val="auto"/>
              </w:rPr>
            </w:pPr>
            <w:r>
              <w:rPr>
                <w:rFonts w:ascii="Arial" w:cs="Arial" w:eastAsia="Arial" w:hAnsi="Arial"/>
                <w:sz w:val="16"/>
                <w:szCs w:val="16"/>
                <w:color w:val="auto"/>
              </w:rPr>
              <w:t>668,749</w:t>
            </w:r>
          </w:p>
        </w:tc>
        <w:tc>
          <w:tcPr>
            <w:tcW w:w="8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F1F2F2"/>
            </w:tcBorders>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Borders>
              <w:bottom w:val="single" w:sz="8" w:color="F1F2F2"/>
            </w:tcBorders>
            <w:shd w:val="clear" w:color="auto" w:fill="F1F2F2"/>
          </w:tcPr>
          <w:p>
            <w:pPr>
              <w:jc w:val="right"/>
              <w:ind w:right="142"/>
              <w:spacing w:after="0"/>
              <w:rPr>
                <w:sz w:val="20"/>
                <w:szCs w:val="20"/>
                <w:color w:val="auto"/>
              </w:rPr>
            </w:pPr>
            <w:r>
              <w:rPr>
                <w:rFonts w:ascii="Arial" w:cs="Arial" w:eastAsia="Arial" w:hAnsi="Arial"/>
                <w:sz w:val="16"/>
                <w:szCs w:val="16"/>
                <w:color w:val="auto"/>
              </w:rPr>
              <w:t>1,337,498</w:t>
            </w:r>
          </w:p>
        </w:tc>
        <w:tc>
          <w:tcPr>
            <w:tcW w:w="80" w:type="dxa"/>
            <w:vAlign w:val="bottom"/>
            <w:tcBorders>
              <w:bottom w:val="single" w:sz="8" w:color="F1F2F2"/>
            </w:tcBorders>
            <w:shd w:val="clear" w:color="auto" w:fill="F1F2F2"/>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F1F2F2"/>
            </w:tcBorders>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F1F2F2"/>
            </w:tcBorders>
            <w:gridSpan w:val="2"/>
            <w:shd w:val="clear" w:color="auto" w:fill="F1F2F2"/>
          </w:tcPr>
          <w:p>
            <w:pPr>
              <w:jc w:val="right"/>
              <w:ind w:right="62"/>
              <w:spacing w:after="0"/>
              <w:rPr>
                <w:sz w:val="20"/>
                <w:szCs w:val="20"/>
                <w:color w:val="auto"/>
              </w:rPr>
            </w:pPr>
            <w:r>
              <w:rPr>
                <w:rFonts w:ascii="Arial" w:cs="Arial" w:eastAsia="Arial" w:hAnsi="Arial"/>
                <w:sz w:val="16"/>
                <w:szCs w:val="16"/>
                <w:color w:val="auto"/>
              </w:rPr>
              <w:t xml:space="preserve">668,749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220" w:type="dxa"/>
            <w:vAlign w:val="bottom"/>
            <w:gridSpan w:val="2"/>
            <w:shd w:val="clear" w:color="auto" w:fill="ACABC0"/>
          </w:tcPr>
          <w:p>
            <w:pPr>
              <w:ind w:left="120"/>
              <w:spacing w:after="0"/>
              <w:rPr>
                <w:sz w:val="20"/>
                <w:szCs w:val="20"/>
                <w:color w:val="auto"/>
              </w:rPr>
            </w:pPr>
            <w:r>
              <w:rPr>
                <w:rFonts w:ascii="Arial" w:cs="Arial" w:eastAsia="Arial" w:hAnsi="Arial"/>
                <w:sz w:val="16"/>
                <w:szCs w:val="16"/>
                <w:color w:val="auto"/>
              </w:rPr>
              <w:t>Jason E. Doughty</w:t>
            </w:r>
          </w:p>
        </w:tc>
        <w:tc>
          <w:tcPr>
            <w:tcW w:w="880" w:type="dxa"/>
            <w:vAlign w:val="bottom"/>
            <w:shd w:val="clear" w:color="auto" w:fill="ACABC0"/>
          </w:tcPr>
          <w:p>
            <w:pPr>
              <w:ind w:left="8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shd w:val="clear" w:color="auto" w:fill="ACABC0"/>
          </w:tcPr>
          <w:p>
            <w:pPr>
              <w:jc w:val="right"/>
              <w:ind w:right="164"/>
              <w:spacing w:after="0"/>
              <w:rPr>
                <w:sz w:val="20"/>
                <w:szCs w:val="20"/>
                <w:color w:val="auto"/>
              </w:rPr>
            </w:pPr>
            <w:r>
              <w:rPr>
                <w:rFonts w:ascii="Arial" w:cs="Arial" w:eastAsia="Arial" w:hAnsi="Arial"/>
                <w:sz w:val="16"/>
                <w:szCs w:val="16"/>
                <w:color w:val="auto"/>
              </w:rPr>
              <w:t>75%</w:t>
            </w:r>
          </w:p>
        </w:tc>
        <w:tc>
          <w:tcPr>
            <w:tcW w:w="10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shd w:val="clear" w:color="auto" w:fill="ACABC0"/>
          </w:tcPr>
          <w:p>
            <w:pPr>
              <w:jc w:val="right"/>
              <w:ind w:right="82"/>
              <w:spacing w:after="0"/>
              <w:rPr>
                <w:sz w:val="20"/>
                <w:szCs w:val="20"/>
                <w:color w:val="auto"/>
              </w:rPr>
            </w:pPr>
            <w:r>
              <w:rPr>
                <w:rFonts w:ascii="Arial" w:cs="Arial" w:eastAsia="Arial" w:hAnsi="Arial"/>
                <w:sz w:val="16"/>
                <w:szCs w:val="16"/>
                <w:color w:val="auto"/>
              </w:rPr>
              <w:t>349,965</w:t>
            </w:r>
          </w:p>
        </w:tc>
        <w:tc>
          <w:tcPr>
            <w:tcW w:w="8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shd w:val="clear" w:color="auto" w:fill="ACABC0"/>
          </w:tcPr>
          <w:p>
            <w:pPr>
              <w:jc w:val="right"/>
              <w:ind w:right="162"/>
              <w:spacing w:after="0"/>
              <w:rPr>
                <w:sz w:val="20"/>
                <w:szCs w:val="20"/>
                <w:color w:val="auto"/>
              </w:rPr>
            </w:pPr>
            <w:r>
              <w:rPr>
                <w:rFonts w:ascii="Arial" w:cs="Arial" w:eastAsia="Arial" w:hAnsi="Arial"/>
                <w:sz w:val="16"/>
                <w:szCs w:val="16"/>
                <w:color w:val="auto"/>
              </w:rPr>
              <w:t>699,930</w:t>
            </w:r>
          </w:p>
        </w:tc>
        <w:tc>
          <w:tcPr>
            <w:tcW w:w="80" w:type="dxa"/>
            <w:vAlign w:val="bottom"/>
            <w:shd w:val="clear" w:color="auto" w:fill="ACABC0"/>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gridSpan w:val="2"/>
            <w:shd w:val="clear" w:color="auto" w:fill="ACABC0"/>
          </w:tcPr>
          <w:p>
            <w:pPr>
              <w:jc w:val="right"/>
              <w:ind w:right="62"/>
              <w:spacing w:after="0"/>
              <w:rPr>
                <w:sz w:val="20"/>
                <w:szCs w:val="20"/>
                <w:color w:val="auto"/>
              </w:rPr>
            </w:pPr>
            <w:r>
              <w:rPr>
                <w:rFonts w:ascii="Arial" w:cs="Arial" w:eastAsia="Arial" w:hAnsi="Arial"/>
                <w:sz w:val="16"/>
                <w:szCs w:val="16"/>
                <w:color w:val="auto"/>
              </w:rPr>
              <w:t xml:space="preserve">612,438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20"/>
        <w:spacing w:after="0"/>
        <w:tabs>
          <w:tab w:leader="none" w:pos="660" w:val="left"/>
        </w:tabs>
        <w:rPr>
          <w:sz w:val="20"/>
          <w:szCs w:val="20"/>
          <w:color w:val="auto"/>
        </w:rPr>
      </w:pPr>
      <w:r>
        <w:rPr>
          <w:rFonts w:ascii="Arial" w:cs="Arial" w:eastAsia="Arial" w:hAnsi="Arial"/>
          <w:sz w:val="16"/>
          <w:szCs w:val="16"/>
          <w:color w:val="auto"/>
        </w:rPr>
        <w:t>(1)</w:t>
        <w:tab/>
        <w:t>The amounts in this column represent 200% of each named executive officer’s target bonus opportunity.</w:t>
      </w:r>
    </w:p>
    <w:p>
      <w:pPr>
        <w:sectPr>
          <w:pgSz w:w="11900" w:h="16838" w:orient="portrait"/>
          <w:cols w:equalWidth="0" w:num="1">
            <w:col w:w="9019"/>
          </w:cols>
          <w:pgMar w:left="1440" w:top="262" w:right="1440" w:bottom="1440" w:gutter="0" w:footer="0" w:header="0"/>
          <w:type w:val="continuous"/>
        </w:sectPr>
      </w:pPr>
    </w:p>
    <w:p>
      <w:pPr>
        <w:spacing w:after="0" w:line="159"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Base Salary</w:t>
      </w:r>
    </w:p>
    <w:p>
      <w:pPr>
        <w:spacing w:after="0" w:line="129" w:lineRule="exact"/>
        <w:rPr>
          <w:sz w:val="20"/>
          <w:szCs w:val="20"/>
          <w:color w:val="auto"/>
        </w:rPr>
      </w:pPr>
    </w:p>
    <w:p>
      <w:pPr>
        <w:ind w:left="320"/>
        <w:spacing w:after="0" w:line="247" w:lineRule="auto"/>
        <w:rPr>
          <w:sz w:val="20"/>
          <w:szCs w:val="20"/>
          <w:color w:val="auto"/>
        </w:rPr>
      </w:pPr>
      <w:r>
        <w:rPr>
          <w:rFonts w:ascii="Arial" w:cs="Arial" w:eastAsia="Arial" w:hAnsi="Arial"/>
          <w:sz w:val="16"/>
          <w:szCs w:val="16"/>
          <w:color w:val="auto"/>
        </w:rPr>
        <w:t>Base salary is the sole fixed component of our executive compensation program and represents a relatively modest portion of our named executive officers’ total compensation package, offering them a measure of certainty and predictability. We generally review salary ranges and individual salaries for our named executive officers annually. We establish the base salary for each named executive officer based on our review of pay levels across industry peers and business requirements for certain skills, individual experience and contributions, as well as the roles and responsibilities of the executive. We believe competitive base salaries are necessary to attract and retain an executive management team with the appropriate abilities and experience required to lead us and execute our 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both"/>
        <w:ind w:right="439"/>
        <w:spacing w:after="0" w:line="257" w:lineRule="auto"/>
        <w:rPr>
          <w:sz w:val="20"/>
          <w:szCs w:val="20"/>
          <w:color w:val="auto"/>
        </w:rPr>
      </w:pPr>
      <w:r>
        <w:rPr>
          <w:rFonts w:ascii="Arial" w:cs="Arial" w:eastAsia="Arial" w:hAnsi="Arial"/>
          <w:sz w:val="16"/>
          <w:szCs w:val="16"/>
          <w:color w:val="auto"/>
        </w:rPr>
        <w:t>Our named executive officer salaries are intended to be competitive with those of our industry peers. We do not have a prescribed policy or broadly applied guideline for how salaries should compare to external survey data.</w:t>
      </w:r>
    </w:p>
    <w:p>
      <w:pPr>
        <w:spacing w:after="0" w:line="42" w:lineRule="exact"/>
        <w:rPr>
          <w:sz w:val="20"/>
          <w:szCs w:val="20"/>
          <w:color w:val="auto"/>
        </w:rPr>
      </w:pPr>
    </w:p>
    <w:p>
      <w:pPr>
        <w:ind w:right="579"/>
        <w:spacing w:after="0" w:line="257" w:lineRule="auto"/>
        <w:rPr>
          <w:sz w:val="20"/>
          <w:szCs w:val="20"/>
          <w:color w:val="auto"/>
        </w:rPr>
      </w:pPr>
      <w:r>
        <w:rPr>
          <w:rFonts w:ascii="Arial" w:cs="Arial" w:eastAsia="Arial" w:hAnsi="Arial"/>
          <w:sz w:val="16"/>
          <w:szCs w:val="16"/>
          <w:color w:val="auto"/>
        </w:rPr>
        <w:t>Base salaries are subject to change if, among other reasons, the executive’s experience or responsibilities change materially or there are changes in the competitive market environment.</w:t>
      </w:r>
    </w:p>
    <w:p>
      <w:pPr>
        <w:spacing w:after="0" w:line="29" w:lineRule="exact"/>
        <w:rPr>
          <w:sz w:val="20"/>
          <w:szCs w:val="20"/>
          <w:color w:val="auto"/>
        </w:rPr>
      </w:pPr>
    </w:p>
    <w:p>
      <w:pPr>
        <w:ind w:right="559"/>
        <w:spacing w:after="0" w:line="250" w:lineRule="auto"/>
        <w:rPr>
          <w:sz w:val="20"/>
          <w:szCs w:val="20"/>
          <w:color w:val="auto"/>
        </w:rPr>
      </w:pPr>
      <w:r>
        <w:rPr>
          <w:rFonts w:ascii="Arial" w:cs="Arial" w:eastAsia="Arial" w:hAnsi="Arial"/>
          <w:sz w:val="16"/>
          <w:szCs w:val="16"/>
          <w:color w:val="auto"/>
        </w:rPr>
        <w:t>In early 2021, the Compensation Committee reviewed the base salaries paid to each of our named executive officers and determined that no base salary increases would be granted with the exception that, in consideration for his appointment to Senior Vice President and CFO, Mr. Shah’s base salary was increased from $460,000 to $550,000 effective February 1, 2021.</w:t>
      </w:r>
    </w:p>
    <w:p>
      <w:pPr>
        <w:spacing w:after="0" w:line="47" w:lineRule="exact"/>
        <w:rPr>
          <w:sz w:val="20"/>
          <w:szCs w:val="20"/>
          <w:color w:val="auto"/>
        </w:rPr>
      </w:pPr>
    </w:p>
    <w:p>
      <w:pPr>
        <w:sectPr>
          <w:pgSz w:w="11900" w:h="16838" w:orient="portrait"/>
          <w:cols w:equalWidth="0" w:num="2">
            <w:col w:w="4340" w:space="280"/>
            <w:col w:w="4399"/>
          </w:cols>
          <w:pgMar w:left="1440" w:top="262" w:right="1440" w:bottom="1440" w:gutter="0" w:footer="0" w:header="0"/>
          <w:type w:val="continuous"/>
        </w:sectPr>
      </w:pPr>
    </w:p>
    <w:tbl>
      <w:tblPr>
        <w:tblLayout w:type="fixed"/>
        <w:tblInd w:w="320" w:type="dxa"/>
        <w:tblCellMar>
          <w:top w:w="0" w:type="dxa"/>
          <w:left w:w="0" w:type="dxa"/>
          <w:bottom w:w="0" w:type="dxa"/>
          <w:right w:w="0" w:type="dxa"/>
        </w:tblCellMar>
      </w:tblPr>
      <w:tr>
        <w:trPr>
          <w:trHeight w:val="197"/>
        </w:trPr>
        <w:tc>
          <w:tcPr>
            <w:tcW w:w="80" w:type="dxa"/>
            <w:vAlign w:val="bottom"/>
            <w:tcBorders>
              <w:right w:val="single" w:sz="8" w:color="717295"/>
            </w:tcBorders>
          </w:tcPr>
          <w:p>
            <w:pPr>
              <w:spacing w:after="0"/>
              <w:rPr>
                <w:sz w:val="17"/>
                <w:szCs w:val="17"/>
                <w:color w:val="auto"/>
              </w:rPr>
            </w:pPr>
          </w:p>
        </w:tc>
        <w:tc>
          <w:tcPr>
            <w:tcW w:w="2000" w:type="dxa"/>
            <w:vAlign w:val="bottom"/>
            <w:shd w:val="clear" w:color="auto" w:fill="717295"/>
          </w:tcPr>
          <w:p>
            <w:pPr>
              <w:spacing w:after="0"/>
              <w:rPr>
                <w:sz w:val="17"/>
                <w:szCs w:val="17"/>
                <w:color w:val="auto"/>
              </w:rPr>
            </w:pPr>
          </w:p>
        </w:tc>
        <w:tc>
          <w:tcPr>
            <w:tcW w:w="1160" w:type="dxa"/>
            <w:vAlign w:val="bottom"/>
            <w:shd w:val="clear" w:color="auto" w:fill="717295"/>
          </w:tcPr>
          <w:p>
            <w:pPr>
              <w:spacing w:after="0"/>
              <w:rPr>
                <w:sz w:val="17"/>
                <w:szCs w:val="17"/>
                <w:color w:val="auto"/>
              </w:rPr>
            </w:pPr>
          </w:p>
        </w:tc>
        <w:tc>
          <w:tcPr>
            <w:tcW w:w="300" w:type="dxa"/>
            <w:vAlign w:val="bottom"/>
            <w:shd w:val="clear" w:color="auto" w:fill="717295"/>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shd w:val="clear" w:color="auto" w:fill="717295"/>
          </w:tcPr>
          <w:p>
            <w:pPr>
              <w:jc w:val="right"/>
              <w:ind w:right="182"/>
              <w:spacing w:after="0"/>
              <w:rPr>
                <w:sz w:val="20"/>
                <w:szCs w:val="20"/>
                <w:color w:val="auto"/>
              </w:rPr>
            </w:pPr>
            <w:r>
              <w:rPr>
                <w:rFonts w:ascii="Arial" w:cs="Arial" w:eastAsia="Arial" w:hAnsi="Arial"/>
                <w:sz w:val="14"/>
                <w:szCs w:val="14"/>
                <w:b w:val="1"/>
                <w:bCs w:val="1"/>
                <w:color w:val="FFFFFF"/>
              </w:rPr>
              <w:t>2020 Base Salary</w:t>
            </w:r>
          </w:p>
        </w:tc>
        <w:tc>
          <w:tcPr>
            <w:tcW w:w="340" w:type="dxa"/>
            <w:vAlign w:val="bottom"/>
            <w:shd w:val="clear" w:color="auto" w:fill="717295"/>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shd w:val="clear" w:color="auto" w:fill="717295"/>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760" w:type="dxa"/>
            <w:vAlign w:val="bottom"/>
            <w:shd w:val="clear" w:color="auto" w:fill="717295"/>
          </w:tcPr>
          <w:p>
            <w:pPr>
              <w:jc w:val="right"/>
              <w:ind w:right="162"/>
              <w:spacing w:after="0"/>
              <w:rPr>
                <w:sz w:val="20"/>
                <w:szCs w:val="20"/>
                <w:color w:val="auto"/>
              </w:rPr>
            </w:pPr>
            <w:r>
              <w:rPr>
                <w:rFonts w:ascii="Arial" w:cs="Arial" w:eastAsia="Arial" w:hAnsi="Arial"/>
                <w:sz w:val="14"/>
                <w:szCs w:val="14"/>
                <w:b w:val="1"/>
                <w:bCs w:val="1"/>
                <w:color w:val="FFFFFF"/>
              </w:rPr>
              <w:t>2021 Base Salary</w:t>
            </w:r>
          </w:p>
        </w:tc>
        <w:tc>
          <w:tcPr>
            <w:tcW w:w="360" w:type="dxa"/>
            <w:vAlign w:val="bottom"/>
            <w:shd w:val="clear" w:color="auto" w:fill="717295"/>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21"/>
        </w:trPr>
        <w:tc>
          <w:tcPr>
            <w:tcW w:w="80" w:type="dxa"/>
            <w:vAlign w:val="bottom"/>
            <w:tcBorders>
              <w:right w:val="single" w:sz="8" w:color="717295"/>
            </w:tcBorders>
          </w:tcPr>
          <w:p>
            <w:pPr>
              <w:spacing w:after="0"/>
              <w:rPr>
                <w:sz w:val="20"/>
                <w:szCs w:val="20"/>
                <w:color w:val="auto"/>
              </w:rPr>
            </w:pPr>
            <w:r>
              <w:rPr>
                <w:rFonts w:ascii="Times New Roman" w:cs="Times New Roman" w:eastAsia="Times New Roman" w:hAnsi="Times New Roman"/>
                <w:sz w:val="4"/>
                <w:szCs w:val="4"/>
                <w:color w:val="auto"/>
              </w:rPr>
              <w:t>​</w:t>
            </w:r>
          </w:p>
        </w:tc>
        <w:tc>
          <w:tcPr>
            <w:tcW w:w="2000" w:type="dxa"/>
            <w:vAlign w:val="bottom"/>
            <w:vMerge w:val="restart"/>
            <w:shd w:val="clear" w:color="auto" w:fill="717295"/>
          </w:tcPr>
          <w:p>
            <w:pPr>
              <w:ind w:left="80"/>
              <w:spacing w:after="0"/>
              <w:rPr>
                <w:sz w:val="20"/>
                <w:szCs w:val="20"/>
                <w:color w:val="auto"/>
              </w:rPr>
            </w:pPr>
            <w:r>
              <w:rPr>
                <w:rFonts w:ascii="Arial" w:cs="Arial" w:eastAsia="Arial" w:hAnsi="Arial"/>
                <w:sz w:val="14"/>
                <w:szCs w:val="14"/>
                <w:b w:val="1"/>
                <w:bCs w:val="1"/>
                <w:color w:val="FFFFFF"/>
              </w:rPr>
              <w:t>Name</w:t>
            </w:r>
          </w:p>
        </w:tc>
        <w:tc>
          <w:tcPr>
            <w:tcW w:w="1160" w:type="dxa"/>
            <w:vAlign w:val="bottom"/>
            <w:shd w:val="clear" w:color="auto" w:fill="717295"/>
          </w:tcPr>
          <w:p>
            <w:pPr>
              <w:ind w:left="10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shd w:val="clear" w:color="auto" w:fill="717295"/>
          </w:tcPr>
          <w:p>
            <w:pPr>
              <w:spacing w:after="0"/>
              <w:rPr>
                <w:sz w:val="10"/>
                <w:szCs w:val="10"/>
                <w:color w:val="auto"/>
              </w:rPr>
            </w:pPr>
          </w:p>
        </w:tc>
        <w:tc>
          <w:tcPr>
            <w:tcW w:w="1900" w:type="dxa"/>
            <w:vAlign w:val="bottom"/>
            <w:vMerge w:val="restart"/>
            <w:shd w:val="clear" w:color="auto" w:fill="717295"/>
          </w:tcPr>
          <w:p>
            <w:pPr>
              <w:jc w:val="right"/>
              <w:ind w:right="662"/>
              <w:spacing w:after="0"/>
              <w:rPr>
                <w:sz w:val="20"/>
                <w:szCs w:val="20"/>
                <w:color w:val="auto"/>
              </w:rPr>
            </w:pPr>
            <w:r>
              <w:rPr>
                <w:rFonts w:ascii="Arial" w:cs="Arial" w:eastAsia="Arial" w:hAnsi="Arial"/>
                <w:sz w:val="14"/>
                <w:szCs w:val="14"/>
                <w:b w:val="1"/>
                <w:bCs w:val="1"/>
                <w:color w:val="FFFFFF"/>
              </w:rPr>
              <w:t>($)</w:t>
            </w:r>
          </w:p>
        </w:tc>
        <w:tc>
          <w:tcPr>
            <w:tcW w:w="340" w:type="dxa"/>
            <w:vAlign w:val="bottom"/>
            <w:shd w:val="clear" w:color="auto" w:fill="717295"/>
          </w:tcPr>
          <w:p>
            <w:pPr>
              <w:spacing w:after="0"/>
              <w:rPr>
                <w:sz w:val="10"/>
                <w:szCs w:val="10"/>
                <w:color w:val="auto"/>
              </w:rPr>
            </w:pPr>
          </w:p>
        </w:tc>
        <w:tc>
          <w:tcPr>
            <w:tcW w:w="460" w:type="dxa"/>
            <w:vAlign w:val="bottom"/>
            <w:shd w:val="clear" w:color="auto" w:fill="717295"/>
          </w:tcPr>
          <w:p>
            <w:pPr>
              <w:spacing w:after="0"/>
              <w:rPr>
                <w:sz w:val="10"/>
                <w:szCs w:val="10"/>
                <w:color w:val="auto"/>
              </w:rPr>
            </w:pPr>
          </w:p>
        </w:tc>
        <w:tc>
          <w:tcPr>
            <w:tcW w:w="1760" w:type="dxa"/>
            <w:vAlign w:val="bottom"/>
            <w:vMerge w:val="restart"/>
            <w:shd w:val="clear" w:color="auto" w:fill="717295"/>
          </w:tcPr>
          <w:p>
            <w:pPr>
              <w:jc w:val="right"/>
              <w:ind w:right="662"/>
              <w:spacing w:after="0"/>
              <w:rPr>
                <w:sz w:val="20"/>
                <w:szCs w:val="20"/>
                <w:color w:val="auto"/>
              </w:rPr>
            </w:pPr>
            <w:r>
              <w:rPr>
                <w:rFonts w:ascii="Arial" w:cs="Arial" w:eastAsia="Arial" w:hAnsi="Arial"/>
                <w:sz w:val="14"/>
                <w:szCs w:val="14"/>
                <w:b w:val="1"/>
                <w:bCs w:val="1"/>
                <w:color w:val="FFFFFF"/>
              </w:rPr>
              <w:t>($)</w:t>
            </w:r>
          </w:p>
        </w:tc>
        <w:tc>
          <w:tcPr>
            <w:tcW w:w="360" w:type="dxa"/>
            <w:vAlign w:val="bottom"/>
            <w:shd w:val="clear" w:color="auto" w:fill="717295"/>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tcBorders>
              <w:right w:val="single" w:sz="8" w:color="717295"/>
            </w:tcBorders>
          </w:tcPr>
          <w:p>
            <w:pPr>
              <w:spacing w:after="0"/>
              <w:rPr>
                <w:sz w:val="10"/>
                <w:szCs w:val="10"/>
                <w:color w:val="auto"/>
              </w:rPr>
            </w:pPr>
          </w:p>
        </w:tc>
        <w:tc>
          <w:tcPr>
            <w:tcW w:w="2000" w:type="dxa"/>
            <w:vAlign w:val="bottom"/>
            <w:vMerge w:val="continue"/>
            <w:shd w:val="clear" w:color="auto" w:fill="717295"/>
          </w:tcPr>
          <w:p>
            <w:pPr>
              <w:spacing w:after="0"/>
              <w:rPr>
                <w:sz w:val="10"/>
                <w:szCs w:val="10"/>
                <w:color w:val="auto"/>
              </w:rPr>
            </w:pPr>
          </w:p>
        </w:tc>
        <w:tc>
          <w:tcPr>
            <w:tcW w:w="1160" w:type="dxa"/>
            <w:vAlign w:val="bottom"/>
            <w:shd w:val="clear" w:color="auto" w:fill="717295"/>
          </w:tcPr>
          <w:p>
            <w:pPr>
              <w:spacing w:after="0"/>
              <w:rPr>
                <w:sz w:val="10"/>
                <w:szCs w:val="10"/>
                <w:color w:val="auto"/>
              </w:rPr>
            </w:pPr>
          </w:p>
        </w:tc>
        <w:tc>
          <w:tcPr>
            <w:tcW w:w="300" w:type="dxa"/>
            <w:vAlign w:val="bottom"/>
            <w:shd w:val="clear" w:color="auto" w:fill="717295"/>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vMerge w:val="continue"/>
            <w:shd w:val="clear" w:color="auto" w:fill="717295"/>
          </w:tcPr>
          <w:p>
            <w:pPr>
              <w:spacing w:after="0"/>
              <w:rPr>
                <w:sz w:val="10"/>
                <w:szCs w:val="10"/>
                <w:color w:val="auto"/>
              </w:rPr>
            </w:pPr>
          </w:p>
        </w:tc>
        <w:tc>
          <w:tcPr>
            <w:tcW w:w="340" w:type="dxa"/>
            <w:vAlign w:val="bottom"/>
            <w:shd w:val="clear" w:color="auto" w:fill="717295"/>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shd w:val="clear" w:color="auto" w:fill="717295"/>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760" w:type="dxa"/>
            <w:vAlign w:val="bottom"/>
            <w:vMerge w:val="continue"/>
            <w:shd w:val="clear" w:color="auto" w:fill="717295"/>
          </w:tcPr>
          <w:p>
            <w:pPr>
              <w:spacing w:after="0"/>
              <w:rPr>
                <w:sz w:val="10"/>
                <w:szCs w:val="10"/>
                <w:color w:val="auto"/>
              </w:rPr>
            </w:pPr>
          </w:p>
        </w:tc>
        <w:tc>
          <w:tcPr>
            <w:tcW w:w="360" w:type="dxa"/>
            <w:vAlign w:val="bottom"/>
            <w:shd w:val="clear" w:color="auto" w:fill="717295"/>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11"/>
        </w:trPr>
        <w:tc>
          <w:tcPr>
            <w:tcW w:w="80" w:type="dxa"/>
            <w:vAlign w:val="bottom"/>
            <w:tcBorders>
              <w:right w:val="single" w:sz="8" w:color="717295"/>
            </w:tcBorders>
          </w:tcPr>
          <w:p>
            <w:pPr>
              <w:spacing w:after="0"/>
              <w:rPr>
                <w:sz w:val="9"/>
                <w:szCs w:val="9"/>
                <w:color w:val="auto"/>
              </w:rPr>
            </w:pPr>
          </w:p>
        </w:tc>
        <w:tc>
          <w:tcPr>
            <w:tcW w:w="2000" w:type="dxa"/>
            <w:vAlign w:val="bottom"/>
            <w:shd w:val="clear" w:color="auto" w:fill="717295"/>
          </w:tcPr>
          <w:p>
            <w:pPr>
              <w:spacing w:after="0"/>
              <w:rPr>
                <w:sz w:val="9"/>
                <w:szCs w:val="9"/>
                <w:color w:val="auto"/>
              </w:rPr>
            </w:pPr>
          </w:p>
        </w:tc>
        <w:tc>
          <w:tcPr>
            <w:tcW w:w="1160" w:type="dxa"/>
            <w:vAlign w:val="bottom"/>
            <w:shd w:val="clear" w:color="auto" w:fill="717295"/>
          </w:tcPr>
          <w:p>
            <w:pPr>
              <w:spacing w:after="0"/>
              <w:rPr>
                <w:sz w:val="9"/>
                <w:szCs w:val="9"/>
                <w:color w:val="auto"/>
              </w:rPr>
            </w:pPr>
          </w:p>
        </w:tc>
        <w:tc>
          <w:tcPr>
            <w:tcW w:w="300" w:type="dxa"/>
            <w:vAlign w:val="bottom"/>
            <w:shd w:val="clear" w:color="auto" w:fill="717295"/>
          </w:tcPr>
          <w:p>
            <w:pPr>
              <w:spacing w:after="0"/>
              <w:rPr>
                <w:sz w:val="9"/>
                <w:szCs w:val="9"/>
                <w:color w:val="auto"/>
              </w:rPr>
            </w:pPr>
          </w:p>
        </w:tc>
        <w:tc>
          <w:tcPr>
            <w:tcW w:w="1900" w:type="dxa"/>
            <w:vAlign w:val="bottom"/>
            <w:shd w:val="clear" w:color="auto" w:fill="717295"/>
          </w:tcPr>
          <w:p>
            <w:pPr>
              <w:spacing w:after="0"/>
              <w:rPr>
                <w:sz w:val="9"/>
                <w:szCs w:val="9"/>
                <w:color w:val="auto"/>
              </w:rPr>
            </w:pPr>
          </w:p>
        </w:tc>
        <w:tc>
          <w:tcPr>
            <w:tcW w:w="340" w:type="dxa"/>
            <w:vAlign w:val="bottom"/>
            <w:shd w:val="clear" w:color="auto" w:fill="717295"/>
          </w:tcPr>
          <w:p>
            <w:pPr>
              <w:spacing w:after="0"/>
              <w:rPr>
                <w:sz w:val="9"/>
                <w:szCs w:val="9"/>
                <w:color w:val="auto"/>
              </w:rPr>
            </w:pPr>
          </w:p>
        </w:tc>
        <w:tc>
          <w:tcPr>
            <w:tcW w:w="460" w:type="dxa"/>
            <w:vAlign w:val="bottom"/>
            <w:shd w:val="clear" w:color="auto" w:fill="717295"/>
          </w:tcPr>
          <w:p>
            <w:pPr>
              <w:spacing w:after="0"/>
              <w:rPr>
                <w:sz w:val="9"/>
                <w:szCs w:val="9"/>
                <w:color w:val="auto"/>
              </w:rPr>
            </w:pPr>
          </w:p>
        </w:tc>
        <w:tc>
          <w:tcPr>
            <w:tcW w:w="1760" w:type="dxa"/>
            <w:vAlign w:val="bottom"/>
            <w:shd w:val="clear" w:color="auto" w:fill="717295"/>
          </w:tcPr>
          <w:p>
            <w:pPr>
              <w:spacing w:after="0"/>
              <w:rPr>
                <w:sz w:val="9"/>
                <w:szCs w:val="9"/>
                <w:color w:val="auto"/>
              </w:rPr>
            </w:pPr>
          </w:p>
        </w:tc>
        <w:tc>
          <w:tcPr>
            <w:tcW w:w="360" w:type="dxa"/>
            <w:vAlign w:val="bottom"/>
            <w:shd w:val="clear" w:color="auto" w:fill="717295"/>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2000" w:type="dxa"/>
            <w:vAlign w:val="bottom"/>
            <w:tcBorders>
              <w:bottom w:val="single" w:sz="8" w:color="ACABC0"/>
            </w:tcBorders>
            <w:shd w:val="clear" w:color="auto" w:fill="ACABC0"/>
          </w:tcPr>
          <w:p>
            <w:pPr>
              <w:ind w:left="80"/>
              <w:spacing w:after="0"/>
              <w:rPr>
                <w:sz w:val="20"/>
                <w:szCs w:val="20"/>
                <w:color w:val="auto"/>
              </w:rPr>
            </w:pPr>
            <w:r>
              <w:rPr>
                <w:rFonts w:ascii="Arial" w:cs="Arial" w:eastAsia="Arial" w:hAnsi="Arial"/>
                <w:sz w:val="16"/>
                <w:szCs w:val="16"/>
                <w:color w:val="auto"/>
              </w:rPr>
              <w:t>Mr. Inglis</w:t>
            </w:r>
          </w:p>
        </w:tc>
        <w:tc>
          <w:tcPr>
            <w:tcW w:w="1160" w:type="dxa"/>
            <w:vAlign w:val="bottom"/>
            <w:tcBorders>
              <w:bottom w:val="single" w:sz="8" w:color="ACABC0"/>
            </w:tcBorders>
            <w:shd w:val="clear" w:color="auto" w:fill="ACABC0"/>
          </w:tcPr>
          <w:p>
            <w:pPr>
              <w:ind w:left="10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tcBorders>
              <w:bottom w:val="single" w:sz="8" w:color="ACABC0"/>
            </w:tcBorders>
            <w:shd w:val="clear" w:color="auto" w:fill="ACABC0"/>
          </w:tcPr>
          <w:p>
            <w:pPr>
              <w:jc w:val="right"/>
              <w:ind w:right="402"/>
              <w:spacing w:after="0"/>
              <w:rPr>
                <w:sz w:val="20"/>
                <w:szCs w:val="20"/>
                <w:color w:val="auto"/>
              </w:rPr>
            </w:pPr>
            <w:r>
              <w:rPr>
                <w:rFonts w:ascii="Arial" w:cs="Arial" w:eastAsia="Arial" w:hAnsi="Arial"/>
                <w:sz w:val="16"/>
                <w:szCs w:val="16"/>
                <w:color w:val="auto"/>
              </w:rPr>
              <w:t>1,028,012</w:t>
            </w:r>
          </w:p>
        </w:tc>
        <w:tc>
          <w:tcPr>
            <w:tcW w:w="340" w:type="dxa"/>
            <w:vAlign w:val="bottom"/>
            <w:tcBorders>
              <w:bottom w:val="single" w:sz="8" w:color="ACABC0"/>
            </w:tcBorders>
            <w:shd w:val="clear" w:color="auto" w:fill="ACABC0"/>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Borders>
              <w:bottom w:val="single" w:sz="8" w:color="ACABC0"/>
            </w:tcBorders>
            <w:shd w:val="clear" w:color="auto" w:fill="ACABC0"/>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760" w:type="dxa"/>
            <w:vAlign w:val="bottom"/>
            <w:tcBorders>
              <w:bottom w:val="single" w:sz="8" w:color="ACABC0"/>
            </w:tcBorders>
            <w:shd w:val="clear" w:color="auto" w:fill="ACABC0"/>
          </w:tcPr>
          <w:p>
            <w:pPr>
              <w:jc w:val="right"/>
              <w:ind w:right="402"/>
              <w:spacing w:after="0"/>
              <w:rPr>
                <w:sz w:val="20"/>
                <w:szCs w:val="20"/>
                <w:color w:val="auto"/>
              </w:rPr>
            </w:pPr>
            <w:r>
              <w:rPr>
                <w:rFonts w:ascii="Arial" w:cs="Arial" w:eastAsia="Arial" w:hAnsi="Arial"/>
                <w:sz w:val="16"/>
                <w:szCs w:val="16"/>
                <w:color w:val="auto"/>
              </w:rPr>
              <w:t>1,028,012</w:t>
            </w:r>
          </w:p>
        </w:tc>
        <w:tc>
          <w:tcPr>
            <w:tcW w:w="360" w:type="dxa"/>
            <w:vAlign w:val="bottom"/>
            <w:tcBorders>
              <w:bottom w:val="single" w:sz="8" w:color="ACABC0"/>
            </w:tcBorders>
            <w:shd w:val="clear" w:color="auto" w:fill="ACABC0"/>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8"/>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2000" w:type="dxa"/>
            <w:vAlign w:val="bottom"/>
            <w:tcBorders>
              <w:bottom w:val="single" w:sz="8" w:color="F1F2F2"/>
            </w:tcBorders>
            <w:shd w:val="clear" w:color="auto" w:fill="F1F2F2"/>
          </w:tcPr>
          <w:p>
            <w:pPr>
              <w:ind w:left="80"/>
              <w:spacing w:after="0"/>
              <w:rPr>
                <w:sz w:val="20"/>
                <w:szCs w:val="20"/>
                <w:color w:val="auto"/>
              </w:rPr>
            </w:pPr>
            <w:r>
              <w:rPr>
                <w:rFonts w:ascii="Arial" w:cs="Arial" w:eastAsia="Arial" w:hAnsi="Arial"/>
                <w:sz w:val="16"/>
                <w:szCs w:val="16"/>
                <w:color w:val="auto"/>
              </w:rPr>
              <w:t>Mr. Shah</w:t>
            </w:r>
          </w:p>
        </w:tc>
        <w:tc>
          <w:tcPr>
            <w:tcW w:w="1160" w:type="dxa"/>
            <w:vAlign w:val="bottom"/>
            <w:tcBorders>
              <w:bottom w:val="single" w:sz="8" w:color="F1F2F2"/>
            </w:tcBorders>
            <w:shd w:val="clear" w:color="auto" w:fill="F1F2F2"/>
          </w:tcPr>
          <w:p>
            <w:pPr>
              <w:ind w:left="10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F1F2F2"/>
            </w:tcBorders>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tcBorders>
              <w:bottom w:val="single" w:sz="8" w:color="F1F2F2"/>
            </w:tcBorders>
            <w:shd w:val="clear" w:color="auto" w:fill="F1F2F2"/>
          </w:tcPr>
          <w:p>
            <w:pPr>
              <w:jc w:val="right"/>
              <w:ind w:right="422"/>
              <w:spacing w:after="0"/>
              <w:rPr>
                <w:sz w:val="20"/>
                <w:szCs w:val="20"/>
                <w:color w:val="auto"/>
              </w:rPr>
            </w:pPr>
            <w:r>
              <w:rPr>
                <w:rFonts w:ascii="Arial" w:cs="Arial" w:eastAsia="Arial" w:hAnsi="Arial"/>
                <w:sz w:val="16"/>
                <w:szCs w:val="16"/>
                <w:color w:val="auto"/>
              </w:rPr>
              <w:t>460,000</w:t>
            </w:r>
          </w:p>
        </w:tc>
        <w:tc>
          <w:tcPr>
            <w:tcW w:w="340" w:type="dxa"/>
            <w:vAlign w:val="bottom"/>
            <w:tcBorders>
              <w:bottom w:val="single" w:sz="8" w:color="F1F2F2"/>
            </w:tcBorders>
            <w:shd w:val="clear" w:color="auto" w:fill="F1F2F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Borders>
              <w:bottom w:val="single" w:sz="8" w:color="F1F2F2"/>
            </w:tcBorders>
            <w:shd w:val="clear" w:color="auto" w:fill="F1F2F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760" w:type="dxa"/>
            <w:vAlign w:val="bottom"/>
            <w:tcBorders>
              <w:bottom w:val="single" w:sz="8" w:color="F1F2F2"/>
            </w:tcBorders>
            <w:shd w:val="clear" w:color="auto" w:fill="F1F2F2"/>
          </w:tcPr>
          <w:p>
            <w:pPr>
              <w:jc w:val="right"/>
              <w:ind w:right="422"/>
              <w:spacing w:after="0"/>
              <w:rPr>
                <w:sz w:val="20"/>
                <w:szCs w:val="20"/>
                <w:color w:val="auto"/>
              </w:rPr>
            </w:pPr>
            <w:r>
              <w:rPr>
                <w:rFonts w:ascii="Arial" w:cs="Arial" w:eastAsia="Arial" w:hAnsi="Arial"/>
                <w:sz w:val="16"/>
                <w:szCs w:val="16"/>
                <w:color w:val="auto"/>
              </w:rPr>
              <w:t>550,000</w:t>
            </w:r>
          </w:p>
        </w:tc>
        <w:tc>
          <w:tcPr>
            <w:tcW w:w="360" w:type="dxa"/>
            <w:vAlign w:val="bottom"/>
            <w:tcBorders>
              <w:bottom w:val="single" w:sz="8" w:color="F1F2F2"/>
            </w:tcBorders>
            <w:shd w:val="clear" w:color="auto" w:fill="F1F2F2"/>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8"/>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2000" w:type="dxa"/>
            <w:vAlign w:val="bottom"/>
            <w:tcBorders>
              <w:bottom w:val="single" w:sz="8" w:color="ACABC0"/>
            </w:tcBorders>
            <w:shd w:val="clear" w:color="auto" w:fill="ACABC0"/>
          </w:tcPr>
          <w:p>
            <w:pPr>
              <w:ind w:left="80"/>
              <w:spacing w:after="0"/>
              <w:rPr>
                <w:sz w:val="20"/>
                <w:szCs w:val="20"/>
                <w:color w:val="auto"/>
              </w:rPr>
            </w:pPr>
            <w:r>
              <w:rPr>
                <w:rFonts w:ascii="Arial" w:cs="Arial" w:eastAsia="Arial" w:hAnsi="Arial"/>
                <w:sz w:val="16"/>
                <w:szCs w:val="16"/>
                <w:color w:val="auto"/>
              </w:rPr>
              <w:t>Mr. Ball</w:t>
            </w:r>
          </w:p>
        </w:tc>
        <w:tc>
          <w:tcPr>
            <w:tcW w:w="1160" w:type="dxa"/>
            <w:vAlign w:val="bottom"/>
            <w:tcBorders>
              <w:bottom w:val="single" w:sz="8" w:color="ACABC0"/>
            </w:tcBorders>
            <w:shd w:val="clear" w:color="auto" w:fill="ACABC0"/>
          </w:tcPr>
          <w:p>
            <w:pPr>
              <w:ind w:left="10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tcBorders>
              <w:bottom w:val="single" w:sz="8" w:color="ACABC0"/>
            </w:tcBorders>
            <w:shd w:val="clear" w:color="auto" w:fill="ACABC0"/>
          </w:tcPr>
          <w:p>
            <w:pPr>
              <w:jc w:val="right"/>
              <w:ind w:right="422"/>
              <w:spacing w:after="0"/>
              <w:rPr>
                <w:sz w:val="20"/>
                <w:szCs w:val="20"/>
                <w:color w:val="auto"/>
              </w:rPr>
            </w:pPr>
            <w:r>
              <w:rPr>
                <w:rFonts w:ascii="Arial" w:cs="Arial" w:eastAsia="Arial" w:hAnsi="Arial"/>
                <w:sz w:val="16"/>
                <w:szCs w:val="16"/>
                <w:color w:val="auto"/>
              </w:rPr>
              <w:t>615,652</w:t>
            </w:r>
          </w:p>
        </w:tc>
        <w:tc>
          <w:tcPr>
            <w:tcW w:w="340" w:type="dxa"/>
            <w:vAlign w:val="bottom"/>
            <w:tcBorders>
              <w:bottom w:val="single" w:sz="8" w:color="ACABC0"/>
            </w:tcBorders>
            <w:shd w:val="clear" w:color="auto" w:fill="ACABC0"/>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Borders>
              <w:bottom w:val="single" w:sz="8" w:color="ACABC0"/>
            </w:tcBorders>
            <w:shd w:val="clear" w:color="auto" w:fill="ACABC0"/>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760" w:type="dxa"/>
            <w:vAlign w:val="bottom"/>
            <w:tcBorders>
              <w:bottom w:val="single" w:sz="8" w:color="ACABC0"/>
            </w:tcBorders>
            <w:shd w:val="clear" w:color="auto" w:fill="ACABC0"/>
          </w:tcPr>
          <w:p>
            <w:pPr>
              <w:jc w:val="right"/>
              <w:ind w:right="422"/>
              <w:spacing w:after="0"/>
              <w:rPr>
                <w:sz w:val="20"/>
                <w:szCs w:val="20"/>
                <w:color w:val="auto"/>
              </w:rPr>
            </w:pPr>
            <w:r>
              <w:rPr>
                <w:rFonts w:ascii="Arial" w:cs="Arial" w:eastAsia="Arial" w:hAnsi="Arial"/>
                <w:sz w:val="16"/>
                <w:szCs w:val="16"/>
                <w:color w:val="auto"/>
              </w:rPr>
              <w:t>615,652</w:t>
            </w:r>
          </w:p>
        </w:tc>
        <w:tc>
          <w:tcPr>
            <w:tcW w:w="360" w:type="dxa"/>
            <w:vAlign w:val="bottom"/>
            <w:tcBorders>
              <w:bottom w:val="single" w:sz="8" w:color="ACABC0"/>
            </w:tcBorders>
            <w:shd w:val="clear" w:color="auto" w:fill="ACABC0"/>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8"/>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2000" w:type="dxa"/>
            <w:vAlign w:val="bottom"/>
            <w:tcBorders>
              <w:bottom w:val="single" w:sz="8" w:color="F1F2F2"/>
            </w:tcBorders>
            <w:shd w:val="clear" w:color="auto" w:fill="F1F2F2"/>
          </w:tcPr>
          <w:p>
            <w:pPr>
              <w:ind w:left="80"/>
              <w:spacing w:after="0"/>
              <w:rPr>
                <w:sz w:val="20"/>
                <w:szCs w:val="20"/>
                <w:color w:val="auto"/>
              </w:rPr>
            </w:pPr>
            <w:r>
              <w:rPr>
                <w:rFonts w:ascii="Arial" w:cs="Arial" w:eastAsia="Arial" w:hAnsi="Arial"/>
                <w:sz w:val="16"/>
                <w:szCs w:val="16"/>
                <w:color w:val="auto"/>
              </w:rPr>
              <w:t>Mr. Clark</w:t>
            </w:r>
          </w:p>
        </w:tc>
        <w:tc>
          <w:tcPr>
            <w:tcW w:w="1160" w:type="dxa"/>
            <w:vAlign w:val="bottom"/>
            <w:tcBorders>
              <w:bottom w:val="single" w:sz="8" w:color="F1F2F2"/>
            </w:tcBorders>
            <w:shd w:val="clear" w:color="auto" w:fill="F1F2F2"/>
          </w:tcPr>
          <w:p>
            <w:pPr>
              <w:ind w:left="10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Borders>
              <w:bottom w:val="single" w:sz="8" w:color="F1F2F2"/>
            </w:tcBorders>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tcBorders>
              <w:bottom w:val="single" w:sz="8" w:color="F1F2F2"/>
            </w:tcBorders>
            <w:shd w:val="clear" w:color="auto" w:fill="F1F2F2"/>
          </w:tcPr>
          <w:p>
            <w:pPr>
              <w:jc w:val="right"/>
              <w:ind w:right="422"/>
              <w:spacing w:after="0"/>
              <w:rPr>
                <w:sz w:val="20"/>
                <w:szCs w:val="20"/>
                <w:color w:val="auto"/>
              </w:rPr>
            </w:pPr>
            <w:r>
              <w:rPr>
                <w:rFonts w:ascii="Arial" w:cs="Arial" w:eastAsia="Arial" w:hAnsi="Arial"/>
                <w:sz w:val="16"/>
                <w:szCs w:val="16"/>
                <w:color w:val="auto"/>
              </w:rPr>
              <w:t>668,749</w:t>
            </w:r>
          </w:p>
        </w:tc>
        <w:tc>
          <w:tcPr>
            <w:tcW w:w="340" w:type="dxa"/>
            <w:vAlign w:val="bottom"/>
            <w:tcBorders>
              <w:bottom w:val="single" w:sz="8" w:color="F1F2F2"/>
            </w:tcBorders>
            <w:shd w:val="clear" w:color="auto" w:fill="F1F2F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Borders>
              <w:bottom w:val="single" w:sz="8" w:color="F1F2F2"/>
            </w:tcBorders>
            <w:shd w:val="clear" w:color="auto" w:fill="F1F2F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760" w:type="dxa"/>
            <w:vAlign w:val="bottom"/>
            <w:tcBorders>
              <w:bottom w:val="single" w:sz="8" w:color="F1F2F2"/>
            </w:tcBorders>
            <w:shd w:val="clear" w:color="auto" w:fill="F1F2F2"/>
          </w:tcPr>
          <w:p>
            <w:pPr>
              <w:jc w:val="right"/>
              <w:ind w:right="422"/>
              <w:spacing w:after="0"/>
              <w:rPr>
                <w:sz w:val="20"/>
                <w:szCs w:val="20"/>
                <w:color w:val="auto"/>
              </w:rPr>
            </w:pPr>
            <w:r>
              <w:rPr>
                <w:rFonts w:ascii="Arial" w:cs="Arial" w:eastAsia="Arial" w:hAnsi="Arial"/>
                <w:sz w:val="16"/>
                <w:szCs w:val="16"/>
                <w:color w:val="auto"/>
              </w:rPr>
              <w:t>668,749</w:t>
            </w:r>
          </w:p>
        </w:tc>
        <w:tc>
          <w:tcPr>
            <w:tcW w:w="360" w:type="dxa"/>
            <w:vAlign w:val="bottom"/>
            <w:tcBorders>
              <w:bottom w:val="single" w:sz="8" w:color="F1F2F2"/>
            </w:tcBorders>
            <w:shd w:val="clear" w:color="auto" w:fill="F1F2F2"/>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54"/>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2000" w:type="dxa"/>
            <w:vAlign w:val="bottom"/>
            <w:shd w:val="clear" w:color="auto" w:fill="ACABC0"/>
          </w:tcPr>
          <w:p>
            <w:pPr>
              <w:ind w:left="80"/>
              <w:spacing w:after="0"/>
              <w:rPr>
                <w:sz w:val="20"/>
                <w:szCs w:val="20"/>
                <w:color w:val="auto"/>
              </w:rPr>
            </w:pPr>
            <w:r>
              <w:rPr>
                <w:rFonts w:ascii="Arial" w:cs="Arial" w:eastAsia="Arial" w:hAnsi="Arial"/>
                <w:sz w:val="16"/>
                <w:szCs w:val="16"/>
                <w:color w:val="auto"/>
              </w:rPr>
              <w:t>Mr. Doughty</w:t>
            </w:r>
          </w:p>
        </w:tc>
        <w:tc>
          <w:tcPr>
            <w:tcW w:w="1160" w:type="dxa"/>
            <w:vAlign w:val="bottom"/>
            <w:shd w:val="clear" w:color="auto" w:fill="ACABC0"/>
          </w:tcPr>
          <w:p>
            <w:pPr>
              <w:ind w:left="10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shd w:val="clear" w:color="auto" w:fill="ACABC0"/>
          </w:tcPr>
          <w:p>
            <w:pPr>
              <w:jc w:val="right"/>
              <w:ind w:right="422"/>
              <w:spacing w:after="0"/>
              <w:rPr>
                <w:sz w:val="20"/>
                <w:szCs w:val="20"/>
                <w:color w:val="auto"/>
              </w:rPr>
            </w:pPr>
            <w:r>
              <w:rPr>
                <w:rFonts w:ascii="Arial" w:cs="Arial" w:eastAsia="Arial" w:hAnsi="Arial"/>
                <w:sz w:val="16"/>
                <w:szCs w:val="16"/>
                <w:color w:val="auto"/>
              </w:rPr>
              <w:t>466,620</w:t>
            </w:r>
          </w:p>
        </w:tc>
        <w:tc>
          <w:tcPr>
            <w:tcW w:w="340" w:type="dxa"/>
            <w:vAlign w:val="bottom"/>
            <w:shd w:val="clear" w:color="auto" w:fill="ACABC0"/>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shd w:val="clear" w:color="auto" w:fill="ACABC0"/>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760" w:type="dxa"/>
            <w:vAlign w:val="bottom"/>
            <w:shd w:val="clear" w:color="auto" w:fill="ACABC0"/>
          </w:tcPr>
          <w:p>
            <w:pPr>
              <w:jc w:val="right"/>
              <w:ind w:right="422"/>
              <w:spacing w:after="0"/>
              <w:rPr>
                <w:sz w:val="20"/>
                <w:szCs w:val="20"/>
                <w:color w:val="auto"/>
              </w:rPr>
            </w:pPr>
            <w:r>
              <w:rPr>
                <w:rFonts w:ascii="Arial" w:cs="Arial" w:eastAsia="Arial" w:hAnsi="Arial"/>
                <w:sz w:val="16"/>
                <w:szCs w:val="16"/>
                <w:color w:val="auto"/>
              </w:rPr>
              <w:t>466,620</w:t>
            </w:r>
          </w:p>
        </w:tc>
        <w:tc>
          <w:tcPr>
            <w:tcW w:w="360" w:type="dxa"/>
            <w:vAlign w:val="bottom"/>
            <w:shd w:val="clear" w:color="auto" w:fill="ACABC0"/>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6400"/>
        <w:spacing w:after="0"/>
        <w:rPr>
          <w:sz w:val="20"/>
          <w:szCs w:val="20"/>
          <w:color w:val="auto"/>
        </w:rPr>
      </w:pPr>
      <w:r>
        <w:rPr>
          <w:rFonts w:ascii="Arial" w:cs="Arial" w:eastAsia="Arial" w:hAnsi="Arial"/>
          <w:sz w:val="23"/>
          <w:szCs w:val="23"/>
          <w:color w:val="auto"/>
        </w:rPr>
        <w:t> </w:t>
      </w:r>
    </w:p>
    <w:p>
      <w:pPr>
        <w:ind w:left="6520"/>
        <w:spacing w:after="0"/>
        <w:rPr>
          <w:sz w:val="20"/>
          <w:szCs w:val="20"/>
          <w:color w:val="auto"/>
        </w:rPr>
      </w:pPr>
      <w:r>
        <w:rPr>
          <w:rFonts w:ascii="Arial" w:cs="Arial" w:eastAsia="Arial" w:hAnsi="Arial"/>
          <w:sz w:val="15"/>
          <w:szCs w:val="15"/>
          <w:color w:val="auto"/>
        </w:rPr>
        <w:t>  2022 Proxy Statement</w:t>
      </w:r>
      <w:r>
        <w:rPr>
          <w:rFonts w:ascii="Arial" w:cs="Arial" w:eastAsia="Arial" w:hAnsi="Arial"/>
          <w:sz w:val="23"/>
          <w:szCs w:val="23"/>
          <w:b w:val="1"/>
          <w:bCs w:val="1"/>
          <w:color w:val="2A3D6C"/>
        </w:rPr>
        <w:t xml:space="preserve">  | </w:t>
      </w:r>
      <w:r>
        <w:rPr>
          <w:rFonts w:ascii="Arial" w:cs="Arial" w:eastAsia="Arial" w:hAnsi="Arial"/>
          <w:sz w:val="15"/>
          <w:szCs w:val="15"/>
          <w:color w:val="auto"/>
        </w:rPr>
        <w:t xml:space="preserve"> </w:t>
      </w:r>
      <w:r>
        <w:rPr>
          <w:rFonts w:ascii="Arial" w:cs="Arial" w:eastAsia="Arial" w:hAnsi="Arial"/>
          <w:sz w:val="15"/>
          <w:szCs w:val="15"/>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112395</wp:posOffset>
            </wp:positionV>
            <wp:extent cx="693801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-167005</wp:posOffset>
            </wp:positionV>
            <wp:extent cx="594995" cy="1701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50" w:name="page51"/>
    <w:bookmarkEnd w:id="50"/>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57785</wp:posOffset>
            </wp:positionV>
            <wp:extent cx="530542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Benefits and Perquisites</w:t>
      </w:r>
    </w:p>
    <w:p>
      <w:pPr>
        <w:spacing w:after="0" w:line="129" w:lineRule="exact"/>
        <w:rPr>
          <w:sz w:val="20"/>
          <w:szCs w:val="20"/>
          <w:color w:val="auto"/>
        </w:rPr>
      </w:pPr>
    </w:p>
    <w:p>
      <w:pPr>
        <w:ind w:left="320"/>
        <w:spacing w:after="0" w:line="272" w:lineRule="auto"/>
        <w:rPr>
          <w:sz w:val="20"/>
          <w:szCs w:val="20"/>
          <w:color w:val="auto"/>
        </w:rPr>
      </w:pPr>
      <w:r>
        <w:rPr>
          <w:rFonts w:ascii="Arial" w:cs="Arial" w:eastAsia="Arial" w:hAnsi="Arial"/>
          <w:sz w:val="16"/>
          <w:szCs w:val="16"/>
          <w:color w:val="auto"/>
        </w:rPr>
        <w:t>Our named executive officers are entitled to the same health and welfare benefits as our employees generally, including medical, prescription drug, dental and vision insurance and relocation benefits and are also entitled to annual executive physicals, financial and tax planning services and payments of premiums for supplemental health and welfare benefits. Our named executive officers are eligible to participate in our tax-qualified 401(k) plan on the same basis as our employees generally and are not entitled to any supplemental executive retirement benefits. Under the 401(k) plan, the Company matches 100% of an employee’s elective deferrals 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339"/>
        <w:spacing w:after="0" w:line="263" w:lineRule="auto"/>
        <w:rPr>
          <w:sz w:val="20"/>
          <w:szCs w:val="20"/>
          <w:color w:val="auto"/>
        </w:rPr>
      </w:pPr>
      <w:r>
        <w:rPr>
          <w:rFonts w:ascii="Arial" w:cs="Arial" w:eastAsia="Arial" w:hAnsi="Arial"/>
          <w:sz w:val="16"/>
          <w:szCs w:val="16"/>
          <w:color w:val="auto"/>
        </w:rPr>
        <w:t>to a specified percentage of eligible compensation (8% in 2021), subject to applicable limitations under the Internal Revenue Code.</w:t>
      </w:r>
    </w:p>
    <w:p>
      <w:pPr>
        <w:spacing w:after="0" w:line="65" w:lineRule="exact"/>
        <w:rPr>
          <w:sz w:val="20"/>
          <w:szCs w:val="20"/>
          <w:color w:val="auto"/>
        </w:rPr>
      </w:pPr>
    </w:p>
    <w:p>
      <w:pPr>
        <w:ind w:right="359"/>
        <w:spacing w:after="0" w:line="257" w:lineRule="auto"/>
        <w:rPr>
          <w:sz w:val="20"/>
          <w:szCs w:val="20"/>
          <w:color w:val="auto"/>
        </w:rPr>
      </w:pPr>
      <w:r>
        <w:rPr>
          <w:rFonts w:ascii="Arial" w:cs="Arial" w:eastAsia="Arial" w:hAnsi="Arial"/>
          <w:sz w:val="16"/>
          <w:szCs w:val="16"/>
          <w:color w:val="auto"/>
        </w:rPr>
        <w:t>For details and the amounts of such benefits, see the “All Other Compensation” column of the 2021 Summary Compensation Table and the accompanying footnotes below.</w:t>
      </w:r>
    </w:p>
    <w:p>
      <w:pPr>
        <w:spacing w:after="0" w:line="1389" w:lineRule="exact"/>
        <w:rPr>
          <w:sz w:val="20"/>
          <w:szCs w:val="20"/>
          <w:color w:val="auto"/>
        </w:rPr>
      </w:pPr>
    </w:p>
    <w:p>
      <w:pPr>
        <w:sectPr>
          <w:pgSz w:w="11900" w:h="16838" w:orient="portrait"/>
          <w:cols w:equalWidth="0" w:num="2">
            <w:col w:w="4360" w:space="26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Deferred Compensation Program</w:t>
      </w:r>
    </w:p>
    <w:p>
      <w:pPr>
        <w:spacing w:after="0" w:line="129" w:lineRule="exact"/>
        <w:rPr>
          <w:sz w:val="20"/>
          <w:szCs w:val="20"/>
          <w:color w:val="auto"/>
        </w:rPr>
      </w:pPr>
    </w:p>
    <w:p>
      <w:pPr>
        <w:ind w:left="320" w:right="379"/>
        <w:spacing w:after="0" w:line="250" w:lineRule="auto"/>
        <w:rPr>
          <w:sz w:val="20"/>
          <w:szCs w:val="20"/>
          <w:color w:val="auto"/>
        </w:rPr>
      </w:pPr>
      <w:r>
        <w:rPr>
          <w:rFonts w:ascii="Arial" w:cs="Arial" w:eastAsia="Arial" w:hAnsi="Arial"/>
          <w:sz w:val="16"/>
          <w:szCs w:val="16"/>
          <w:color w:val="auto"/>
        </w:rPr>
        <w:t>The Company has maintained a non-qualified deferred compensation plan pursuant to which each member of our Senior Leadership Team (including our named executive officers) and executives at the level of senior vice president or above were eligible to defer up to 50% of his or her base compensation and 100% of his or her annual cash bonus compensation on a pre-tax basis, with the Company providing a matching contribution on the first 8% deferred by each executive. On January 20, 2022, the Compensation Committee approved the termination of the deferred compensation plan, with any remaining benefits and obligations under the plan to be paid out in full within approximately 24 months following the termination date.</w:t>
      </w:r>
    </w:p>
    <w:p>
      <w:pPr>
        <w:spacing w:after="0" w:line="233"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Termination and Change in Control Benefits</w:t>
      </w:r>
    </w:p>
    <w:p>
      <w:pPr>
        <w:sectPr>
          <w:pgSz w:w="11900" w:h="16838" w:orient="portrait"/>
          <w:cols w:equalWidth="0" w:num="1">
            <w:col w:w="9019"/>
          </w:cols>
          <w:pgMar w:left="1440" w:top="262" w:right="1440" w:bottom="1440" w:gutter="0" w:footer="0" w:header="0"/>
          <w:type w:val="continuous"/>
        </w:sectPr>
      </w:pPr>
    </w:p>
    <w:p>
      <w:pPr>
        <w:spacing w:after="0" w:line="129" w:lineRule="exact"/>
        <w:rPr>
          <w:sz w:val="20"/>
          <w:szCs w:val="20"/>
          <w:color w:val="auto"/>
        </w:rPr>
      </w:pPr>
    </w:p>
    <w:p>
      <w:pPr>
        <w:ind w:left="1040" w:right="380" w:hanging="357"/>
        <w:spacing w:after="0" w:line="250" w:lineRule="auto"/>
        <w:tabs>
          <w:tab w:leader="none" w:pos="1040" w:val="left"/>
        </w:tabs>
        <w:numPr>
          <w:ilvl w:val="0"/>
          <w:numId w:val="64"/>
        </w:numPr>
        <w:rPr>
          <w:rFonts w:ascii="Arial" w:cs="Arial" w:eastAsia="Arial" w:hAnsi="Arial"/>
          <w:sz w:val="16"/>
          <w:szCs w:val="16"/>
          <w:color w:val="2A3D6C"/>
        </w:rPr>
      </w:pPr>
      <w:r>
        <w:rPr>
          <w:rFonts w:ascii="Arial" w:cs="Arial" w:eastAsia="Arial" w:hAnsi="Arial"/>
          <w:sz w:val="16"/>
          <w:szCs w:val="16"/>
          <w:i w:val="1"/>
          <w:iCs w:val="1"/>
          <w:color w:val="auto"/>
        </w:rPr>
        <w:t>Equity Awards</w:t>
      </w:r>
      <w:r>
        <w:rPr>
          <w:rFonts w:ascii="Arial" w:cs="Arial" w:eastAsia="Arial" w:hAnsi="Arial"/>
          <w:sz w:val="16"/>
          <w:szCs w:val="16"/>
          <w:color w:val="auto"/>
        </w:rPr>
        <w:t>: The vesting of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awards held by our named executive officers accelerates in connection with specified terminations of employment or a change in control. See “2021 Compensation—Potential Payments Upon Termination or Change in Control” below.</w:t>
      </w:r>
    </w:p>
    <w:p>
      <w:pPr>
        <w:spacing w:after="0" w:line="77" w:lineRule="exact"/>
        <w:rPr>
          <w:rFonts w:ascii="Arial" w:cs="Arial" w:eastAsia="Arial" w:hAnsi="Arial"/>
          <w:sz w:val="16"/>
          <w:szCs w:val="16"/>
          <w:color w:val="2A3D6C"/>
        </w:rPr>
      </w:pPr>
    </w:p>
    <w:p>
      <w:pPr>
        <w:ind w:left="1040" w:right="400" w:hanging="357"/>
        <w:spacing w:after="0" w:line="250" w:lineRule="auto"/>
        <w:tabs>
          <w:tab w:leader="none" w:pos="1040" w:val="left"/>
        </w:tabs>
        <w:numPr>
          <w:ilvl w:val="0"/>
          <w:numId w:val="64"/>
        </w:numPr>
        <w:rPr>
          <w:rFonts w:ascii="Arial" w:cs="Arial" w:eastAsia="Arial" w:hAnsi="Arial"/>
          <w:sz w:val="16"/>
          <w:szCs w:val="16"/>
          <w:color w:val="2A3D6C"/>
        </w:rPr>
      </w:pPr>
      <w:r>
        <w:rPr>
          <w:rFonts w:ascii="Arial" w:cs="Arial" w:eastAsia="Arial" w:hAnsi="Arial"/>
          <w:sz w:val="16"/>
          <w:szCs w:val="16"/>
          <w:i w:val="1"/>
          <w:iCs w:val="1"/>
          <w:color w:val="auto"/>
        </w:rPr>
        <w:t>Offer Letters</w:t>
      </w:r>
      <w:r>
        <w:rPr>
          <w:rFonts w:ascii="Arial" w:cs="Arial" w:eastAsia="Arial" w:hAnsi="Arial"/>
          <w:sz w:val="16"/>
          <w:szCs w:val="16"/>
          <w:color w:val="auto"/>
        </w:rPr>
        <w:t>: The offer letter agreements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entered into with each of our named executive officers (other than Messrs. Clark and Shah) provide for specified termination payments and benefits. See “2021 Compensation—Potential Payments Upon Termination or Change in Control—Offer Letters” below.</w:t>
      </w:r>
    </w:p>
    <w:p>
      <w:pPr>
        <w:spacing w:after="0" w:line="73" w:lineRule="exact"/>
        <w:rPr>
          <w:rFonts w:ascii="Arial" w:cs="Arial" w:eastAsia="Arial" w:hAnsi="Arial"/>
          <w:sz w:val="16"/>
          <w:szCs w:val="16"/>
          <w:color w:val="2A3D6C"/>
        </w:rPr>
      </w:pPr>
    </w:p>
    <w:p>
      <w:pPr>
        <w:ind w:left="1040" w:right="480" w:hanging="357"/>
        <w:spacing w:after="0" w:line="279" w:lineRule="auto"/>
        <w:tabs>
          <w:tab w:leader="none" w:pos="1040" w:val="left"/>
        </w:tabs>
        <w:numPr>
          <w:ilvl w:val="0"/>
          <w:numId w:val="64"/>
        </w:numPr>
        <w:rPr>
          <w:rFonts w:ascii="Arial" w:cs="Arial" w:eastAsia="Arial" w:hAnsi="Arial"/>
          <w:sz w:val="15"/>
          <w:szCs w:val="15"/>
          <w:color w:val="2A3D6C"/>
        </w:rPr>
      </w:pPr>
      <w:r>
        <w:rPr>
          <w:rFonts w:ascii="Arial" w:cs="Arial" w:eastAsia="Arial" w:hAnsi="Arial"/>
          <w:sz w:val="15"/>
          <w:szCs w:val="15"/>
          <w:i w:val="1"/>
          <w:iCs w:val="1"/>
          <w:color w:val="auto"/>
        </w:rPr>
        <w:t>Severance Policy</w:t>
      </w:r>
      <w:r>
        <w:rPr>
          <w:rFonts w:ascii="Arial" w:cs="Arial" w:eastAsia="Arial" w:hAnsi="Arial"/>
          <w:sz w:val="15"/>
          <w:szCs w:val="15"/>
          <w:color w:val="auto"/>
        </w:rPr>
        <w:t>: We maintain a change in</w:t>
      </w:r>
      <w:r>
        <w:rPr>
          <w:rFonts w:ascii="Arial" w:cs="Arial" w:eastAsia="Arial" w:hAnsi="Arial"/>
          <w:sz w:val="15"/>
          <w:szCs w:val="15"/>
          <w:i w:val="1"/>
          <w:iCs w:val="1"/>
          <w:color w:val="auto"/>
        </w:rPr>
        <w:t xml:space="preserve"> </w:t>
      </w:r>
      <w:r>
        <w:rPr>
          <w:rFonts w:ascii="Arial" w:cs="Arial" w:eastAsia="Arial" w:hAnsi="Arial"/>
          <w:sz w:val="15"/>
          <w:szCs w:val="15"/>
          <w:color w:val="auto"/>
        </w:rPr>
        <w:t>control severance policy that is designed to encourage continuity of management and other employees after a “change in control”</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339"/>
        <w:spacing w:after="0" w:line="246" w:lineRule="auto"/>
        <w:rPr>
          <w:sz w:val="20"/>
          <w:szCs w:val="20"/>
          <w:color w:val="auto"/>
        </w:rPr>
      </w:pPr>
      <w:r>
        <w:rPr>
          <w:rFonts w:ascii="Arial" w:cs="Arial" w:eastAsia="Arial" w:hAnsi="Arial"/>
          <w:sz w:val="16"/>
          <w:szCs w:val="16"/>
          <w:color w:val="auto"/>
        </w:rPr>
        <w:t>(as defined in the LTIP). The policy provides severance benefits to regular full-time U.S. employees whose employment is terminated in connection with a change in control. Our named executive officers are not covered by any severance policy or program for terminations that occur other than in connection with a change in control. In January 2022, the Compensation Committee determined to implement certain changes to the calculation of cash severance under this severance policy after undertaking a benchmarking analysis of peer and industry executive compensation programs. For more information on our change in control severance policy and the revisions made to the policy in January 2022, see “2021 Compensation— Potential Payments Upon Termination of Change in Control—Severance Policy” below.</w:t>
      </w:r>
    </w:p>
    <w:p>
      <w:pPr>
        <w:spacing w:after="0" w:line="333" w:lineRule="exact"/>
        <w:rPr>
          <w:sz w:val="20"/>
          <w:szCs w:val="20"/>
          <w:color w:val="auto"/>
        </w:rPr>
      </w:pPr>
    </w:p>
    <w:p>
      <w:pPr>
        <w:sectPr>
          <w:pgSz w:w="11900" w:h="16838" w:orient="portrait"/>
          <w:cols w:equalWidth="0" w:num="2">
            <w:col w:w="4600" w:space="720"/>
            <w:col w:w="36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Compensation Recoupment Policy</w:t>
      </w:r>
    </w:p>
    <w:p>
      <w:pPr>
        <w:spacing w:after="0" w:line="129" w:lineRule="exact"/>
        <w:rPr>
          <w:sz w:val="20"/>
          <w:szCs w:val="20"/>
          <w:color w:val="auto"/>
        </w:rPr>
      </w:pPr>
    </w:p>
    <w:p>
      <w:pPr>
        <w:ind w:left="320" w:right="100"/>
        <w:spacing w:after="0" w:line="257" w:lineRule="auto"/>
        <w:rPr>
          <w:sz w:val="20"/>
          <w:szCs w:val="20"/>
          <w:color w:val="auto"/>
        </w:rPr>
      </w:pPr>
      <w:r>
        <w:rPr>
          <w:rFonts w:ascii="Arial" w:cs="Arial" w:eastAsia="Arial" w:hAnsi="Arial"/>
          <w:sz w:val="16"/>
          <w:szCs w:val="16"/>
          <w:color w:val="auto"/>
        </w:rPr>
        <w:t>Under our Compensation Recoupment Policy, in the event the Company is required to restate its financial results in order to correct a material error, our Compensation Committee may recoup, on a pre-tax</w:t>
      </w:r>
    </w:p>
    <w:p>
      <w:pPr>
        <w:spacing w:after="0" w:line="89"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46</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80"/>
        </w:trPr>
        <w:tc>
          <w:tcPr>
            <w:tcW w:w="920" w:type="dxa"/>
            <w:vAlign w:val="bottom"/>
            <w:vMerge w:val="continue"/>
          </w:tcPr>
          <w:p>
            <w:pPr>
              <w:spacing w:after="0"/>
              <w:rPr>
                <w:sz w:val="24"/>
                <w:szCs w:val="24"/>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379"/>
        <w:spacing w:after="0" w:line="257" w:lineRule="auto"/>
        <w:rPr>
          <w:sz w:val="20"/>
          <w:szCs w:val="20"/>
          <w:color w:val="auto"/>
        </w:rPr>
      </w:pPr>
      <w:r>
        <w:rPr>
          <w:rFonts w:ascii="Arial" w:cs="Arial" w:eastAsia="Arial" w:hAnsi="Arial"/>
          <w:sz w:val="16"/>
          <w:szCs w:val="16"/>
          <w:color w:val="auto"/>
        </w:rPr>
        <w:t>basis, certain incentive-based compensation from our executive officers to the extent the amount of such compensation actually paid to the executive exceeds the amount that would have been paid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511810</wp:posOffset>
            </wp:positionV>
            <wp:extent cx="693801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2">
            <w:col w:w="4160" w:space="460"/>
            <w:col w:w="4399"/>
          </w:cols>
          <w:pgMar w:left="1440" w:top="262" w:right="1440" w:bottom="1440" w:gutter="0" w:footer="0" w:header="0"/>
          <w:type w:val="continuous"/>
        </w:sectPr>
      </w:pPr>
    </w:p>
    <w:bookmarkStart w:id="51" w:name="page52"/>
    <w:bookmarkEnd w:id="51"/>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right"/>
        <w:ind w:right="339"/>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26" w:lineRule="exact"/>
        <w:rPr>
          <w:sz w:val="20"/>
          <w:szCs w:val="20"/>
          <w:color w:val="auto"/>
        </w:rPr>
      </w:pPr>
    </w:p>
    <w:p>
      <w:pPr>
        <w:ind w:left="320"/>
        <w:spacing w:after="0" w:line="248" w:lineRule="auto"/>
        <w:rPr>
          <w:sz w:val="20"/>
          <w:szCs w:val="20"/>
          <w:color w:val="auto"/>
        </w:rPr>
      </w:pPr>
      <w:r>
        <w:rPr>
          <w:rFonts w:ascii="Arial" w:cs="Arial" w:eastAsia="Arial" w:hAnsi="Arial"/>
          <w:sz w:val="16"/>
          <w:szCs w:val="16"/>
          <w:color w:val="auto"/>
        </w:rPr>
        <w:t>calculated based on the financial restatement. In addition, in the event an executive officer engages in certain specified acts of misconduct, the Compensation Committee may recoup, on a pre-tax basis, certain incentive-based compensation and other compensation (including service-vesting equity awards and discretionary cash bonuses) that was paid to such executive within three years prior to the date of such misconduct (or, if later, the date the Compensation Committee discovers such misconduct).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459"/>
        <w:spacing w:after="0" w:line="254" w:lineRule="auto"/>
        <w:rPr>
          <w:sz w:val="20"/>
          <w:szCs w:val="20"/>
          <w:color w:val="auto"/>
        </w:rPr>
      </w:pPr>
      <w:r>
        <w:rPr>
          <w:rFonts w:ascii="Arial" w:cs="Arial" w:eastAsia="Arial" w:hAnsi="Arial"/>
          <w:sz w:val="16"/>
          <w:szCs w:val="16"/>
          <w:color w:val="auto"/>
        </w:rPr>
        <w:t>The Compensation Committee reviews this policy from time to time, and the Committee will review it following the SEC’s adoption of a final rule under the Dodd-Frank Act regarding incentive-based compensation recoupment.</w:t>
      </w:r>
    </w:p>
    <w:p>
      <w:pPr>
        <w:spacing w:after="0" w:line="1042" w:lineRule="exact"/>
        <w:rPr>
          <w:sz w:val="20"/>
          <w:szCs w:val="20"/>
          <w:color w:val="auto"/>
        </w:rPr>
      </w:pPr>
    </w:p>
    <w:p>
      <w:pPr>
        <w:sectPr>
          <w:pgSz w:w="11900" w:h="16838" w:orient="portrait"/>
          <w:cols w:equalWidth="0" w:num="2">
            <w:col w:w="4260" w:space="36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Share Ownership Guidelines</w:t>
      </w:r>
    </w:p>
    <w:p>
      <w:pPr>
        <w:spacing w:after="0" w:line="129" w:lineRule="exact"/>
        <w:rPr>
          <w:sz w:val="20"/>
          <w:szCs w:val="20"/>
          <w:color w:val="auto"/>
        </w:rPr>
      </w:pPr>
    </w:p>
    <w:p>
      <w:pPr>
        <w:ind w:left="320" w:right="300"/>
        <w:spacing w:after="0" w:line="252" w:lineRule="auto"/>
        <w:rPr>
          <w:sz w:val="20"/>
          <w:szCs w:val="20"/>
          <w:color w:val="auto"/>
        </w:rPr>
      </w:pPr>
      <w:r>
        <w:rPr>
          <w:rFonts w:ascii="Arial" w:cs="Arial" w:eastAsia="Arial" w:hAnsi="Arial"/>
          <w:sz w:val="16"/>
          <w:szCs w:val="16"/>
          <w:color w:val="auto"/>
        </w:rPr>
        <w:t>Under our share ownership guidelines, each of our executive officers is required to own, within five years following his or her hire or promotion date, common shares of the Company having an aggregate value at least equal to the multiple of his or her annual base salary, as follows:</w:t>
      </w:r>
    </w:p>
    <w:p>
      <w:pPr>
        <w:spacing w:after="0" w:line="60" w:lineRule="exact"/>
        <w:rPr>
          <w:sz w:val="20"/>
          <w:szCs w:val="20"/>
          <w:color w:val="auto"/>
        </w:rPr>
      </w:pPr>
    </w:p>
    <w:tbl>
      <w:tblPr>
        <w:tblLayout w:type="fixed"/>
        <w:tblInd w:w="32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2060" w:type="dxa"/>
            <w:vAlign w:val="bottom"/>
            <w:shd w:val="clear" w:color="auto" w:fill="606489"/>
          </w:tcPr>
          <w:p>
            <w:pPr>
              <w:spacing w:after="0"/>
              <w:rPr>
                <w:sz w:val="22"/>
                <w:szCs w:val="22"/>
                <w:color w:val="auto"/>
              </w:rPr>
            </w:pPr>
          </w:p>
        </w:tc>
        <w:tc>
          <w:tcPr>
            <w:tcW w:w="240" w:type="dxa"/>
            <w:vAlign w:val="bottom"/>
            <w:shd w:val="clear" w:color="auto" w:fill="606489"/>
          </w:tcPr>
          <w:p>
            <w:pPr>
              <w:spacing w:after="0"/>
              <w:rPr>
                <w:sz w:val="22"/>
                <w:szCs w:val="22"/>
                <w:color w:val="auto"/>
              </w:rPr>
            </w:pPr>
          </w:p>
        </w:tc>
        <w:tc>
          <w:tcPr>
            <w:tcW w:w="240" w:type="dxa"/>
            <w:vAlign w:val="bottom"/>
            <w:shd w:val="clear" w:color="auto" w:fill="606489"/>
          </w:tcPr>
          <w:p>
            <w:pPr>
              <w:spacing w:after="0"/>
              <w:rPr>
                <w:sz w:val="22"/>
                <w:szCs w:val="22"/>
                <w:color w:val="auto"/>
              </w:rPr>
            </w:pPr>
          </w:p>
        </w:tc>
        <w:tc>
          <w:tcPr>
            <w:tcW w:w="1240" w:type="dxa"/>
            <w:vAlign w:val="bottom"/>
            <w:shd w:val="clear" w:color="auto" w:fill="606489"/>
          </w:tcPr>
          <w:p>
            <w:pPr>
              <w:jc w:val="center"/>
              <w:spacing w:after="0"/>
              <w:rPr>
                <w:sz w:val="20"/>
                <w:szCs w:val="20"/>
                <w:color w:val="auto"/>
              </w:rPr>
            </w:pPr>
            <w:r>
              <w:rPr>
                <w:rFonts w:ascii="Arial" w:cs="Arial" w:eastAsia="Arial" w:hAnsi="Arial"/>
                <w:sz w:val="14"/>
                <w:szCs w:val="14"/>
                <w:b w:val="1"/>
                <w:bCs w:val="1"/>
                <w:color w:val="FFFFFF"/>
              </w:rPr>
              <w:t>Multiple of</w:t>
            </w:r>
          </w:p>
        </w:tc>
        <w:tc>
          <w:tcPr>
            <w:tcW w:w="280" w:type="dxa"/>
            <w:vAlign w:val="bottom"/>
            <w:shd w:val="clear" w:color="auto" w:fill="606489"/>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60" w:type="dxa"/>
            <w:vAlign w:val="bottom"/>
            <w:shd w:val="clear" w:color="auto" w:fill="606489"/>
          </w:tcPr>
          <w:p>
            <w:pPr>
              <w:spacing w:after="0"/>
              <w:rPr>
                <w:sz w:val="8"/>
                <w:szCs w:val="8"/>
                <w:color w:val="auto"/>
              </w:rPr>
            </w:pPr>
          </w:p>
        </w:tc>
        <w:tc>
          <w:tcPr>
            <w:tcW w:w="240" w:type="dxa"/>
            <w:vAlign w:val="bottom"/>
            <w:shd w:val="clear" w:color="auto" w:fill="606489"/>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shd w:val="clear" w:color="auto" w:fill="606489"/>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40" w:type="dxa"/>
            <w:vAlign w:val="bottom"/>
            <w:vMerge w:val="restart"/>
            <w:shd w:val="clear" w:color="auto" w:fill="606489"/>
          </w:tcPr>
          <w:p>
            <w:pPr>
              <w:jc w:val="center"/>
              <w:spacing w:after="0"/>
              <w:rPr>
                <w:sz w:val="20"/>
                <w:szCs w:val="20"/>
                <w:color w:val="auto"/>
              </w:rPr>
            </w:pPr>
            <w:r>
              <w:rPr>
                <w:rFonts w:ascii="Arial" w:cs="Arial" w:eastAsia="Arial" w:hAnsi="Arial"/>
                <w:sz w:val="14"/>
                <w:szCs w:val="14"/>
                <w:b w:val="1"/>
                <w:bCs w:val="1"/>
                <w:color w:val="FFFFFF"/>
              </w:rPr>
              <w:t>Annual Base</w:t>
            </w:r>
          </w:p>
        </w:tc>
        <w:tc>
          <w:tcPr>
            <w:tcW w:w="280" w:type="dxa"/>
            <w:vAlign w:val="bottom"/>
            <w:shd w:val="clear" w:color="auto" w:fill="606489"/>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shd w:val="clear" w:color="auto" w:fill="606489"/>
          </w:tcPr>
          <w:p>
            <w:pPr>
              <w:spacing w:after="0"/>
              <w:rPr>
                <w:sz w:val="5"/>
                <w:szCs w:val="5"/>
                <w:color w:val="auto"/>
              </w:rPr>
            </w:pPr>
          </w:p>
        </w:tc>
        <w:tc>
          <w:tcPr>
            <w:tcW w:w="240" w:type="dxa"/>
            <w:vAlign w:val="bottom"/>
            <w:shd w:val="clear" w:color="auto" w:fill="606489"/>
          </w:tcPr>
          <w:p>
            <w:pPr>
              <w:spacing w:after="0"/>
              <w:rPr>
                <w:sz w:val="5"/>
                <w:szCs w:val="5"/>
                <w:color w:val="auto"/>
              </w:rPr>
            </w:pPr>
          </w:p>
        </w:tc>
        <w:tc>
          <w:tcPr>
            <w:tcW w:w="240" w:type="dxa"/>
            <w:vAlign w:val="bottom"/>
            <w:shd w:val="clear" w:color="auto" w:fill="606489"/>
          </w:tcPr>
          <w:p>
            <w:pPr>
              <w:spacing w:after="0"/>
              <w:rPr>
                <w:sz w:val="5"/>
                <w:szCs w:val="5"/>
                <w:color w:val="auto"/>
              </w:rPr>
            </w:pPr>
          </w:p>
        </w:tc>
        <w:tc>
          <w:tcPr>
            <w:tcW w:w="1240" w:type="dxa"/>
            <w:vAlign w:val="bottom"/>
            <w:vMerge w:val="continue"/>
            <w:shd w:val="clear" w:color="auto" w:fill="606489"/>
          </w:tcPr>
          <w:p>
            <w:pPr>
              <w:spacing w:after="0"/>
              <w:rPr>
                <w:sz w:val="5"/>
                <w:szCs w:val="5"/>
                <w:color w:val="auto"/>
              </w:rPr>
            </w:pPr>
          </w:p>
        </w:tc>
        <w:tc>
          <w:tcPr>
            <w:tcW w:w="280" w:type="dxa"/>
            <w:vAlign w:val="bottom"/>
            <w:shd w:val="clear" w:color="auto" w:fill="606489"/>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60" w:type="dxa"/>
            <w:vAlign w:val="bottom"/>
            <w:tcBorders>
              <w:bottom w:val="single" w:sz="8" w:color="606489"/>
            </w:tcBorders>
            <w:shd w:val="clear" w:color="auto" w:fill="606489"/>
          </w:tcPr>
          <w:p>
            <w:pPr>
              <w:ind w:left="140"/>
              <w:spacing w:after="0"/>
              <w:rPr>
                <w:sz w:val="20"/>
                <w:szCs w:val="20"/>
                <w:color w:val="auto"/>
              </w:rPr>
            </w:pPr>
            <w:r>
              <w:rPr>
                <w:rFonts w:ascii="Arial" w:cs="Arial" w:eastAsia="Arial" w:hAnsi="Arial"/>
                <w:sz w:val="14"/>
                <w:szCs w:val="14"/>
                <w:b w:val="1"/>
                <w:bCs w:val="1"/>
                <w:color w:val="FFFFFF"/>
              </w:rPr>
              <w:t>Position</w:t>
            </w:r>
          </w:p>
        </w:tc>
        <w:tc>
          <w:tcPr>
            <w:tcW w:w="240" w:type="dxa"/>
            <w:vAlign w:val="bottom"/>
            <w:tcBorders>
              <w:bottom w:val="single" w:sz="8" w:color="606489"/>
            </w:tcBorders>
            <w:shd w:val="clear" w:color="auto" w:fill="606489"/>
          </w:tcPr>
          <w:p>
            <w:pPr>
              <w:spacing w:after="0"/>
              <w:rPr>
                <w:sz w:val="17"/>
                <w:szCs w:val="17"/>
                <w:color w:val="auto"/>
              </w:rPr>
            </w:pPr>
          </w:p>
        </w:tc>
        <w:tc>
          <w:tcPr>
            <w:tcW w:w="240" w:type="dxa"/>
            <w:vAlign w:val="bottom"/>
            <w:tcBorders>
              <w:bottom w:val="single" w:sz="8" w:color="606489"/>
            </w:tcBorders>
            <w:shd w:val="clear" w:color="auto" w:fill="606489"/>
          </w:tcPr>
          <w:p>
            <w:pPr>
              <w:spacing w:after="0"/>
              <w:rPr>
                <w:sz w:val="17"/>
                <w:szCs w:val="17"/>
                <w:color w:val="auto"/>
              </w:rPr>
            </w:pPr>
          </w:p>
        </w:tc>
        <w:tc>
          <w:tcPr>
            <w:tcW w:w="1240" w:type="dxa"/>
            <w:vAlign w:val="bottom"/>
            <w:tcBorders>
              <w:bottom w:val="single" w:sz="8" w:color="606489"/>
            </w:tcBorders>
            <w:shd w:val="clear" w:color="auto" w:fill="606489"/>
          </w:tcPr>
          <w:p>
            <w:pPr>
              <w:jc w:val="center"/>
              <w:spacing w:after="0"/>
              <w:rPr>
                <w:sz w:val="20"/>
                <w:szCs w:val="20"/>
                <w:color w:val="auto"/>
              </w:rPr>
            </w:pPr>
            <w:r>
              <w:rPr>
                <w:rFonts w:ascii="Arial" w:cs="Arial" w:eastAsia="Arial" w:hAnsi="Arial"/>
                <w:sz w:val="14"/>
                <w:szCs w:val="14"/>
                <w:b w:val="1"/>
                <w:bCs w:val="1"/>
                <w:color w:val="FFFFFF"/>
                <w:w w:val="99"/>
              </w:rPr>
              <w:t>Salary</w:t>
            </w:r>
          </w:p>
        </w:tc>
        <w:tc>
          <w:tcPr>
            <w:tcW w:w="280" w:type="dxa"/>
            <w:vAlign w:val="bottom"/>
            <w:tcBorders>
              <w:bottom w:val="single" w:sz="8" w:color="606489"/>
            </w:tcBorders>
            <w:shd w:val="clear" w:color="auto" w:fill="606489"/>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60" w:type="dxa"/>
            <w:vAlign w:val="bottom"/>
            <w:tcBorders>
              <w:bottom w:val="single" w:sz="8" w:color="ACABC0"/>
            </w:tcBorders>
            <w:shd w:val="clear" w:color="auto" w:fill="ACABC0"/>
          </w:tcPr>
          <w:p>
            <w:pPr>
              <w:ind w:left="140"/>
              <w:spacing w:after="0"/>
              <w:rPr>
                <w:sz w:val="20"/>
                <w:szCs w:val="20"/>
                <w:color w:val="auto"/>
              </w:rPr>
            </w:pPr>
            <w:r>
              <w:rPr>
                <w:rFonts w:ascii="Arial" w:cs="Arial" w:eastAsia="Arial" w:hAnsi="Arial"/>
                <w:sz w:val="16"/>
                <w:szCs w:val="16"/>
                <w:color w:val="auto"/>
              </w:rPr>
              <w:t>Chief Executive Officer</w:t>
            </w:r>
          </w:p>
        </w:tc>
        <w:tc>
          <w:tcPr>
            <w:tcW w:w="240" w:type="dxa"/>
            <w:vAlign w:val="bottom"/>
            <w:tcBorders>
              <w:bottom w:val="single" w:sz="8" w:color="ACABC0"/>
            </w:tcBorders>
            <w:shd w:val="clear" w:color="auto" w:fill="ACABC0"/>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4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6"/>
                <w:szCs w:val="16"/>
                <w:color w:val="auto"/>
              </w:rPr>
              <w:t>6x</w:t>
            </w:r>
          </w:p>
        </w:tc>
        <w:tc>
          <w:tcPr>
            <w:tcW w:w="280" w:type="dxa"/>
            <w:vAlign w:val="bottom"/>
            <w:tcBorders>
              <w:bottom w:val="single" w:sz="8" w:color="ACABC0"/>
            </w:tcBorders>
            <w:shd w:val="clear" w:color="auto" w:fill="ACABC0"/>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60" w:type="dxa"/>
            <w:vAlign w:val="bottom"/>
            <w:shd w:val="clear" w:color="auto" w:fill="F1F2F2"/>
          </w:tcPr>
          <w:p>
            <w:pPr>
              <w:ind w:left="140"/>
              <w:spacing w:after="0"/>
              <w:rPr>
                <w:sz w:val="20"/>
                <w:szCs w:val="20"/>
                <w:color w:val="auto"/>
              </w:rPr>
            </w:pPr>
            <w:r>
              <w:rPr>
                <w:rFonts w:ascii="Arial" w:cs="Arial" w:eastAsia="Arial" w:hAnsi="Arial"/>
                <w:sz w:val="16"/>
                <w:szCs w:val="16"/>
                <w:color w:val="auto"/>
              </w:rPr>
              <w:t>Other Executive Officers</w:t>
            </w:r>
          </w:p>
        </w:tc>
        <w:tc>
          <w:tcPr>
            <w:tcW w:w="240" w:type="dxa"/>
            <w:vAlign w:val="bottom"/>
            <w:shd w:val="clear" w:color="auto" w:fill="F1F2F2"/>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40" w:type="dxa"/>
            <w:vAlign w:val="bottom"/>
            <w:shd w:val="clear" w:color="auto" w:fill="F1F2F2"/>
          </w:tcPr>
          <w:p>
            <w:pPr>
              <w:jc w:val="center"/>
              <w:spacing w:after="0"/>
              <w:rPr>
                <w:sz w:val="20"/>
                <w:szCs w:val="20"/>
                <w:color w:val="auto"/>
              </w:rPr>
            </w:pPr>
            <w:r>
              <w:rPr>
                <w:rFonts w:ascii="Arial" w:cs="Arial" w:eastAsia="Arial" w:hAnsi="Arial"/>
                <w:sz w:val="16"/>
                <w:szCs w:val="16"/>
                <w:color w:val="auto"/>
              </w:rPr>
              <w:t>3x</w:t>
            </w:r>
          </w:p>
        </w:tc>
        <w:tc>
          <w:tcPr>
            <w:tcW w:w="280" w:type="dxa"/>
            <w:vAlign w:val="bottom"/>
            <w:shd w:val="clear" w:color="auto" w:fill="F1F2F2"/>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60" w:type="dxa"/>
            <w:vAlign w:val="bottom"/>
            <w:shd w:val="clear" w:color="auto" w:fill="F1F2F2"/>
          </w:tcPr>
          <w:p>
            <w:pPr>
              <w:spacing w:after="0"/>
              <w:rPr>
                <w:sz w:val="3"/>
                <w:szCs w:val="3"/>
                <w:color w:val="auto"/>
              </w:rPr>
            </w:pPr>
          </w:p>
        </w:tc>
        <w:tc>
          <w:tcPr>
            <w:tcW w:w="240" w:type="dxa"/>
            <w:vAlign w:val="bottom"/>
            <w:shd w:val="clear" w:color="auto" w:fill="F1F2F2"/>
          </w:tcPr>
          <w:p>
            <w:pPr>
              <w:spacing w:after="0"/>
              <w:rPr>
                <w:sz w:val="3"/>
                <w:szCs w:val="3"/>
                <w:color w:val="auto"/>
              </w:rPr>
            </w:pPr>
          </w:p>
        </w:tc>
        <w:tc>
          <w:tcPr>
            <w:tcW w:w="240" w:type="dxa"/>
            <w:vAlign w:val="bottom"/>
            <w:shd w:val="clear" w:color="auto" w:fill="F1F2F2"/>
          </w:tcPr>
          <w:p>
            <w:pPr>
              <w:spacing w:after="0"/>
              <w:rPr>
                <w:sz w:val="3"/>
                <w:szCs w:val="3"/>
                <w:color w:val="auto"/>
              </w:rPr>
            </w:pPr>
          </w:p>
        </w:tc>
        <w:tc>
          <w:tcPr>
            <w:tcW w:w="1240" w:type="dxa"/>
            <w:vAlign w:val="bottom"/>
            <w:shd w:val="clear" w:color="auto" w:fill="F1F2F2"/>
          </w:tcPr>
          <w:p>
            <w:pPr>
              <w:spacing w:after="0"/>
              <w:rPr>
                <w:sz w:val="3"/>
                <w:szCs w:val="3"/>
                <w:color w:val="auto"/>
              </w:rPr>
            </w:pPr>
          </w:p>
        </w:tc>
        <w:tc>
          <w:tcPr>
            <w:tcW w:w="280" w:type="dxa"/>
            <w:vAlign w:val="bottom"/>
            <w:shd w:val="clear" w:color="auto" w:fill="F1F2F2"/>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right="359"/>
        <w:spacing w:after="0" w:line="286" w:lineRule="auto"/>
        <w:rPr>
          <w:sz w:val="20"/>
          <w:szCs w:val="20"/>
          <w:color w:val="auto"/>
        </w:rPr>
      </w:pPr>
      <w:r>
        <w:rPr>
          <w:rFonts w:ascii="Arial" w:cs="Arial" w:eastAsia="Arial" w:hAnsi="Arial"/>
          <w:sz w:val="16"/>
          <w:szCs w:val="16"/>
          <w:color w:val="auto"/>
        </w:rPr>
        <w:t>Shares owned directly or indirectly (including shares received upon settlement of an equity award) and service-vesting restricted shares and share-settled RSUs are counted for purposes of satisfying our Share Ownership Guidelines. However, shares underlying restricted shares or RSUs that are subject to performance-based vesting conditions that have not yet been satisfied will not be counted for purposes of satisfying the ownership guidelines.</w:t>
      </w:r>
    </w:p>
    <w:p>
      <w:pPr>
        <w:spacing w:after="0" w:line="62" w:lineRule="exact"/>
        <w:rPr>
          <w:sz w:val="20"/>
          <w:szCs w:val="20"/>
          <w:color w:val="auto"/>
        </w:rPr>
      </w:pPr>
    </w:p>
    <w:p>
      <w:pPr>
        <w:ind w:right="399"/>
        <w:spacing w:after="0" w:line="317" w:lineRule="auto"/>
        <w:rPr>
          <w:sz w:val="20"/>
          <w:szCs w:val="20"/>
          <w:color w:val="auto"/>
        </w:rPr>
      </w:pPr>
      <w:r>
        <w:rPr>
          <w:rFonts w:ascii="Arial" w:cs="Arial" w:eastAsia="Arial" w:hAnsi="Arial"/>
          <w:sz w:val="16"/>
          <w:szCs w:val="16"/>
          <w:color w:val="auto"/>
        </w:rPr>
        <w:t>As of December 31, 2021, all of our executive officers were in compliance with the share ownership guidelines.</w:t>
      </w:r>
    </w:p>
    <w:p>
      <w:pPr>
        <w:spacing w:after="0" w:line="84" w:lineRule="exact"/>
        <w:rPr>
          <w:sz w:val="20"/>
          <w:szCs w:val="20"/>
          <w:color w:val="auto"/>
        </w:rPr>
      </w:pPr>
    </w:p>
    <w:p>
      <w:pPr>
        <w:sectPr>
          <w:pgSz w:w="11900" w:h="16838" w:orient="portrait"/>
          <w:cols w:equalWidth="0" w:num="2">
            <w:col w:w="4400" w:space="22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Policy Prohibiting Hedging Transactions</w:t>
      </w:r>
    </w:p>
    <w:p>
      <w:pPr>
        <w:sectPr>
          <w:pgSz w:w="11900" w:h="16838" w:orient="portrait"/>
          <w:cols w:equalWidth="0" w:num="1">
            <w:col w:w="9019"/>
          </w:cols>
          <w:pgMar w:left="1440" w:top="262" w:right="1440" w:bottom="1440" w:gutter="0" w:footer="0" w:header="0"/>
          <w:type w:val="continuous"/>
        </w:sectPr>
      </w:pPr>
    </w:p>
    <w:p>
      <w:pPr>
        <w:spacing w:after="0" w:line="129" w:lineRule="exact"/>
        <w:rPr>
          <w:sz w:val="20"/>
          <w:szCs w:val="20"/>
          <w:color w:val="auto"/>
        </w:rPr>
      </w:pPr>
    </w:p>
    <w:p>
      <w:pPr>
        <w:ind w:left="320"/>
        <w:spacing w:after="0" w:line="252" w:lineRule="auto"/>
        <w:rPr>
          <w:sz w:val="20"/>
          <w:szCs w:val="20"/>
          <w:color w:val="auto"/>
        </w:rPr>
      </w:pPr>
      <w:r>
        <w:rPr>
          <w:rFonts w:ascii="Arial" w:cs="Arial" w:eastAsia="Arial" w:hAnsi="Arial"/>
          <w:sz w:val="16"/>
          <w:szCs w:val="16"/>
          <w:color w:val="auto"/>
        </w:rPr>
        <w:t>Our Dealing Policy prohibits our employees, including our named executive officers, from engaging in speculative transactions in the Company’s securities, including short sales and, unless our General Counsel provides prior written authorization, publicly traded options and margin accounts.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both"/>
        <w:ind w:right="419"/>
        <w:spacing w:after="0" w:line="263" w:lineRule="auto"/>
        <w:rPr>
          <w:sz w:val="20"/>
          <w:szCs w:val="20"/>
          <w:color w:val="auto"/>
        </w:rPr>
      </w:pPr>
      <w:r>
        <w:rPr>
          <w:rFonts w:ascii="Arial" w:cs="Arial" w:eastAsia="Arial" w:hAnsi="Arial"/>
          <w:sz w:val="16"/>
          <w:szCs w:val="16"/>
          <w:color w:val="auto"/>
        </w:rPr>
        <w:t>During the past five years, none of our named executive officers have engaged in any such hedging transactions with respect to any Company securities.</w:t>
      </w:r>
    </w:p>
    <w:p>
      <w:pPr>
        <w:spacing w:after="0" w:line="675" w:lineRule="exact"/>
        <w:rPr>
          <w:sz w:val="20"/>
          <w:szCs w:val="20"/>
          <w:color w:val="auto"/>
        </w:rPr>
      </w:pPr>
    </w:p>
    <w:p>
      <w:pPr>
        <w:sectPr>
          <w:pgSz w:w="11900" w:h="16838" w:orient="portrait"/>
          <w:cols w:equalWidth="0" w:num="2">
            <w:col w:w="4180" w:space="44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Compensation Risk Assessment</w:t>
      </w:r>
    </w:p>
    <w:p>
      <w:pPr>
        <w:spacing w:after="0" w:line="129" w:lineRule="exact"/>
        <w:rPr>
          <w:sz w:val="20"/>
          <w:szCs w:val="20"/>
          <w:color w:val="auto"/>
        </w:rPr>
      </w:pPr>
    </w:p>
    <w:p>
      <w:pPr>
        <w:ind w:left="320"/>
        <w:spacing w:after="0" w:line="252" w:lineRule="auto"/>
        <w:rPr>
          <w:sz w:val="20"/>
          <w:szCs w:val="20"/>
          <w:color w:val="auto"/>
        </w:rPr>
      </w:pPr>
      <w:r>
        <w:rPr>
          <w:rFonts w:ascii="Arial" w:cs="Arial" w:eastAsia="Arial" w:hAnsi="Arial"/>
          <w:sz w:val="16"/>
          <w:szCs w:val="16"/>
          <w:color w:val="auto"/>
        </w:rPr>
        <w:t>Our management team has reviewed our compensation policies and practices for all of our employees with our Compensation Committee. We believe that the following factors mitigate any potential risks: balanced pay mix; diversified performance metrics; emphasis on long-term equity incentive compensation tied to service and</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499"/>
        <w:spacing w:after="0" w:line="263" w:lineRule="auto"/>
        <w:rPr>
          <w:sz w:val="20"/>
          <w:szCs w:val="20"/>
          <w:color w:val="auto"/>
        </w:rPr>
      </w:pPr>
      <w:r>
        <w:rPr>
          <w:rFonts w:ascii="Arial" w:cs="Arial" w:eastAsia="Arial" w:hAnsi="Arial"/>
          <w:sz w:val="16"/>
          <w:szCs w:val="16"/>
          <w:color w:val="auto"/>
        </w:rPr>
        <w:t>performance conditions; the overall amount of compensation and internal control and oversight by the Compensation Committee and our Board.</w:t>
      </w:r>
    </w:p>
    <w:p>
      <w:pPr>
        <w:spacing w:after="0" w:line="65" w:lineRule="exact"/>
        <w:rPr>
          <w:sz w:val="20"/>
          <w:szCs w:val="20"/>
          <w:color w:val="auto"/>
        </w:rPr>
      </w:pPr>
    </w:p>
    <w:p>
      <w:pPr>
        <w:ind w:right="559"/>
        <w:spacing w:after="0" w:line="257" w:lineRule="auto"/>
        <w:rPr>
          <w:sz w:val="20"/>
          <w:szCs w:val="20"/>
          <w:color w:val="auto"/>
        </w:rPr>
      </w:pPr>
      <w:r>
        <w:rPr>
          <w:rFonts w:ascii="Arial" w:cs="Arial" w:eastAsia="Arial" w:hAnsi="Arial"/>
          <w:sz w:val="16"/>
          <w:szCs w:val="16"/>
          <w:color w:val="auto"/>
        </w:rPr>
        <w:t>The Compensation Committee has determined, based on this review, that our compensation policies and practices are not reasonably likely to have a material adverse effect on the Company.</w:t>
      </w:r>
    </w:p>
    <w:p>
      <w:pPr>
        <w:spacing w:after="0" w:line="103" w:lineRule="exact"/>
        <w:rPr>
          <w:sz w:val="20"/>
          <w:szCs w:val="20"/>
          <w:color w:val="auto"/>
        </w:rPr>
      </w:pPr>
    </w:p>
    <w:p>
      <w:pPr>
        <w:sectPr>
          <w:pgSz w:w="11900" w:h="16838" w:orient="portrait"/>
          <w:cols w:equalWidth="0" w:num="2">
            <w:col w:w="4320" w:space="300"/>
            <w:col w:w="4399"/>
          </w:cols>
          <w:pgMar w:left="1440" w:top="262" w:right="1440" w:bottom="1440" w:gutter="0" w:footer="0" w:header="0"/>
          <w:type w:val="continuous"/>
        </w:sectPr>
      </w:pPr>
    </w:p>
    <w:p>
      <w:pPr>
        <w:jc w:val="center"/>
        <w:ind w:left="280"/>
        <w:spacing w:after="0"/>
        <w:rPr>
          <w:sz w:val="20"/>
          <w:szCs w:val="20"/>
          <w:color w:val="auto"/>
        </w:rPr>
      </w:pPr>
      <w:r>
        <w:rPr>
          <w:rFonts w:ascii="Arial" w:cs="Arial" w:eastAsia="Arial" w:hAnsi="Arial"/>
          <w:sz w:val="23"/>
          <w:szCs w:val="23"/>
          <w:b w:val="1"/>
          <w:bCs w:val="1"/>
          <w:color w:val="595959"/>
        </w:rPr>
        <w:t>Tax and Accounting Considerations</w:t>
      </w:r>
    </w:p>
    <w:p>
      <w:pPr>
        <w:spacing w:after="0" w:line="129" w:lineRule="exact"/>
        <w:rPr>
          <w:sz w:val="20"/>
          <w:szCs w:val="20"/>
          <w:color w:val="auto"/>
        </w:rPr>
      </w:pPr>
    </w:p>
    <w:p>
      <w:pPr>
        <w:ind w:left="320"/>
        <w:spacing w:after="0" w:line="252" w:lineRule="auto"/>
        <w:rPr>
          <w:sz w:val="20"/>
          <w:szCs w:val="20"/>
          <w:color w:val="auto"/>
        </w:rPr>
      </w:pPr>
      <w:r>
        <w:rPr>
          <w:rFonts w:ascii="Arial" w:cs="Arial" w:eastAsia="Arial" w:hAnsi="Arial"/>
          <w:sz w:val="16"/>
          <w:szCs w:val="16"/>
          <w:color w:val="auto"/>
        </w:rPr>
        <w:t>The Compensation Committee takes into consideration the accounting and tax implications of our compensation and benefit programs, including with respect to the federal income tax deductibility of compensation under Section 162(m) of the Internal Revenue Code (the “Code”).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579"/>
        <w:spacing w:after="0" w:line="252" w:lineRule="auto"/>
        <w:rPr>
          <w:sz w:val="20"/>
          <w:szCs w:val="20"/>
          <w:color w:val="auto"/>
        </w:rPr>
      </w:pPr>
      <w:r>
        <w:rPr>
          <w:rFonts w:ascii="Arial" w:cs="Arial" w:eastAsia="Arial" w:hAnsi="Arial"/>
          <w:sz w:val="16"/>
          <w:szCs w:val="16"/>
          <w:color w:val="auto"/>
        </w:rPr>
        <w:t>In the exercise of its business judgment, and in accordance with its compensation philosophy, the Compensation Committee continues to have the flexibility to award compensation that is not deductible under Section 162(m) if it determines such award is in our stockholders’ best interests.</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121285</wp:posOffset>
            </wp:positionV>
            <wp:extent cx="693801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-158750</wp:posOffset>
            </wp:positionV>
            <wp:extent cx="594995" cy="1701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2">
            <w:col w:w="4320" w:space="300"/>
            <w:col w:w="4399"/>
          </w:cols>
          <w:pgMar w:left="1440" w:top="262" w:right="1440" w:bottom="1440" w:gutter="0" w:footer="0" w:header="0"/>
          <w:type w:val="continuous"/>
        </w:sectPr>
      </w:pPr>
    </w:p>
    <w:bookmarkStart w:id="52" w:name="page53"/>
    <w:bookmarkEnd w:id="52"/>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Compensation Committee Report</w:t>
      </w:r>
    </w:p>
    <w:p>
      <w:pPr>
        <w:spacing w:after="0" w:line="129" w:lineRule="exact"/>
        <w:rPr>
          <w:sz w:val="20"/>
          <w:szCs w:val="20"/>
          <w:color w:val="auto"/>
        </w:rPr>
      </w:pPr>
    </w:p>
    <w:p>
      <w:pPr>
        <w:ind w:left="320" w:right="539"/>
        <w:spacing w:after="0" w:line="257" w:lineRule="auto"/>
        <w:rPr>
          <w:sz w:val="20"/>
          <w:szCs w:val="20"/>
          <w:color w:val="auto"/>
        </w:rPr>
      </w:pPr>
      <w:r>
        <w:rPr>
          <w:rFonts w:ascii="Arial" w:cs="Arial" w:eastAsia="Arial" w:hAnsi="Arial"/>
          <w:sz w:val="16"/>
          <w:szCs w:val="16"/>
          <w:color w:val="auto"/>
        </w:rPr>
        <w:t>The Compensation Committee has reviewed and discussed the CD&amp;A with our management. Based on this review and discussion, the Compensation Committee recommended to the Board that the CD&amp;A be included in this Proxy Statement and incorporated by reference into the Company’s Annual Report on Form 10-K for the year ended December 31, 2021.</w:t>
      </w:r>
    </w:p>
    <w:p>
      <w:pPr>
        <w:spacing w:after="0" w:line="136"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20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80" w:type="dxa"/>
            <w:vAlign w:val="bottom"/>
          </w:tcPr>
          <w:p>
            <w:pPr>
              <w:ind w:left="20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620" w:type="dxa"/>
            <w:vAlign w:val="bottom"/>
          </w:tcPr>
          <w:p>
            <w:pPr>
              <w:ind w:left="40"/>
              <w:spacing w:after="0"/>
              <w:rPr>
                <w:sz w:val="20"/>
                <w:szCs w:val="20"/>
                <w:color w:val="auto"/>
              </w:rPr>
            </w:pPr>
            <w:r>
              <w:rPr>
                <w:rFonts w:ascii="Arial" w:cs="Arial" w:eastAsia="Arial" w:hAnsi="Arial"/>
                <w:sz w:val="16"/>
                <w:szCs w:val="16"/>
                <w:color w:val="auto"/>
              </w:rPr>
              <w:t>Respectfully submitted by the Compensation</w:t>
            </w:r>
          </w:p>
        </w:tc>
        <w:tc>
          <w:tcPr>
            <w:tcW w:w="420" w:type="dxa"/>
            <w:vAlign w:val="bottom"/>
          </w:tcPr>
          <w:p>
            <w:pPr>
              <w:ind w:left="420"/>
              <w:spacing w:after="0"/>
              <w:rPr>
                <w:sz w:val="20"/>
                <w:szCs w:val="20"/>
                <w:color w:val="auto"/>
              </w:rPr>
            </w:pPr>
            <w:r>
              <w:rPr>
                <w:rFonts w:ascii="Times New Roman" w:cs="Times New Roman" w:eastAsia="Times New Roman" w:hAnsi="Times New Roman"/>
                <w:sz w:val="4"/>
                <w:szCs w:val="4"/>
                <w:color w:val="auto"/>
              </w:rPr>
              <w:t>​</w:t>
            </w:r>
          </w:p>
        </w:tc>
      </w:tr>
      <w:tr>
        <w:trPr>
          <w:trHeight w:val="213"/>
        </w:trPr>
        <w:tc>
          <w:tcPr>
            <w:tcW w:w="2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tcPr>
          <w:p>
            <w:pPr>
              <w:ind w:left="40"/>
              <w:spacing w:after="0"/>
              <w:rPr>
                <w:sz w:val="20"/>
                <w:szCs w:val="20"/>
                <w:color w:val="auto"/>
              </w:rPr>
            </w:pPr>
            <w:r>
              <w:rPr>
                <w:rFonts w:ascii="Arial" w:cs="Arial" w:eastAsia="Arial" w:hAnsi="Arial"/>
                <w:sz w:val="16"/>
                <w:szCs w:val="16"/>
                <w:color w:val="auto"/>
              </w:rPr>
              <w:t>Committee of the Board,</w:t>
            </w:r>
          </w:p>
        </w:tc>
        <w:tc>
          <w:tcPr>
            <w:tcW w:w="420" w:type="dxa"/>
            <w:vAlign w:val="bottom"/>
          </w:tcPr>
          <w:p>
            <w:pPr>
              <w:spacing w:after="0"/>
              <w:rPr>
                <w:sz w:val="18"/>
                <w:szCs w:val="18"/>
                <w:color w:val="auto"/>
              </w:rPr>
            </w:pPr>
          </w:p>
        </w:tc>
      </w:tr>
      <w:tr>
        <w:trPr>
          <w:trHeight w:val="118"/>
        </w:trPr>
        <w:tc>
          <w:tcPr>
            <w:tcW w:w="20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80" w:type="dxa"/>
            <w:vAlign w:val="bottom"/>
          </w:tcPr>
          <w:p>
            <w:pPr>
              <w:ind w:left="20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620" w:type="dxa"/>
            <w:vAlign w:val="bottom"/>
          </w:tcPr>
          <w:p>
            <w:pPr>
              <w:spacing w:after="0"/>
              <w:rPr>
                <w:sz w:val="10"/>
                <w:szCs w:val="10"/>
                <w:color w:val="auto"/>
              </w:rPr>
            </w:pPr>
          </w:p>
        </w:tc>
        <w:tc>
          <w:tcPr>
            <w:tcW w:w="420" w:type="dxa"/>
            <w:vAlign w:val="bottom"/>
          </w:tcPr>
          <w:p>
            <w:pPr>
              <w:ind w:left="420"/>
              <w:spacing w:after="0"/>
              <w:rPr>
                <w:sz w:val="20"/>
                <w:szCs w:val="20"/>
                <w:color w:val="auto"/>
              </w:rPr>
            </w:pPr>
            <w:r>
              <w:rPr>
                <w:rFonts w:ascii="Times New Roman" w:cs="Times New Roman" w:eastAsia="Times New Roman" w:hAnsi="Times New Roman"/>
                <w:sz w:val="4"/>
                <w:szCs w:val="4"/>
                <w:color w:val="auto"/>
              </w:rPr>
              <w:t>​</w:t>
            </w:r>
          </w:p>
        </w:tc>
      </w:tr>
      <w:tr>
        <w:trPr>
          <w:trHeight w:val="284"/>
        </w:trPr>
        <w:tc>
          <w:tcPr>
            <w:tcW w:w="2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ind w:left="40"/>
              <w:spacing w:after="0"/>
              <w:rPr>
                <w:sz w:val="20"/>
                <w:szCs w:val="20"/>
                <w:color w:val="auto"/>
              </w:rPr>
            </w:pPr>
            <w:r>
              <w:rPr>
                <w:rFonts w:ascii="Arial" w:cs="Arial" w:eastAsia="Arial" w:hAnsi="Arial"/>
                <w:sz w:val="16"/>
                <w:szCs w:val="16"/>
                <w:color w:val="auto"/>
              </w:rPr>
              <w:t>Adebayo (“Bayo”) O. Ogunlesi, Chair</w:t>
            </w:r>
          </w:p>
        </w:tc>
        <w:tc>
          <w:tcPr>
            <w:tcW w:w="420" w:type="dxa"/>
            <w:vAlign w:val="bottom"/>
          </w:tcPr>
          <w:p>
            <w:pPr>
              <w:spacing w:after="0"/>
              <w:rPr>
                <w:sz w:val="24"/>
                <w:szCs w:val="24"/>
                <w:color w:val="auto"/>
              </w:rPr>
            </w:pPr>
          </w:p>
        </w:tc>
      </w:tr>
      <w:tr>
        <w:trPr>
          <w:trHeight w:val="187"/>
        </w:trPr>
        <w:tc>
          <w:tcPr>
            <w:tcW w:w="20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80" w:type="dxa"/>
            <w:vAlign w:val="bottom"/>
          </w:tcPr>
          <w:p>
            <w:pPr>
              <w:ind w:left="20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620" w:type="dxa"/>
            <w:vAlign w:val="bottom"/>
          </w:tcPr>
          <w:p>
            <w:pPr>
              <w:ind w:left="40"/>
              <w:spacing w:after="0"/>
              <w:rPr>
                <w:sz w:val="20"/>
                <w:szCs w:val="20"/>
                <w:color w:val="auto"/>
              </w:rPr>
            </w:pPr>
            <w:r>
              <w:rPr>
                <w:rFonts w:ascii="Arial" w:cs="Arial" w:eastAsia="Arial" w:hAnsi="Arial"/>
                <w:sz w:val="16"/>
                <w:szCs w:val="16"/>
                <w:color w:val="auto"/>
              </w:rPr>
              <w:t>Sir Richard Dearlove</w:t>
            </w:r>
          </w:p>
        </w:tc>
        <w:tc>
          <w:tcPr>
            <w:tcW w:w="420" w:type="dxa"/>
            <w:vAlign w:val="bottom"/>
          </w:tcPr>
          <w:p>
            <w:pPr>
              <w:ind w:left="420"/>
              <w:spacing w:after="0"/>
              <w:rPr>
                <w:sz w:val="20"/>
                <w:szCs w:val="20"/>
                <w:color w:val="auto"/>
              </w:rPr>
            </w:pPr>
            <w:r>
              <w:rPr>
                <w:rFonts w:ascii="Times New Roman" w:cs="Times New Roman" w:eastAsia="Times New Roman" w:hAnsi="Times New Roman"/>
                <w:sz w:val="4"/>
                <w:szCs w:val="4"/>
                <w:color w:val="auto"/>
              </w:rPr>
              <w:t>​</w:t>
            </w:r>
          </w:p>
        </w:tc>
      </w:tr>
      <w:tr>
        <w:trPr>
          <w:trHeight w:val="213"/>
        </w:trPr>
        <w:tc>
          <w:tcPr>
            <w:tcW w:w="2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tcPr>
          <w:p>
            <w:pPr>
              <w:ind w:left="40"/>
              <w:spacing w:after="0"/>
              <w:rPr>
                <w:sz w:val="20"/>
                <w:szCs w:val="20"/>
                <w:color w:val="auto"/>
              </w:rPr>
            </w:pPr>
            <w:r>
              <w:rPr>
                <w:rFonts w:ascii="Arial" w:cs="Arial" w:eastAsia="Arial" w:hAnsi="Arial"/>
                <w:sz w:val="16"/>
                <w:szCs w:val="16"/>
                <w:color w:val="auto"/>
              </w:rPr>
              <w:t>Steven M. Sterin</w:t>
            </w:r>
          </w:p>
        </w:tc>
        <w:tc>
          <w:tcPr>
            <w:tcW w:w="420" w:type="dxa"/>
            <w:vAlign w:val="bottom"/>
          </w:tcPr>
          <w:p>
            <w:pPr>
              <w:spacing w:after="0"/>
              <w:rPr>
                <w:sz w:val="18"/>
                <w:szCs w:val="18"/>
                <w:color w:val="auto"/>
              </w:rPr>
            </w:pPr>
          </w:p>
        </w:tc>
      </w:tr>
    </w:tbl>
    <w:p>
      <w:pPr>
        <w:spacing w:after="0" w:line="155"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48</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80"/>
        </w:trPr>
        <w:tc>
          <w:tcPr>
            <w:tcW w:w="920" w:type="dxa"/>
            <w:vAlign w:val="bottom"/>
            <w:vMerge w:val="continue"/>
          </w:tcPr>
          <w:p>
            <w:pPr>
              <w:spacing w:after="0"/>
              <w:rPr>
                <w:sz w:val="24"/>
                <w:szCs w:val="24"/>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3" w:name="page54"/>
    <w:bookmarkEnd w:id="53"/>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57785</wp:posOffset>
            </wp:positionV>
            <wp:extent cx="530542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2021 Compensation Tables</w:t>
      </w:r>
    </w:p>
    <w:p>
      <w:pPr>
        <w:spacing w:after="0" w:line="129" w:lineRule="exact"/>
        <w:rPr>
          <w:sz w:val="20"/>
          <w:szCs w:val="20"/>
          <w:color w:val="auto"/>
        </w:rPr>
      </w:pPr>
    </w:p>
    <w:p>
      <w:pPr>
        <w:ind w:left="320" w:right="539"/>
        <w:spacing w:after="0" w:line="282" w:lineRule="auto"/>
        <w:rPr>
          <w:sz w:val="20"/>
          <w:szCs w:val="20"/>
          <w:color w:val="auto"/>
        </w:rPr>
      </w:pPr>
      <w:r>
        <w:rPr>
          <w:rFonts w:ascii="Arial" w:cs="Arial" w:eastAsia="Arial" w:hAnsi="Arial"/>
          <w:sz w:val="16"/>
          <w:szCs w:val="16"/>
          <w:color w:val="auto"/>
        </w:rPr>
        <w:t>The following tables contain information about the compensation we provided for 2021, 2020 and 2019 to our 2021 named executive officers.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2021 Summary Compensation Table</w:t>
      </w:r>
    </w:p>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2680" w:type="dxa"/>
            <w:vAlign w:val="bottom"/>
            <w:shd w:val="clear" w:color="auto" w:fill="717295"/>
          </w:tcPr>
          <w:p>
            <w:pPr>
              <w:spacing w:after="0"/>
              <w:rPr>
                <w:sz w:val="22"/>
                <w:szCs w:val="22"/>
                <w:color w:val="auto"/>
              </w:rPr>
            </w:pPr>
          </w:p>
        </w:tc>
        <w:tc>
          <w:tcPr>
            <w:tcW w:w="160" w:type="dxa"/>
            <w:vAlign w:val="bottom"/>
            <w:shd w:val="clear" w:color="auto" w:fill="717295"/>
          </w:tcPr>
          <w:p>
            <w:pPr>
              <w:spacing w:after="0"/>
              <w:rPr>
                <w:sz w:val="22"/>
                <w:szCs w:val="22"/>
                <w:color w:val="auto"/>
              </w:rPr>
            </w:pPr>
          </w:p>
        </w:tc>
        <w:tc>
          <w:tcPr>
            <w:tcW w:w="340" w:type="dxa"/>
            <w:vAlign w:val="bottom"/>
            <w:shd w:val="clear" w:color="auto" w:fill="717295"/>
          </w:tcPr>
          <w:p>
            <w:pPr>
              <w:spacing w:after="0"/>
              <w:rPr>
                <w:sz w:val="22"/>
                <w:szCs w:val="22"/>
                <w:color w:val="auto"/>
              </w:rPr>
            </w:pPr>
          </w:p>
        </w:tc>
        <w:tc>
          <w:tcPr>
            <w:tcW w:w="20" w:type="dxa"/>
            <w:vAlign w:val="bottom"/>
            <w:shd w:val="clear" w:color="auto" w:fill="717295"/>
          </w:tcPr>
          <w:p>
            <w:pPr>
              <w:spacing w:after="0"/>
              <w:rPr>
                <w:sz w:val="22"/>
                <w:szCs w:val="22"/>
                <w:color w:val="auto"/>
              </w:rPr>
            </w:pPr>
          </w:p>
        </w:tc>
        <w:tc>
          <w:tcPr>
            <w:tcW w:w="80" w:type="dxa"/>
            <w:vAlign w:val="bottom"/>
            <w:shd w:val="clear" w:color="auto" w:fill="717295"/>
          </w:tcPr>
          <w:p>
            <w:pPr>
              <w:spacing w:after="0"/>
              <w:rPr>
                <w:sz w:val="22"/>
                <w:szCs w:val="22"/>
                <w:color w:val="auto"/>
              </w:rPr>
            </w:pPr>
          </w:p>
        </w:tc>
        <w:tc>
          <w:tcPr>
            <w:tcW w:w="660" w:type="dxa"/>
            <w:vAlign w:val="bottom"/>
            <w:shd w:val="clear" w:color="auto" w:fill="717295"/>
          </w:tcPr>
          <w:p>
            <w:pPr>
              <w:spacing w:after="0"/>
              <w:rPr>
                <w:sz w:val="22"/>
                <w:szCs w:val="22"/>
                <w:color w:val="auto"/>
              </w:rPr>
            </w:pPr>
          </w:p>
        </w:tc>
        <w:tc>
          <w:tcPr>
            <w:tcW w:w="100" w:type="dxa"/>
            <w:vAlign w:val="bottom"/>
            <w:shd w:val="clear" w:color="auto" w:fill="717295"/>
          </w:tcPr>
          <w:p>
            <w:pPr>
              <w:spacing w:after="0"/>
              <w:rPr>
                <w:sz w:val="22"/>
                <w:szCs w:val="22"/>
                <w:color w:val="auto"/>
              </w:rPr>
            </w:pPr>
          </w:p>
        </w:tc>
        <w:tc>
          <w:tcPr>
            <w:tcW w:w="460" w:type="dxa"/>
            <w:vAlign w:val="bottom"/>
            <w:shd w:val="clear" w:color="auto" w:fill="717295"/>
          </w:tcPr>
          <w:p>
            <w:pPr>
              <w:spacing w:after="0"/>
              <w:rPr>
                <w:sz w:val="22"/>
                <w:szCs w:val="22"/>
                <w:color w:val="auto"/>
              </w:rPr>
            </w:pPr>
          </w:p>
        </w:tc>
        <w:tc>
          <w:tcPr>
            <w:tcW w:w="100" w:type="dxa"/>
            <w:vAlign w:val="bottom"/>
            <w:shd w:val="clear" w:color="auto" w:fill="717295"/>
          </w:tcPr>
          <w:p>
            <w:pPr>
              <w:spacing w:after="0"/>
              <w:rPr>
                <w:sz w:val="22"/>
                <w:szCs w:val="22"/>
                <w:color w:val="auto"/>
              </w:rPr>
            </w:pPr>
          </w:p>
        </w:tc>
        <w:tc>
          <w:tcPr>
            <w:tcW w:w="102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Non-Equity</w:t>
            </w:r>
          </w:p>
        </w:tc>
        <w:tc>
          <w:tcPr>
            <w:tcW w:w="80" w:type="dxa"/>
            <w:vAlign w:val="bottom"/>
            <w:shd w:val="clear" w:color="auto" w:fill="717295"/>
          </w:tcPr>
          <w:p>
            <w:pPr>
              <w:spacing w:after="0"/>
              <w:rPr>
                <w:sz w:val="22"/>
                <w:szCs w:val="22"/>
                <w:color w:val="auto"/>
              </w:rPr>
            </w:pPr>
          </w:p>
        </w:tc>
        <w:tc>
          <w:tcPr>
            <w:tcW w:w="680" w:type="dxa"/>
            <w:vAlign w:val="bottom"/>
            <w:shd w:val="clear" w:color="auto" w:fill="717295"/>
          </w:tcPr>
          <w:p>
            <w:pPr>
              <w:spacing w:after="0"/>
              <w:rPr>
                <w:sz w:val="22"/>
                <w:szCs w:val="22"/>
                <w:color w:val="auto"/>
              </w:rPr>
            </w:pPr>
          </w:p>
        </w:tc>
        <w:tc>
          <w:tcPr>
            <w:tcW w:w="100" w:type="dxa"/>
            <w:vAlign w:val="bottom"/>
            <w:shd w:val="clear" w:color="auto" w:fill="717295"/>
          </w:tcPr>
          <w:p>
            <w:pPr>
              <w:spacing w:after="0"/>
              <w:rPr>
                <w:sz w:val="22"/>
                <w:szCs w:val="22"/>
                <w:color w:val="auto"/>
              </w:rPr>
            </w:pPr>
          </w:p>
        </w:tc>
        <w:tc>
          <w:tcPr>
            <w:tcW w:w="1020" w:type="dxa"/>
            <w:vAlign w:val="bottom"/>
            <w:shd w:val="clear" w:color="auto" w:fill="717295"/>
          </w:tcPr>
          <w:p>
            <w:pPr>
              <w:spacing w:after="0"/>
              <w:rPr>
                <w:sz w:val="22"/>
                <w:szCs w:val="22"/>
                <w:color w:val="auto"/>
              </w:rPr>
            </w:pPr>
          </w:p>
        </w:tc>
        <w:tc>
          <w:tcPr>
            <w:tcW w:w="80" w:type="dxa"/>
            <w:vAlign w:val="bottom"/>
            <w:shd w:val="clear" w:color="auto" w:fill="717295"/>
          </w:tcPr>
          <w:p>
            <w:pPr>
              <w:spacing w:after="0"/>
              <w:rPr>
                <w:sz w:val="22"/>
                <w:szCs w:val="22"/>
                <w:color w:val="auto"/>
              </w:rPr>
            </w:pPr>
          </w:p>
        </w:tc>
        <w:tc>
          <w:tcPr>
            <w:tcW w:w="680" w:type="dxa"/>
            <w:vAlign w:val="bottom"/>
            <w:shd w:val="clear" w:color="auto" w:fill="717295"/>
          </w:tcPr>
          <w:p>
            <w:pPr>
              <w:spacing w:after="0"/>
              <w:rPr>
                <w:sz w:val="22"/>
                <w:szCs w:val="22"/>
                <w:color w:val="auto"/>
              </w:rPr>
            </w:pPr>
          </w:p>
        </w:tc>
        <w:tc>
          <w:tcPr>
            <w:tcW w:w="120" w:type="dxa"/>
            <w:vAlign w:val="bottom"/>
            <w:shd w:val="clear" w:color="auto" w:fill="717295"/>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680" w:type="dxa"/>
            <w:vAlign w:val="bottom"/>
            <w:shd w:val="clear" w:color="auto" w:fill="717295"/>
          </w:tcPr>
          <w:p>
            <w:pPr>
              <w:spacing w:after="0"/>
              <w:rPr>
                <w:sz w:val="14"/>
                <w:szCs w:val="14"/>
                <w:color w:val="auto"/>
              </w:rPr>
            </w:pPr>
          </w:p>
        </w:tc>
        <w:tc>
          <w:tcPr>
            <w:tcW w:w="160" w:type="dxa"/>
            <w:vAlign w:val="bottom"/>
            <w:shd w:val="clear" w:color="auto" w:fill="717295"/>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717295"/>
          </w:tcPr>
          <w:p>
            <w:pPr>
              <w:spacing w:after="0"/>
              <w:rPr>
                <w:sz w:val="14"/>
                <w:szCs w:val="14"/>
                <w:color w:val="auto"/>
              </w:rPr>
            </w:pPr>
          </w:p>
        </w:tc>
        <w:tc>
          <w:tcPr>
            <w:tcW w:w="100" w:type="dxa"/>
            <w:vAlign w:val="bottom"/>
            <w:gridSpan w:val="2"/>
            <w:shd w:val="clear" w:color="auto" w:fill="717295"/>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660" w:type="dxa"/>
            <w:vAlign w:val="bottom"/>
            <w:vMerge w:val="restart"/>
            <w:shd w:val="clear" w:color="auto" w:fill="717295"/>
          </w:tcPr>
          <w:p>
            <w:pPr>
              <w:jc w:val="right"/>
              <w:ind w:right="49"/>
              <w:spacing w:after="0"/>
              <w:rPr>
                <w:sz w:val="20"/>
                <w:szCs w:val="20"/>
                <w:color w:val="auto"/>
              </w:rPr>
            </w:pPr>
            <w:r>
              <w:rPr>
                <w:rFonts w:ascii="Arial" w:cs="Arial" w:eastAsia="Arial" w:hAnsi="Arial"/>
                <w:sz w:val="14"/>
                <w:szCs w:val="14"/>
                <w:b w:val="1"/>
                <w:bCs w:val="1"/>
                <w:color w:val="FFFFFF"/>
              </w:rPr>
              <w:t>Salary</w:t>
            </w:r>
          </w:p>
        </w:tc>
        <w:tc>
          <w:tcPr>
            <w:tcW w:w="100" w:type="dxa"/>
            <w:vAlign w:val="bottom"/>
            <w:shd w:val="clear" w:color="auto" w:fill="717295"/>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vMerge w:val="restart"/>
            <w:shd w:val="clear" w:color="auto" w:fill="717295"/>
          </w:tcPr>
          <w:p>
            <w:pPr>
              <w:ind w:left="20"/>
              <w:spacing w:after="0"/>
              <w:rPr>
                <w:sz w:val="20"/>
                <w:szCs w:val="20"/>
                <w:color w:val="auto"/>
              </w:rPr>
            </w:pPr>
            <w:r>
              <w:rPr>
                <w:rFonts w:ascii="Arial" w:cs="Arial" w:eastAsia="Arial" w:hAnsi="Arial"/>
                <w:sz w:val="14"/>
                <w:szCs w:val="14"/>
                <w:b w:val="1"/>
                <w:bCs w:val="1"/>
                <w:color w:val="FFFFFF"/>
                <w:w w:val="96"/>
              </w:rPr>
              <w:t>Bonus</w:t>
            </w:r>
          </w:p>
        </w:tc>
        <w:tc>
          <w:tcPr>
            <w:tcW w:w="100" w:type="dxa"/>
            <w:vAlign w:val="bottom"/>
            <w:shd w:val="clear" w:color="auto" w:fill="717295"/>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Incentive</w:t>
            </w:r>
          </w:p>
        </w:tc>
        <w:tc>
          <w:tcPr>
            <w:tcW w:w="80" w:type="dxa"/>
            <w:vAlign w:val="bottom"/>
            <w:shd w:val="clear" w:color="auto" w:fill="717295"/>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Stock</w:t>
            </w:r>
          </w:p>
        </w:tc>
        <w:tc>
          <w:tcPr>
            <w:tcW w:w="100" w:type="dxa"/>
            <w:vAlign w:val="bottom"/>
            <w:shd w:val="clear" w:color="auto" w:fill="717295"/>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All Other</w:t>
            </w:r>
          </w:p>
        </w:tc>
        <w:tc>
          <w:tcPr>
            <w:tcW w:w="80" w:type="dxa"/>
            <w:vAlign w:val="bottom"/>
            <w:shd w:val="clear" w:color="auto" w:fill="717295"/>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vMerge w:val="restart"/>
            <w:shd w:val="clear" w:color="auto" w:fill="717295"/>
          </w:tcPr>
          <w:p>
            <w:pPr>
              <w:jc w:val="center"/>
              <w:spacing w:after="0"/>
              <w:rPr>
                <w:sz w:val="20"/>
                <w:szCs w:val="20"/>
                <w:color w:val="auto"/>
              </w:rPr>
            </w:pPr>
            <w:r>
              <w:rPr>
                <w:rFonts w:ascii="Arial" w:cs="Arial" w:eastAsia="Arial" w:hAnsi="Arial"/>
                <w:sz w:val="14"/>
                <w:szCs w:val="14"/>
                <w:b w:val="1"/>
                <w:bCs w:val="1"/>
                <w:color w:val="FFFFFF"/>
              </w:rPr>
              <w:t>Total</w:t>
            </w:r>
          </w:p>
        </w:tc>
        <w:tc>
          <w:tcPr>
            <w:tcW w:w="120" w:type="dxa"/>
            <w:vAlign w:val="bottom"/>
            <w:shd w:val="clear" w:color="auto" w:fill="717295"/>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shd w:val="clear" w:color="auto" w:fill="717295"/>
          </w:tcPr>
          <w:p>
            <w:pPr>
              <w:spacing w:after="0"/>
              <w:rPr>
                <w:sz w:val="11"/>
                <w:szCs w:val="11"/>
                <w:color w:val="auto"/>
              </w:rPr>
            </w:pPr>
          </w:p>
        </w:tc>
        <w:tc>
          <w:tcPr>
            <w:tcW w:w="160" w:type="dxa"/>
            <w:vAlign w:val="bottom"/>
            <w:shd w:val="clear" w:color="auto" w:fill="717295"/>
          </w:tcPr>
          <w:p>
            <w:pPr>
              <w:spacing w:after="0"/>
              <w:rPr>
                <w:sz w:val="11"/>
                <w:szCs w:val="11"/>
                <w:color w:val="auto"/>
              </w:rPr>
            </w:pPr>
          </w:p>
        </w:tc>
        <w:tc>
          <w:tcPr>
            <w:tcW w:w="340" w:type="dxa"/>
            <w:vAlign w:val="bottom"/>
            <w:shd w:val="clear" w:color="auto" w:fill="717295"/>
          </w:tcPr>
          <w:p>
            <w:pPr>
              <w:spacing w:after="0"/>
              <w:rPr>
                <w:sz w:val="11"/>
                <w:szCs w:val="11"/>
                <w:color w:val="auto"/>
              </w:rPr>
            </w:pPr>
          </w:p>
        </w:tc>
        <w:tc>
          <w:tcPr>
            <w:tcW w:w="20" w:type="dxa"/>
            <w:vAlign w:val="bottom"/>
            <w:shd w:val="clear" w:color="auto" w:fill="717295"/>
          </w:tcPr>
          <w:p>
            <w:pPr>
              <w:spacing w:after="0"/>
              <w:rPr>
                <w:sz w:val="11"/>
                <w:szCs w:val="11"/>
                <w:color w:val="auto"/>
              </w:rPr>
            </w:pPr>
          </w:p>
        </w:tc>
        <w:tc>
          <w:tcPr>
            <w:tcW w:w="80" w:type="dxa"/>
            <w:vAlign w:val="bottom"/>
            <w:shd w:val="clear" w:color="auto" w:fill="717295"/>
          </w:tcPr>
          <w:p>
            <w:pPr>
              <w:spacing w:after="0"/>
              <w:rPr>
                <w:sz w:val="11"/>
                <w:szCs w:val="11"/>
                <w:color w:val="auto"/>
              </w:rPr>
            </w:pPr>
          </w:p>
        </w:tc>
        <w:tc>
          <w:tcPr>
            <w:tcW w:w="660" w:type="dxa"/>
            <w:vAlign w:val="bottom"/>
            <w:vMerge w:val="continue"/>
            <w:shd w:val="clear" w:color="auto" w:fill="717295"/>
          </w:tcPr>
          <w:p>
            <w:pPr>
              <w:spacing w:after="0"/>
              <w:rPr>
                <w:sz w:val="11"/>
                <w:szCs w:val="11"/>
                <w:color w:val="auto"/>
              </w:rPr>
            </w:pPr>
          </w:p>
        </w:tc>
        <w:tc>
          <w:tcPr>
            <w:tcW w:w="100" w:type="dxa"/>
            <w:vAlign w:val="bottom"/>
            <w:shd w:val="clear" w:color="auto" w:fill="717295"/>
          </w:tcPr>
          <w:p>
            <w:pPr>
              <w:spacing w:after="0"/>
              <w:rPr>
                <w:sz w:val="11"/>
                <w:szCs w:val="11"/>
                <w:color w:val="auto"/>
              </w:rPr>
            </w:pPr>
          </w:p>
        </w:tc>
        <w:tc>
          <w:tcPr>
            <w:tcW w:w="460" w:type="dxa"/>
            <w:vAlign w:val="bottom"/>
            <w:vMerge w:val="continue"/>
            <w:shd w:val="clear" w:color="auto" w:fill="717295"/>
          </w:tcPr>
          <w:p>
            <w:pPr>
              <w:spacing w:after="0"/>
              <w:rPr>
                <w:sz w:val="11"/>
                <w:szCs w:val="11"/>
                <w:color w:val="auto"/>
              </w:rPr>
            </w:pPr>
          </w:p>
        </w:tc>
        <w:tc>
          <w:tcPr>
            <w:tcW w:w="100" w:type="dxa"/>
            <w:vAlign w:val="bottom"/>
            <w:shd w:val="clear" w:color="auto" w:fill="717295"/>
          </w:tcPr>
          <w:p>
            <w:pPr>
              <w:spacing w:after="0"/>
              <w:rPr>
                <w:sz w:val="11"/>
                <w:szCs w:val="11"/>
                <w:color w:val="auto"/>
              </w:rPr>
            </w:pPr>
          </w:p>
        </w:tc>
        <w:tc>
          <w:tcPr>
            <w:tcW w:w="1020" w:type="dxa"/>
            <w:vAlign w:val="bottom"/>
            <w:shd w:val="clear" w:color="auto" w:fill="717295"/>
          </w:tcPr>
          <w:p>
            <w:pPr>
              <w:jc w:val="center"/>
              <w:spacing w:after="0" w:line="135" w:lineRule="exact"/>
              <w:rPr>
                <w:sz w:val="20"/>
                <w:szCs w:val="20"/>
                <w:color w:val="auto"/>
              </w:rPr>
            </w:pPr>
            <w:r>
              <w:rPr>
                <w:rFonts w:ascii="Arial" w:cs="Arial" w:eastAsia="Arial" w:hAnsi="Arial"/>
                <w:sz w:val="14"/>
                <w:szCs w:val="14"/>
                <w:b w:val="1"/>
                <w:bCs w:val="1"/>
                <w:color w:val="FFFFFF"/>
              </w:rPr>
              <w:t>Compensation</w:t>
            </w:r>
          </w:p>
        </w:tc>
        <w:tc>
          <w:tcPr>
            <w:tcW w:w="80" w:type="dxa"/>
            <w:vAlign w:val="bottom"/>
            <w:shd w:val="clear" w:color="auto" w:fill="717295"/>
          </w:tcPr>
          <w:p>
            <w:pPr>
              <w:spacing w:after="0"/>
              <w:rPr>
                <w:sz w:val="11"/>
                <w:szCs w:val="11"/>
                <w:color w:val="auto"/>
              </w:rPr>
            </w:pPr>
          </w:p>
        </w:tc>
        <w:tc>
          <w:tcPr>
            <w:tcW w:w="680" w:type="dxa"/>
            <w:vAlign w:val="bottom"/>
            <w:shd w:val="clear" w:color="auto" w:fill="717295"/>
          </w:tcPr>
          <w:p>
            <w:pPr>
              <w:jc w:val="center"/>
              <w:spacing w:after="0" w:line="135" w:lineRule="exact"/>
              <w:rPr>
                <w:sz w:val="20"/>
                <w:szCs w:val="20"/>
                <w:color w:val="auto"/>
              </w:rPr>
            </w:pPr>
            <w:r>
              <w:rPr>
                <w:rFonts w:ascii="Arial" w:cs="Arial" w:eastAsia="Arial" w:hAnsi="Arial"/>
                <w:sz w:val="14"/>
                <w:szCs w:val="14"/>
                <w:b w:val="1"/>
                <w:bCs w:val="1"/>
                <w:color w:val="FFFFFF"/>
              </w:rPr>
              <w:t>Awards</w:t>
            </w:r>
          </w:p>
        </w:tc>
        <w:tc>
          <w:tcPr>
            <w:tcW w:w="100" w:type="dxa"/>
            <w:vAlign w:val="bottom"/>
            <w:shd w:val="clear" w:color="auto" w:fill="717295"/>
          </w:tcPr>
          <w:p>
            <w:pPr>
              <w:spacing w:after="0"/>
              <w:rPr>
                <w:sz w:val="11"/>
                <w:szCs w:val="11"/>
                <w:color w:val="auto"/>
              </w:rPr>
            </w:pPr>
          </w:p>
        </w:tc>
        <w:tc>
          <w:tcPr>
            <w:tcW w:w="1020" w:type="dxa"/>
            <w:vAlign w:val="bottom"/>
            <w:shd w:val="clear" w:color="auto" w:fill="717295"/>
          </w:tcPr>
          <w:p>
            <w:pPr>
              <w:ind w:left="20"/>
              <w:spacing w:after="0" w:line="135" w:lineRule="exact"/>
              <w:rPr>
                <w:sz w:val="20"/>
                <w:szCs w:val="20"/>
                <w:color w:val="auto"/>
              </w:rPr>
            </w:pPr>
            <w:r>
              <w:rPr>
                <w:rFonts w:ascii="Arial" w:cs="Arial" w:eastAsia="Arial" w:hAnsi="Arial"/>
                <w:sz w:val="14"/>
                <w:szCs w:val="14"/>
                <w:b w:val="1"/>
                <w:bCs w:val="1"/>
                <w:color w:val="FFFFFF"/>
              </w:rPr>
              <w:t>Compensation</w:t>
            </w:r>
          </w:p>
        </w:tc>
        <w:tc>
          <w:tcPr>
            <w:tcW w:w="80" w:type="dxa"/>
            <w:vAlign w:val="bottom"/>
            <w:shd w:val="clear" w:color="auto" w:fill="717295"/>
          </w:tcPr>
          <w:p>
            <w:pPr>
              <w:spacing w:after="0"/>
              <w:rPr>
                <w:sz w:val="11"/>
                <w:szCs w:val="11"/>
                <w:color w:val="auto"/>
              </w:rPr>
            </w:pPr>
          </w:p>
        </w:tc>
        <w:tc>
          <w:tcPr>
            <w:tcW w:w="680" w:type="dxa"/>
            <w:vAlign w:val="bottom"/>
            <w:vMerge w:val="continue"/>
            <w:shd w:val="clear" w:color="auto" w:fill="717295"/>
          </w:tcPr>
          <w:p>
            <w:pPr>
              <w:spacing w:after="0"/>
              <w:rPr>
                <w:sz w:val="11"/>
                <w:szCs w:val="11"/>
                <w:color w:val="auto"/>
              </w:rPr>
            </w:pPr>
          </w:p>
        </w:tc>
        <w:tc>
          <w:tcPr>
            <w:tcW w:w="120" w:type="dxa"/>
            <w:vAlign w:val="bottom"/>
            <w:shd w:val="clear" w:color="auto" w:fill="717295"/>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680" w:type="dxa"/>
            <w:vAlign w:val="bottom"/>
            <w:shd w:val="clear" w:color="auto" w:fill="717295"/>
          </w:tcPr>
          <w:p>
            <w:pPr>
              <w:ind w:left="140"/>
              <w:spacing w:after="0"/>
              <w:rPr>
                <w:sz w:val="20"/>
                <w:szCs w:val="20"/>
                <w:color w:val="auto"/>
              </w:rPr>
            </w:pPr>
            <w:r>
              <w:rPr>
                <w:rFonts w:ascii="Arial" w:cs="Arial" w:eastAsia="Arial" w:hAnsi="Arial"/>
                <w:sz w:val="14"/>
                <w:szCs w:val="14"/>
                <w:b w:val="1"/>
                <w:bCs w:val="1"/>
                <w:color w:val="FFFFFF"/>
              </w:rPr>
              <w:t>Name and Principal Position</w:t>
            </w:r>
          </w:p>
        </w:tc>
        <w:tc>
          <w:tcPr>
            <w:tcW w:w="160" w:type="dxa"/>
            <w:vAlign w:val="bottom"/>
            <w:shd w:val="clear" w:color="auto" w:fill="717295"/>
          </w:tcPr>
          <w:p>
            <w:pPr>
              <w:spacing w:after="0"/>
              <w:rPr>
                <w:sz w:val="20"/>
                <w:szCs w:val="20"/>
                <w:color w:val="auto"/>
              </w:rPr>
            </w:pPr>
          </w:p>
        </w:tc>
        <w:tc>
          <w:tcPr>
            <w:tcW w:w="340" w:type="dxa"/>
            <w:vAlign w:val="bottom"/>
            <w:shd w:val="clear" w:color="auto" w:fill="717295"/>
          </w:tcPr>
          <w:p>
            <w:pPr>
              <w:ind w:left="20"/>
              <w:spacing w:after="0"/>
              <w:rPr>
                <w:sz w:val="20"/>
                <w:szCs w:val="20"/>
                <w:color w:val="auto"/>
              </w:rPr>
            </w:pPr>
            <w:r>
              <w:rPr>
                <w:rFonts w:ascii="Arial" w:cs="Arial" w:eastAsia="Arial" w:hAnsi="Arial"/>
                <w:sz w:val="14"/>
                <w:szCs w:val="14"/>
                <w:b w:val="1"/>
                <w:bCs w:val="1"/>
                <w:color w:val="FFFFFF"/>
                <w:w w:val="98"/>
              </w:rPr>
              <w:t>Year</w:t>
            </w:r>
          </w:p>
        </w:tc>
        <w:tc>
          <w:tcPr>
            <w:tcW w:w="20" w:type="dxa"/>
            <w:vAlign w:val="bottom"/>
            <w:shd w:val="clear" w:color="auto" w:fill="717295"/>
          </w:tcPr>
          <w:p>
            <w:pPr>
              <w:spacing w:after="0"/>
              <w:rPr>
                <w:sz w:val="20"/>
                <w:szCs w:val="20"/>
                <w:color w:val="auto"/>
              </w:rPr>
            </w:pPr>
          </w:p>
        </w:tc>
        <w:tc>
          <w:tcPr>
            <w:tcW w:w="80" w:type="dxa"/>
            <w:vAlign w:val="bottom"/>
            <w:shd w:val="clear" w:color="auto" w:fill="717295"/>
          </w:tcPr>
          <w:p>
            <w:pPr>
              <w:spacing w:after="0"/>
              <w:rPr>
                <w:sz w:val="20"/>
                <w:szCs w:val="20"/>
                <w:color w:val="auto"/>
              </w:rPr>
            </w:pPr>
          </w:p>
        </w:tc>
        <w:tc>
          <w:tcPr>
            <w:tcW w:w="660" w:type="dxa"/>
            <w:vAlign w:val="bottom"/>
            <w:shd w:val="clear" w:color="auto" w:fill="717295"/>
          </w:tcPr>
          <w:p>
            <w:pPr>
              <w:jc w:val="right"/>
              <w:ind w:right="89"/>
              <w:spacing w:after="0" w:line="24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100" w:type="dxa"/>
            <w:vAlign w:val="bottom"/>
            <w:shd w:val="clear" w:color="auto" w:fill="717295"/>
          </w:tcPr>
          <w:p>
            <w:pPr>
              <w:spacing w:after="0"/>
              <w:rPr>
                <w:sz w:val="20"/>
                <w:szCs w:val="20"/>
                <w:color w:val="auto"/>
              </w:rPr>
            </w:pPr>
          </w:p>
        </w:tc>
        <w:tc>
          <w:tcPr>
            <w:tcW w:w="460" w:type="dxa"/>
            <w:vAlign w:val="bottom"/>
            <w:shd w:val="clear" w:color="auto" w:fill="717295"/>
          </w:tcPr>
          <w:p>
            <w:pPr>
              <w:ind w:left="160"/>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717295"/>
          </w:tcPr>
          <w:p>
            <w:pPr>
              <w:spacing w:after="0"/>
              <w:rPr>
                <w:sz w:val="20"/>
                <w:szCs w:val="20"/>
                <w:color w:val="auto"/>
              </w:rPr>
            </w:pPr>
          </w:p>
        </w:tc>
        <w:tc>
          <w:tcPr>
            <w:tcW w:w="1020" w:type="dxa"/>
            <w:vAlign w:val="bottom"/>
            <w:shd w:val="clear" w:color="auto" w:fill="717295"/>
          </w:tcPr>
          <w:p>
            <w:pPr>
              <w:jc w:val="center"/>
              <w:spacing w:after="0" w:line="240"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(2)</w:t>
            </w:r>
          </w:p>
        </w:tc>
        <w:tc>
          <w:tcPr>
            <w:tcW w:w="80" w:type="dxa"/>
            <w:vAlign w:val="bottom"/>
            <w:shd w:val="clear" w:color="auto" w:fill="717295"/>
          </w:tcPr>
          <w:p>
            <w:pPr>
              <w:spacing w:after="0"/>
              <w:rPr>
                <w:sz w:val="20"/>
                <w:szCs w:val="20"/>
                <w:color w:val="auto"/>
              </w:rPr>
            </w:pPr>
          </w:p>
        </w:tc>
        <w:tc>
          <w:tcPr>
            <w:tcW w:w="680" w:type="dxa"/>
            <w:vAlign w:val="bottom"/>
            <w:shd w:val="clear" w:color="auto" w:fill="717295"/>
          </w:tcPr>
          <w:p>
            <w:pPr>
              <w:jc w:val="center"/>
              <w:spacing w:after="0" w:line="240"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(3)</w:t>
            </w:r>
          </w:p>
        </w:tc>
        <w:tc>
          <w:tcPr>
            <w:tcW w:w="100" w:type="dxa"/>
            <w:vAlign w:val="bottom"/>
            <w:shd w:val="clear" w:color="auto" w:fill="717295"/>
          </w:tcPr>
          <w:p>
            <w:pPr>
              <w:spacing w:after="0"/>
              <w:rPr>
                <w:sz w:val="20"/>
                <w:szCs w:val="20"/>
                <w:color w:val="auto"/>
              </w:rPr>
            </w:pPr>
          </w:p>
        </w:tc>
        <w:tc>
          <w:tcPr>
            <w:tcW w:w="1020" w:type="dxa"/>
            <w:vAlign w:val="bottom"/>
            <w:shd w:val="clear" w:color="auto" w:fill="717295"/>
          </w:tcPr>
          <w:p>
            <w:pPr>
              <w:jc w:val="center"/>
              <w:spacing w:after="0" w:line="240"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(4)</w:t>
            </w:r>
          </w:p>
        </w:tc>
        <w:tc>
          <w:tcPr>
            <w:tcW w:w="80" w:type="dxa"/>
            <w:vAlign w:val="bottom"/>
            <w:shd w:val="clear" w:color="auto" w:fill="717295"/>
          </w:tcPr>
          <w:p>
            <w:pPr>
              <w:spacing w:after="0"/>
              <w:rPr>
                <w:sz w:val="20"/>
                <w:szCs w:val="20"/>
                <w:color w:val="auto"/>
              </w:rPr>
            </w:pPr>
          </w:p>
        </w:tc>
        <w:tc>
          <w:tcPr>
            <w:tcW w:w="68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shd w:val="clear" w:color="auto" w:fill="717295"/>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shd w:val="clear" w:color="auto" w:fill="ACABC0"/>
          </w:tcPr>
          <w:p>
            <w:pPr>
              <w:ind w:left="140"/>
              <w:spacing w:after="0"/>
              <w:rPr>
                <w:sz w:val="20"/>
                <w:szCs w:val="20"/>
                <w:color w:val="auto"/>
              </w:rPr>
            </w:pPr>
            <w:r>
              <w:rPr>
                <w:rFonts w:ascii="Arial" w:cs="Arial" w:eastAsia="Arial" w:hAnsi="Arial"/>
                <w:sz w:val="14"/>
                <w:szCs w:val="14"/>
                <w:color w:val="auto"/>
              </w:rPr>
              <w:t>Andrew G. Inglis</w:t>
            </w:r>
          </w:p>
        </w:tc>
        <w:tc>
          <w:tcPr>
            <w:tcW w:w="16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ACABC0"/>
          </w:tcPr>
          <w:p>
            <w:pPr>
              <w:ind w:left="20"/>
              <w:spacing w:after="0"/>
              <w:rPr>
                <w:sz w:val="20"/>
                <w:szCs w:val="20"/>
                <w:color w:val="auto"/>
              </w:rPr>
            </w:pPr>
            <w:r>
              <w:rPr>
                <w:rFonts w:ascii="Arial" w:cs="Arial" w:eastAsia="Arial" w:hAnsi="Arial"/>
                <w:sz w:val="14"/>
                <w:szCs w:val="14"/>
                <w:color w:val="auto"/>
                <w:w w:val="96"/>
              </w:rPr>
              <w:t>2021</w:t>
            </w:r>
          </w:p>
        </w:tc>
        <w:tc>
          <w:tcPr>
            <w:tcW w:w="100" w:type="dxa"/>
            <w:vAlign w:val="bottom"/>
            <w:gridSpan w:val="2"/>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660" w:type="dxa"/>
            <w:vAlign w:val="bottom"/>
            <w:shd w:val="clear" w:color="auto" w:fill="ACABC0"/>
          </w:tcPr>
          <w:p>
            <w:pPr>
              <w:jc w:val="right"/>
              <w:spacing w:after="0"/>
              <w:rPr>
                <w:sz w:val="20"/>
                <w:szCs w:val="20"/>
                <w:color w:val="auto"/>
              </w:rPr>
            </w:pPr>
            <w:r>
              <w:rPr>
                <w:rFonts w:ascii="Arial" w:cs="Arial" w:eastAsia="Arial" w:hAnsi="Arial"/>
                <w:sz w:val="14"/>
                <w:szCs w:val="14"/>
                <w:color w:val="auto"/>
                <w:w w:val="99"/>
              </w:rPr>
              <w:t>1,028,012</w:t>
            </w:r>
          </w:p>
        </w:tc>
        <w:tc>
          <w:tcPr>
            <w:tcW w:w="100" w:type="dxa"/>
            <w:vAlign w:val="bottom"/>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shd w:val="clear" w:color="auto" w:fill="ACABC0"/>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ACABC0"/>
          </w:tcPr>
          <w:p>
            <w:pPr>
              <w:jc w:val="center"/>
              <w:spacing w:after="0"/>
              <w:rPr>
                <w:sz w:val="20"/>
                <w:szCs w:val="20"/>
                <w:color w:val="auto"/>
              </w:rPr>
            </w:pPr>
            <w:r>
              <w:rPr>
                <w:rFonts w:ascii="Arial" w:cs="Arial" w:eastAsia="Arial" w:hAnsi="Arial"/>
                <w:sz w:val="14"/>
                <w:szCs w:val="14"/>
                <w:color w:val="auto"/>
              </w:rPr>
              <w:t>1,500,000</w:t>
            </w:r>
          </w:p>
        </w:tc>
        <w:tc>
          <w:tcPr>
            <w:tcW w:w="80" w:type="dxa"/>
            <w:vAlign w:val="bottom"/>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3,658,925</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7"/>
              </w:rPr>
              <w:t>50,993</w:t>
            </w:r>
          </w:p>
        </w:tc>
        <w:tc>
          <w:tcPr>
            <w:tcW w:w="80" w:type="dxa"/>
            <w:vAlign w:val="bottom"/>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ACABC0"/>
          </w:tcPr>
          <w:p>
            <w:pPr>
              <w:jc w:val="center"/>
              <w:spacing w:after="0"/>
              <w:rPr>
                <w:sz w:val="20"/>
                <w:szCs w:val="20"/>
                <w:color w:val="auto"/>
              </w:rPr>
            </w:pPr>
            <w:r>
              <w:rPr>
                <w:rFonts w:ascii="Arial" w:cs="Arial" w:eastAsia="Arial" w:hAnsi="Arial"/>
                <w:sz w:val="14"/>
                <w:szCs w:val="14"/>
                <w:color w:val="auto"/>
              </w:rPr>
              <w:t>6,237,930</w:t>
            </w:r>
          </w:p>
        </w:tc>
        <w:tc>
          <w:tcPr>
            <w:tcW w:w="120" w:type="dxa"/>
            <w:vAlign w:val="bottom"/>
            <w:shd w:val="clear" w:color="auto" w:fill="ACABC0"/>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680" w:type="dxa"/>
            <w:vAlign w:val="bottom"/>
            <w:shd w:val="clear" w:color="auto" w:fill="ACABC0"/>
          </w:tcPr>
          <w:p>
            <w:pPr>
              <w:ind w:left="220"/>
              <w:spacing w:after="0"/>
              <w:rPr>
                <w:sz w:val="20"/>
                <w:szCs w:val="20"/>
                <w:color w:val="auto"/>
              </w:rPr>
            </w:pPr>
            <w:r>
              <w:rPr>
                <w:rFonts w:ascii="Arial" w:cs="Arial" w:eastAsia="Arial" w:hAnsi="Arial"/>
                <w:sz w:val="14"/>
                <w:szCs w:val="14"/>
                <w:color w:val="auto"/>
              </w:rPr>
              <w:t>Chairman and Chief Executive Officer</w:t>
            </w:r>
          </w:p>
        </w:tc>
        <w:tc>
          <w:tcPr>
            <w:tcW w:w="16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ACABC0"/>
          </w:tcPr>
          <w:p>
            <w:pPr>
              <w:ind w:left="20"/>
              <w:spacing w:after="0"/>
              <w:rPr>
                <w:sz w:val="20"/>
                <w:szCs w:val="20"/>
                <w:color w:val="auto"/>
              </w:rPr>
            </w:pPr>
            <w:r>
              <w:rPr>
                <w:rFonts w:ascii="Arial" w:cs="Arial" w:eastAsia="Arial" w:hAnsi="Arial"/>
                <w:sz w:val="14"/>
                <w:szCs w:val="14"/>
                <w:color w:val="auto"/>
                <w:w w:val="96"/>
              </w:rPr>
              <w:t>2020</w:t>
            </w:r>
          </w:p>
        </w:tc>
        <w:tc>
          <w:tcPr>
            <w:tcW w:w="20" w:type="dxa"/>
            <w:vAlign w:val="bottom"/>
            <w:shd w:val="clear" w:color="auto" w:fill="ACABC0"/>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shd w:val="clear" w:color="auto" w:fill="ACABC0"/>
          </w:tcPr>
          <w:p>
            <w:pPr>
              <w:jc w:val="right"/>
              <w:spacing w:after="0"/>
              <w:rPr>
                <w:sz w:val="20"/>
                <w:szCs w:val="20"/>
                <w:color w:val="auto"/>
              </w:rPr>
            </w:pPr>
            <w:r>
              <w:rPr>
                <w:rFonts w:ascii="Arial" w:cs="Arial" w:eastAsia="Arial" w:hAnsi="Arial"/>
                <w:sz w:val="14"/>
                <w:szCs w:val="14"/>
                <w:color w:val="auto"/>
                <w:w w:val="99"/>
              </w:rPr>
              <w:t>1,028,012</w:t>
            </w:r>
          </w:p>
        </w:tc>
        <w:tc>
          <w:tcPr>
            <w:tcW w:w="100" w:type="dxa"/>
            <w:vAlign w:val="bottom"/>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shd w:val="clear" w:color="auto" w:fill="ACABC0"/>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ACABC0"/>
          </w:tcPr>
          <w:p>
            <w:pPr>
              <w:jc w:val="right"/>
              <w:ind w:right="109"/>
              <w:spacing w:after="0"/>
              <w:rPr>
                <w:sz w:val="20"/>
                <w:szCs w:val="20"/>
                <w:color w:val="auto"/>
              </w:rPr>
            </w:pPr>
            <w:r>
              <w:rPr>
                <w:rFonts w:ascii="Arial" w:cs="Arial" w:eastAsia="Arial" w:hAnsi="Arial"/>
                <w:sz w:val="14"/>
                <w:szCs w:val="14"/>
                <w:color w:val="auto"/>
              </w:rPr>
              <w:t>—</w:t>
            </w:r>
          </w:p>
        </w:tc>
        <w:tc>
          <w:tcPr>
            <w:tcW w:w="80" w:type="dxa"/>
            <w:vAlign w:val="bottom"/>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3,636,630</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7"/>
              </w:rPr>
              <w:t>58,059</w:t>
            </w:r>
          </w:p>
        </w:tc>
        <w:tc>
          <w:tcPr>
            <w:tcW w:w="80" w:type="dxa"/>
            <w:vAlign w:val="bottom"/>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gridSpan w:val="2"/>
            <w:shd w:val="clear" w:color="auto" w:fill="ACABC0"/>
          </w:tcPr>
          <w:p>
            <w:pPr>
              <w:jc w:val="right"/>
              <w:ind w:right="91"/>
              <w:spacing w:after="0"/>
              <w:rPr>
                <w:sz w:val="20"/>
                <w:szCs w:val="20"/>
                <w:color w:val="auto"/>
              </w:rPr>
            </w:pPr>
            <w:r>
              <w:rPr>
                <w:rFonts w:ascii="Arial" w:cs="Arial" w:eastAsia="Arial" w:hAnsi="Arial"/>
                <w:sz w:val="14"/>
                <w:szCs w:val="14"/>
                <w:color w:val="auto"/>
              </w:rPr>
              <w:t>4,722,701</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680" w:type="dxa"/>
            <w:vAlign w:val="bottom"/>
            <w:tcBorders>
              <w:bottom w:val="single" w:sz="8" w:color="ACABC0"/>
            </w:tcBorders>
            <w:shd w:val="clear" w:color="auto" w:fill="ACABC0"/>
          </w:tcPr>
          <w:p>
            <w:pPr>
              <w:spacing w:after="0"/>
              <w:rPr>
                <w:sz w:val="24"/>
                <w:szCs w:val="24"/>
                <w:color w:val="auto"/>
              </w:rPr>
            </w:pPr>
          </w:p>
        </w:tc>
        <w:tc>
          <w:tcPr>
            <w:tcW w:w="160" w:type="dxa"/>
            <w:vAlign w:val="bottom"/>
            <w:tcBorders>
              <w:bottom w:val="single" w:sz="8" w:color="ACABC0"/>
            </w:tcBorders>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ACABC0"/>
            </w:tcBorders>
            <w:gridSpan w:val="2"/>
            <w:shd w:val="clear" w:color="auto" w:fill="ACABC0"/>
          </w:tcPr>
          <w:p>
            <w:pPr>
              <w:ind w:left="20"/>
              <w:spacing w:after="0"/>
              <w:rPr>
                <w:sz w:val="20"/>
                <w:szCs w:val="20"/>
                <w:color w:val="auto"/>
              </w:rPr>
            </w:pPr>
            <w:r>
              <w:rPr>
                <w:rFonts w:ascii="Arial" w:cs="Arial" w:eastAsia="Arial" w:hAnsi="Arial"/>
                <w:sz w:val="14"/>
                <w:szCs w:val="14"/>
                <w:color w:val="auto"/>
              </w:rPr>
              <w:t>2019</w:t>
            </w:r>
            <w:r>
              <w:rPr>
                <w:rFonts w:ascii="Times New Roman" w:cs="Times New Roman" w:eastAsia="Times New Roman" w:hAnsi="Times New Roman"/>
                <w:sz w:val="3"/>
                <w:szCs w:val="3"/>
                <w:color w:val="auto"/>
              </w:rPr>
              <w:t>​</w:t>
            </w:r>
          </w:p>
        </w:tc>
        <w:tc>
          <w:tcPr>
            <w:tcW w:w="80" w:type="dxa"/>
            <w:vAlign w:val="bottom"/>
            <w:tcBorders>
              <w:bottom w:val="single" w:sz="8" w:color="ACABC0"/>
            </w:tcBorders>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4"/>
                <w:szCs w:val="14"/>
                <w:color w:val="auto"/>
                <w:w w:val="99"/>
              </w:rPr>
              <w:t>1,007,855</w:t>
            </w:r>
          </w:p>
        </w:tc>
        <w:tc>
          <w:tcPr>
            <w:tcW w:w="100" w:type="dxa"/>
            <w:vAlign w:val="bottom"/>
            <w:tcBorders>
              <w:bottom w:val="single" w:sz="8" w:color="ACABC0"/>
            </w:tcBorders>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Borders>
              <w:bottom w:val="single" w:sz="8" w:color="ACABC0"/>
            </w:tcBorders>
            <w:shd w:val="clear" w:color="auto" w:fill="ACABC0"/>
          </w:tcPr>
          <w:p>
            <w:pPr>
              <w:ind w:lef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tcBorders>
              <w:bottom w:val="single" w:sz="8" w:color="ACABC0"/>
            </w:tcBorders>
            <w:shd w:val="clear" w:color="auto" w:fill="ACABC0"/>
          </w:tcPr>
          <w:p>
            <w:pPr>
              <w:jc w:val="right"/>
              <w:ind w:right="89"/>
              <w:spacing w:after="0"/>
              <w:rPr>
                <w:sz w:val="20"/>
                <w:szCs w:val="20"/>
                <w:color w:val="auto"/>
              </w:rPr>
            </w:pPr>
            <w:r>
              <w:rPr>
                <w:rFonts w:ascii="Arial" w:cs="Arial" w:eastAsia="Arial" w:hAnsi="Arial"/>
                <w:sz w:val="14"/>
                <w:szCs w:val="14"/>
                <w:color w:val="auto"/>
              </w:rPr>
              <w:t>1,763,746</w:t>
            </w:r>
          </w:p>
        </w:tc>
        <w:tc>
          <w:tcPr>
            <w:tcW w:w="80" w:type="dxa"/>
            <w:vAlign w:val="bottom"/>
            <w:tcBorders>
              <w:bottom w:val="single" w:sz="8" w:color="ACABC0"/>
            </w:tcBorders>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4"/>
                <w:szCs w:val="14"/>
                <w:color w:val="auto"/>
                <w:w w:val="99"/>
              </w:rPr>
              <w:t>2,334,927</w:t>
            </w:r>
          </w:p>
        </w:tc>
        <w:tc>
          <w:tcPr>
            <w:tcW w:w="100" w:type="dxa"/>
            <w:vAlign w:val="bottom"/>
            <w:tcBorders>
              <w:bottom w:val="single" w:sz="8" w:color="ACABC0"/>
            </w:tcBorders>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4"/>
                <w:szCs w:val="14"/>
                <w:color w:val="auto"/>
                <w:w w:val="97"/>
              </w:rPr>
              <w:t>47,932</w:t>
            </w:r>
          </w:p>
        </w:tc>
        <w:tc>
          <w:tcPr>
            <w:tcW w:w="80" w:type="dxa"/>
            <w:vAlign w:val="bottom"/>
            <w:tcBorders>
              <w:bottom w:val="single" w:sz="8" w:color="ACABC0"/>
            </w:tcBorders>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4"/>
                <w:szCs w:val="14"/>
                <w:color w:val="auto"/>
              </w:rPr>
              <w:t>5,154,460</w:t>
            </w:r>
          </w:p>
        </w:tc>
        <w:tc>
          <w:tcPr>
            <w:tcW w:w="120" w:type="dxa"/>
            <w:vAlign w:val="bottom"/>
            <w:tcBorders>
              <w:bottom w:val="single" w:sz="8" w:color="ACABC0"/>
            </w:tcBorders>
            <w:shd w:val="clear" w:color="auto" w:fill="ACABC0"/>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shd w:val="clear" w:color="auto" w:fill="F1F2F2"/>
          </w:tcPr>
          <w:p>
            <w:pPr>
              <w:ind w:left="140"/>
              <w:spacing w:after="0" w:line="204" w:lineRule="exact"/>
              <w:rPr>
                <w:sz w:val="20"/>
                <w:szCs w:val="20"/>
                <w:color w:val="auto"/>
              </w:rPr>
            </w:pPr>
            <w:r>
              <w:rPr>
                <w:rFonts w:ascii="Arial" w:cs="Arial" w:eastAsia="Arial" w:hAnsi="Arial"/>
                <w:sz w:val="14"/>
                <w:szCs w:val="14"/>
                <w:color w:val="auto"/>
              </w:rPr>
              <w:t>Neal D. Shah</w:t>
            </w:r>
            <w:r>
              <w:rPr>
                <w:rFonts w:ascii="Arial" w:cs="Arial" w:eastAsia="Arial" w:hAnsi="Arial"/>
                <w:sz w:val="23"/>
                <w:szCs w:val="23"/>
                <w:color w:val="auto"/>
                <w:vertAlign w:val="superscript"/>
              </w:rPr>
              <w:t>(5)</w:t>
            </w:r>
          </w:p>
        </w:tc>
        <w:tc>
          <w:tcPr>
            <w:tcW w:w="16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F1F2F2"/>
          </w:tcPr>
          <w:p>
            <w:pPr>
              <w:ind w:left="20"/>
              <w:spacing w:after="0"/>
              <w:rPr>
                <w:sz w:val="20"/>
                <w:szCs w:val="20"/>
                <w:color w:val="auto"/>
              </w:rPr>
            </w:pPr>
            <w:r>
              <w:rPr>
                <w:rFonts w:ascii="Arial" w:cs="Arial" w:eastAsia="Arial" w:hAnsi="Arial"/>
                <w:sz w:val="14"/>
                <w:szCs w:val="14"/>
                <w:color w:val="auto"/>
                <w:w w:val="96"/>
              </w:rPr>
              <w:t>2021</w:t>
            </w:r>
          </w:p>
        </w:tc>
        <w:tc>
          <w:tcPr>
            <w:tcW w:w="100" w:type="dxa"/>
            <w:vAlign w:val="bottom"/>
            <w:gridSpan w:val="2"/>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760" w:type="dxa"/>
            <w:vAlign w:val="bottom"/>
            <w:gridSpan w:val="2"/>
            <w:shd w:val="clear" w:color="auto" w:fill="F1F2F2"/>
          </w:tcPr>
          <w:p>
            <w:pPr>
              <w:jc w:val="right"/>
              <w:ind w:right="2"/>
              <w:spacing w:after="0"/>
              <w:rPr>
                <w:sz w:val="20"/>
                <w:szCs w:val="20"/>
                <w:color w:val="auto"/>
              </w:rPr>
            </w:pPr>
            <w:r>
              <w:rPr>
                <w:rFonts w:ascii="Arial" w:cs="Arial" w:eastAsia="Arial" w:hAnsi="Arial"/>
                <w:sz w:val="14"/>
                <w:szCs w:val="14"/>
                <w:color w:val="auto"/>
              </w:rPr>
              <w:t xml:space="preserve">550,000 </w:t>
            </w:r>
            <w:r>
              <w:rPr>
                <w:rFonts w:ascii="Times New Roman" w:cs="Times New Roman" w:eastAsia="Times New Roman" w:hAnsi="Times New Roman"/>
                <w:sz w:val="3"/>
                <w:szCs w:val="3"/>
                <w:color w:val="auto"/>
              </w:rPr>
              <w:t>​   ​</w:t>
            </w:r>
          </w:p>
        </w:tc>
        <w:tc>
          <w:tcPr>
            <w:tcW w:w="460" w:type="dxa"/>
            <w:vAlign w:val="bottom"/>
            <w:shd w:val="clear" w:color="auto" w:fill="F1F2F2"/>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1,100,000</w:t>
            </w:r>
          </w:p>
        </w:tc>
        <w:tc>
          <w:tcPr>
            <w:tcW w:w="80" w:type="dxa"/>
            <w:vAlign w:val="bottom"/>
            <w:shd w:val="clear" w:color="auto" w:fill="F1F2F2"/>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9"/>
              </w:rPr>
              <w:t>1,841,810</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7"/>
              </w:rPr>
              <w:t>34,799</w:t>
            </w:r>
          </w:p>
        </w:tc>
        <w:tc>
          <w:tcPr>
            <w:tcW w:w="80" w:type="dxa"/>
            <w:vAlign w:val="bottom"/>
            <w:shd w:val="clear" w:color="auto" w:fill="F1F2F2"/>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3,526,609</w:t>
            </w:r>
          </w:p>
        </w:tc>
        <w:tc>
          <w:tcPr>
            <w:tcW w:w="120" w:type="dxa"/>
            <w:vAlign w:val="bottom"/>
            <w:shd w:val="clear" w:color="auto" w:fill="F1F2F2"/>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680" w:type="dxa"/>
            <w:vAlign w:val="bottom"/>
            <w:shd w:val="clear" w:color="auto" w:fill="F1F2F2"/>
          </w:tcPr>
          <w:p>
            <w:pPr>
              <w:ind w:left="220"/>
              <w:spacing w:after="0"/>
              <w:rPr>
                <w:sz w:val="20"/>
                <w:szCs w:val="20"/>
                <w:color w:val="auto"/>
              </w:rPr>
            </w:pPr>
            <w:r>
              <w:rPr>
                <w:rFonts w:ascii="Arial" w:cs="Arial" w:eastAsia="Arial" w:hAnsi="Arial"/>
                <w:sz w:val="14"/>
                <w:szCs w:val="14"/>
                <w:color w:val="auto"/>
              </w:rPr>
              <w:t>Senior Vice President and Chief</w:t>
            </w:r>
          </w:p>
        </w:tc>
        <w:tc>
          <w:tcPr>
            <w:tcW w:w="16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F1F2F2"/>
          </w:tcPr>
          <w:p>
            <w:pPr>
              <w:ind w:left="20"/>
              <w:spacing w:after="0"/>
              <w:rPr>
                <w:sz w:val="20"/>
                <w:szCs w:val="20"/>
                <w:color w:val="auto"/>
              </w:rPr>
            </w:pPr>
            <w:r>
              <w:rPr>
                <w:rFonts w:ascii="Arial" w:cs="Arial" w:eastAsia="Arial" w:hAnsi="Arial"/>
                <w:sz w:val="14"/>
                <w:szCs w:val="14"/>
                <w:color w:val="auto"/>
                <w:w w:val="96"/>
              </w:rPr>
              <w:t>2020</w:t>
            </w:r>
          </w:p>
        </w:tc>
        <w:tc>
          <w:tcPr>
            <w:tcW w:w="20" w:type="dxa"/>
            <w:vAlign w:val="bottom"/>
            <w:shd w:val="clear" w:color="auto" w:fill="F1F2F2"/>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shd w:val="clear" w:color="auto" w:fill="F1F2F2"/>
          </w:tcPr>
          <w:p>
            <w:pPr>
              <w:jc w:val="right"/>
              <w:ind w:right="2"/>
              <w:spacing w:after="0"/>
              <w:rPr>
                <w:sz w:val="20"/>
                <w:szCs w:val="20"/>
                <w:color w:val="auto"/>
              </w:rPr>
            </w:pPr>
            <w:r>
              <w:rPr>
                <w:rFonts w:ascii="Arial" w:cs="Arial" w:eastAsia="Arial" w:hAnsi="Arial"/>
                <w:sz w:val="14"/>
                <w:szCs w:val="14"/>
                <w:color w:val="auto"/>
              </w:rPr>
              <w:t xml:space="preserve">460,000 </w:t>
            </w:r>
            <w:r>
              <w:rPr>
                <w:rFonts w:ascii="Times New Roman" w:cs="Times New Roman" w:eastAsia="Times New Roman" w:hAnsi="Times New Roman"/>
                <w:sz w:val="3"/>
                <w:szCs w:val="3"/>
                <w:color w:val="auto"/>
              </w:rPr>
              <w:t>​   ​</w:t>
            </w:r>
          </w:p>
        </w:tc>
        <w:tc>
          <w:tcPr>
            <w:tcW w:w="460" w:type="dxa"/>
            <w:vAlign w:val="bottom"/>
            <w:shd w:val="clear" w:color="auto" w:fill="F1F2F2"/>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F1F2F2"/>
          </w:tcPr>
          <w:p>
            <w:pPr>
              <w:jc w:val="right"/>
              <w:ind w:right="109"/>
              <w:spacing w:after="0"/>
              <w:rPr>
                <w:sz w:val="20"/>
                <w:szCs w:val="20"/>
                <w:color w:val="auto"/>
              </w:rPr>
            </w:pPr>
            <w:r>
              <w:rPr>
                <w:rFonts w:ascii="Arial" w:cs="Arial" w:eastAsia="Arial" w:hAnsi="Arial"/>
                <w:sz w:val="14"/>
                <w:szCs w:val="14"/>
                <w:color w:val="auto"/>
              </w:rPr>
              <w:t>—</w:t>
            </w:r>
          </w:p>
        </w:tc>
        <w:tc>
          <w:tcPr>
            <w:tcW w:w="80" w:type="dxa"/>
            <w:vAlign w:val="bottom"/>
            <w:shd w:val="clear" w:color="auto" w:fill="F1F2F2"/>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9"/>
              </w:rPr>
              <w:t>1,212,210</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7"/>
              </w:rPr>
              <w:t>34,581</w:t>
            </w:r>
          </w:p>
        </w:tc>
        <w:tc>
          <w:tcPr>
            <w:tcW w:w="80" w:type="dxa"/>
            <w:vAlign w:val="bottom"/>
            <w:shd w:val="clear" w:color="auto" w:fill="F1F2F2"/>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1,706,791</w:t>
            </w:r>
          </w:p>
        </w:tc>
        <w:tc>
          <w:tcPr>
            <w:tcW w:w="120" w:type="dxa"/>
            <w:vAlign w:val="bottom"/>
            <w:shd w:val="clear" w:color="auto" w:fill="F1F2F2"/>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80" w:type="dxa"/>
            <w:vAlign w:val="bottom"/>
            <w:shd w:val="clear" w:color="auto" w:fill="F1F2F2"/>
          </w:tcPr>
          <w:p>
            <w:pPr>
              <w:ind w:left="220"/>
              <w:spacing w:after="0" w:line="81" w:lineRule="exact"/>
              <w:rPr>
                <w:sz w:val="20"/>
                <w:szCs w:val="20"/>
                <w:color w:val="auto"/>
              </w:rPr>
            </w:pPr>
            <w:r>
              <w:rPr>
                <w:rFonts w:ascii="Arial" w:cs="Arial" w:eastAsia="Arial" w:hAnsi="Arial"/>
                <w:sz w:val="9"/>
                <w:szCs w:val="9"/>
                <w:color w:val="auto"/>
              </w:rPr>
              <w:t>Financial Office</w:t>
            </w:r>
          </w:p>
        </w:tc>
        <w:tc>
          <w:tcPr>
            <w:tcW w:w="160" w:type="dxa"/>
            <w:vAlign w:val="bottom"/>
            <w:shd w:val="clear" w:color="auto" w:fill="F1F2F2"/>
          </w:tcPr>
          <w:p>
            <w:pPr>
              <w:spacing w:after="0"/>
              <w:rPr>
                <w:sz w:val="6"/>
                <w:szCs w:val="6"/>
                <w:color w:val="auto"/>
              </w:rPr>
            </w:pPr>
          </w:p>
        </w:tc>
        <w:tc>
          <w:tcPr>
            <w:tcW w:w="340" w:type="dxa"/>
            <w:vAlign w:val="bottom"/>
            <w:shd w:val="clear" w:color="auto" w:fill="F1F2F2"/>
          </w:tcPr>
          <w:p>
            <w:pPr>
              <w:spacing w:after="0"/>
              <w:rPr>
                <w:sz w:val="6"/>
                <w:szCs w:val="6"/>
                <w:color w:val="auto"/>
              </w:rPr>
            </w:pPr>
          </w:p>
        </w:tc>
        <w:tc>
          <w:tcPr>
            <w:tcW w:w="20" w:type="dxa"/>
            <w:vAlign w:val="bottom"/>
            <w:shd w:val="clear" w:color="auto" w:fill="F1F2F2"/>
          </w:tcPr>
          <w:p>
            <w:pPr>
              <w:spacing w:after="0"/>
              <w:rPr>
                <w:sz w:val="6"/>
                <w:szCs w:val="6"/>
                <w:color w:val="auto"/>
              </w:rPr>
            </w:pPr>
          </w:p>
        </w:tc>
        <w:tc>
          <w:tcPr>
            <w:tcW w:w="80" w:type="dxa"/>
            <w:vAlign w:val="bottom"/>
            <w:shd w:val="clear" w:color="auto" w:fill="F1F2F2"/>
          </w:tcPr>
          <w:p>
            <w:pPr>
              <w:spacing w:after="0"/>
              <w:rPr>
                <w:sz w:val="6"/>
                <w:szCs w:val="6"/>
                <w:color w:val="auto"/>
              </w:rPr>
            </w:pPr>
          </w:p>
        </w:tc>
        <w:tc>
          <w:tcPr>
            <w:tcW w:w="660" w:type="dxa"/>
            <w:vAlign w:val="bottom"/>
            <w:shd w:val="clear" w:color="auto" w:fill="F1F2F2"/>
          </w:tcPr>
          <w:p>
            <w:pPr>
              <w:spacing w:after="0"/>
              <w:rPr>
                <w:sz w:val="6"/>
                <w:szCs w:val="6"/>
                <w:color w:val="auto"/>
              </w:rPr>
            </w:pPr>
          </w:p>
        </w:tc>
        <w:tc>
          <w:tcPr>
            <w:tcW w:w="100" w:type="dxa"/>
            <w:vAlign w:val="bottom"/>
            <w:shd w:val="clear" w:color="auto" w:fill="F1F2F2"/>
          </w:tcPr>
          <w:p>
            <w:pPr>
              <w:spacing w:after="0"/>
              <w:rPr>
                <w:sz w:val="6"/>
                <w:szCs w:val="6"/>
                <w:color w:val="auto"/>
              </w:rPr>
            </w:pPr>
          </w:p>
        </w:tc>
        <w:tc>
          <w:tcPr>
            <w:tcW w:w="460" w:type="dxa"/>
            <w:vAlign w:val="bottom"/>
            <w:shd w:val="clear" w:color="auto" w:fill="F1F2F2"/>
          </w:tcPr>
          <w:p>
            <w:pPr>
              <w:spacing w:after="0"/>
              <w:rPr>
                <w:sz w:val="6"/>
                <w:szCs w:val="6"/>
                <w:color w:val="auto"/>
              </w:rPr>
            </w:pPr>
          </w:p>
        </w:tc>
        <w:tc>
          <w:tcPr>
            <w:tcW w:w="100" w:type="dxa"/>
            <w:vAlign w:val="bottom"/>
            <w:shd w:val="clear" w:color="auto" w:fill="F1F2F2"/>
          </w:tcPr>
          <w:p>
            <w:pPr>
              <w:spacing w:after="0"/>
              <w:rPr>
                <w:sz w:val="6"/>
                <w:szCs w:val="6"/>
                <w:color w:val="auto"/>
              </w:rPr>
            </w:pPr>
          </w:p>
        </w:tc>
        <w:tc>
          <w:tcPr>
            <w:tcW w:w="1020" w:type="dxa"/>
            <w:vAlign w:val="bottom"/>
            <w:shd w:val="clear" w:color="auto" w:fill="F1F2F2"/>
          </w:tcPr>
          <w:p>
            <w:pPr>
              <w:spacing w:after="0"/>
              <w:rPr>
                <w:sz w:val="6"/>
                <w:szCs w:val="6"/>
                <w:color w:val="auto"/>
              </w:rPr>
            </w:pPr>
          </w:p>
        </w:tc>
        <w:tc>
          <w:tcPr>
            <w:tcW w:w="80" w:type="dxa"/>
            <w:vAlign w:val="bottom"/>
            <w:shd w:val="clear" w:color="auto" w:fill="F1F2F2"/>
          </w:tcPr>
          <w:p>
            <w:pPr>
              <w:spacing w:after="0"/>
              <w:rPr>
                <w:sz w:val="6"/>
                <w:szCs w:val="6"/>
                <w:color w:val="auto"/>
              </w:rPr>
            </w:pPr>
          </w:p>
        </w:tc>
        <w:tc>
          <w:tcPr>
            <w:tcW w:w="680" w:type="dxa"/>
            <w:vAlign w:val="bottom"/>
            <w:shd w:val="clear" w:color="auto" w:fill="F1F2F2"/>
          </w:tcPr>
          <w:p>
            <w:pPr>
              <w:spacing w:after="0"/>
              <w:rPr>
                <w:sz w:val="6"/>
                <w:szCs w:val="6"/>
                <w:color w:val="auto"/>
              </w:rPr>
            </w:pPr>
          </w:p>
        </w:tc>
        <w:tc>
          <w:tcPr>
            <w:tcW w:w="100" w:type="dxa"/>
            <w:vAlign w:val="bottom"/>
            <w:shd w:val="clear" w:color="auto" w:fill="F1F2F2"/>
          </w:tcPr>
          <w:p>
            <w:pPr>
              <w:spacing w:after="0"/>
              <w:rPr>
                <w:sz w:val="6"/>
                <w:szCs w:val="6"/>
                <w:color w:val="auto"/>
              </w:rPr>
            </w:pPr>
          </w:p>
        </w:tc>
        <w:tc>
          <w:tcPr>
            <w:tcW w:w="1020" w:type="dxa"/>
            <w:vAlign w:val="bottom"/>
            <w:shd w:val="clear" w:color="auto" w:fill="F1F2F2"/>
          </w:tcPr>
          <w:p>
            <w:pPr>
              <w:spacing w:after="0"/>
              <w:rPr>
                <w:sz w:val="6"/>
                <w:szCs w:val="6"/>
                <w:color w:val="auto"/>
              </w:rPr>
            </w:pPr>
          </w:p>
        </w:tc>
        <w:tc>
          <w:tcPr>
            <w:tcW w:w="80" w:type="dxa"/>
            <w:vAlign w:val="bottom"/>
            <w:shd w:val="clear" w:color="auto" w:fill="F1F2F2"/>
          </w:tcPr>
          <w:p>
            <w:pPr>
              <w:spacing w:after="0"/>
              <w:rPr>
                <w:sz w:val="6"/>
                <w:szCs w:val="6"/>
                <w:color w:val="auto"/>
              </w:rPr>
            </w:pPr>
          </w:p>
        </w:tc>
        <w:tc>
          <w:tcPr>
            <w:tcW w:w="680" w:type="dxa"/>
            <w:vAlign w:val="bottom"/>
            <w:shd w:val="clear" w:color="auto" w:fill="F1F2F2"/>
          </w:tcPr>
          <w:p>
            <w:pPr>
              <w:spacing w:after="0"/>
              <w:rPr>
                <w:sz w:val="6"/>
                <w:szCs w:val="6"/>
                <w:color w:val="auto"/>
              </w:rPr>
            </w:pPr>
          </w:p>
        </w:tc>
        <w:tc>
          <w:tcPr>
            <w:tcW w:w="120" w:type="dxa"/>
            <w:vAlign w:val="bottom"/>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80" w:type="dxa"/>
            <w:vAlign w:val="bottom"/>
            <w:tcBorders>
              <w:bottom w:val="single" w:sz="8" w:color="F1F2F2"/>
            </w:tcBorders>
            <w:shd w:val="clear" w:color="auto" w:fill="F1F2F2"/>
          </w:tcPr>
          <w:p>
            <w:pPr>
              <w:spacing w:after="0"/>
              <w:rPr>
                <w:sz w:val="21"/>
                <w:szCs w:val="21"/>
                <w:color w:val="auto"/>
              </w:rPr>
            </w:pPr>
          </w:p>
        </w:tc>
        <w:tc>
          <w:tcPr>
            <w:tcW w:w="160" w:type="dxa"/>
            <w:vAlign w:val="bottom"/>
            <w:tcBorders>
              <w:bottom w:val="single" w:sz="8" w:color="F1F2F2"/>
            </w:tcBorders>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F1F2F2"/>
            </w:tcBorders>
            <w:gridSpan w:val="2"/>
            <w:shd w:val="clear" w:color="auto" w:fill="F1F2F2"/>
          </w:tcPr>
          <w:p>
            <w:pPr>
              <w:ind w:left="20"/>
              <w:spacing w:after="0"/>
              <w:rPr>
                <w:sz w:val="20"/>
                <w:szCs w:val="20"/>
                <w:color w:val="auto"/>
              </w:rPr>
            </w:pPr>
            <w:r>
              <w:rPr>
                <w:rFonts w:ascii="Arial" w:cs="Arial" w:eastAsia="Arial" w:hAnsi="Arial"/>
                <w:sz w:val="14"/>
                <w:szCs w:val="14"/>
                <w:color w:val="auto"/>
              </w:rPr>
              <w:t>2019</w:t>
            </w:r>
            <w:r>
              <w:rPr>
                <w:rFonts w:ascii="Times New Roman" w:cs="Times New Roman" w:eastAsia="Times New Roman" w:hAnsi="Times New Roman"/>
                <w:sz w:val="3"/>
                <w:szCs w:val="3"/>
                <w:color w:val="auto"/>
              </w:rPr>
              <w:t>​</w:t>
            </w:r>
          </w:p>
        </w:tc>
        <w:tc>
          <w:tcPr>
            <w:tcW w:w="80" w:type="dxa"/>
            <w:vAlign w:val="bottom"/>
            <w:tcBorders>
              <w:bottom w:val="single" w:sz="8" w:color="F1F2F2"/>
            </w:tcBorders>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F1F2F2"/>
            </w:tcBorders>
            <w:gridSpan w:val="2"/>
            <w:shd w:val="clear" w:color="auto" w:fill="F1F2F2"/>
          </w:tcPr>
          <w:p>
            <w:pPr>
              <w:jc w:val="right"/>
              <w:ind w:right="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46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tcBorders>
              <w:bottom w:val="single" w:sz="8" w:color="F1F2F2"/>
            </w:tcBorders>
            <w:shd w:val="clear" w:color="auto" w:fill="F1F2F2"/>
          </w:tcPr>
          <w:p>
            <w:pPr>
              <w:jc w:val="right"/>
              <w:ind w:right="10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F1F2F2"/>
            </w:tcBorders>
            <w:shd w:val="clear" w:color="auto" w:fill="F1F2F2"/>
          </w:tcPr>
          <w:p>
            <w:pPr>
              <w:spacing w:after="0"/>
              <w:rPr>
                <w:sz w:val="20"/>
                <w:szCs w:val="20"/>
                <w:color w:val="auto"/>
              </w:rPr>
            </w:pPr>
            <w:r>
              <w:rPr>
                <w:rFonts w:ascii="Times New Roman" w:cs="Times New Roman" w:eastAsia="Times New Roman" w:hAnsi="Times New Roman"/>
                <w:sz w:val="4"/>
                <w:szCs w:val="4"/>
                <w:color w:val="auto"/>
              </w:rPr>
              <w:t>​   ​</w:t>
            </w:r>
          </w:p>
        </w:tc>
        <w:tc>
          <w:tcPr>
            <w:tcW w:w="780" w:type="dxa"/>
            <w:vAlign w:val="bottom"/>
            <w:tcBorders>
              <w:bottom w:val="single" w:sz="8" w:color="F1F2F2"/>
            </w:tcBorders>
            <w:gridSpan w:val="2"/>
            <w:shd w:val="clear" w:color="auto" w:fill="F1F2F2"/>
          </w:tcPr>
          <w:p>
            <w:pPr>
              <w:jc w:val="right"/>
              <w:ind w:right="2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020" w:type="dxa"/>
            <w:vAlign w:val="bottom"/>
            <w:tcBorders>
              <w:bottom w:val="single" w:sz="8" w:color="F1F2F2"/>
            </w:tcBorders>
            <w:shd w:val="clear" w:color="auto" w:fill="F1F2F2"/>
          </w:tcPr>
          <w:p>
            <w:pPr>
              <w:ind w:left="5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F1F2F2"/>
            </w:tcBorders>
            <w:shd w:val="clear" w:color="auto" w:fill="F1F2F2"/>
          </w:tcPr>
          <w:p>
            <w:pPr>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tcBorders>
              <w:bottom w:val="single" w:sz="8" w:color="F1F2F2"/>
            </w:tcBorders>
            <w:gridSpan w:val="2"/>
            <w:shd w:val="clear" w:color="auto" w:fill="F1F2F2"/>
          </w:tcPr>
          <w:p>
            <w:pPr>
              <w:jc w:val="right"/>
              <w:ind w:right="9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shd w:val="clear" w:color="auto" w:fill="ACABC0"/>
          </w:tcPr>
          <w:p>
            <w:pPr>
              <w:ind w:left="140"/>
              <w:spacing w:after="0"/>
              <w:rPr>
                <w:sz w:val="20"/>
                <w:szCs w:val="20"/>
                <w:color w:val="auto"/>
              </w:rPr>
            </w:pPr>
            <w:r>
              <w:rPr>
                <w:rFonts w:ascii="Arial" w:cs="Arial" w:eastAsia="Arial" w:hAnsi="Arial"/>
                <w:sz w:val="14"/>
                <w:szCs w:val="14"/>
                <w:color w:val="auto"/>
              </w:rPr>
              <w:t>Christopher J. Ball</w:t>
            </w:r>
          </w:p>
        </w:tc>
        <w:tc>
          <w:tcPr>
            <w:tcW w:w="16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ACABC0"/>
          </w:tcPr>
          <w:p>
            <w:pPr>
              <w:ind w:left="20"/>
              <w:spacing w:after="0"/>
              <w:rPr>
                <w:sz w:val="20"/>
                <w:szCs w:val="20"/>
                <w:color w:val="auto"/>
              </w:rPr>
            </w:pPr>
            <w:r>
              <w:rPr>
                <w:rFonts w:ascii="Arial" w:cs="Arial" w:eastAsia="Arial" w:hAnsi="Arial"/>
                <w:sz w:val="14"/>
                <w:szCs w:val="14"/>
                <w:color w:val="auto"/>
                <w:w w:val="96"/>
              </w:rPr>
              <w:t>2021</w:t>
            </w:r>
          </w:p>
        </w:tc>
        <w:tc>
          <w:tcPr>
            <w:tcW w:w="100" w:type="dxa"/>
            <w:vAlign w:val="bottom"/>
            <w:gridSpan w:val="2"/>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660" w:type="dxa"/>
            <w:vAlign w:val="bottom"/>
            <w:shd w:val="clear" w:color="auto" w:fill="ACABC0"/>
          </w:tcPr>
          <w:p>
            <w:pPr>
              <w:jc w:val="right"/>
              <w:spacing w:after="0"/>
              <w:rPr>
                <w:sz w:val="20"/>
                <w:szCs w:val="20"/>
                <w:color w:val="auto"/>
              </w:rPr>
            </w:pPr>
            <w:r>
              <w:rPr>
                <w:rFonts w:ascii="Arial" w:cs="Arial" w:eastAsia="Arial" w:hAnsi="Arial"/>
                <w:sz w:val="14"/>
                <w:szCs w:val="14"/>
                <w:color w:val="auto"/>
              </w:rPr>
              <w:t>615,652</w:t>
            </w:r>
          </w:p>
        </w:tc>
        <w:tc>
          <w:tcPr>
            <w:tcW w:w="100" w:type="dxa"/>
            <w:vAlign w:val="bottom"/>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shd w:val="clear" w:color="auto" w:fill="ACABC0"/>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ACABC0"/>
          </w:tcPr>
          <w:p>
            <w:pPr>
              <w:jc w:val="right"/>
              <w:ind w:right="109"/>
              <w:spacing w:after="0"/>
              <w:rPr>
                <w:sz w:val="20"/>
                <w:szCs w:val="20"/>
                <w:color w:val="auto"/>
              </w:rPr>
            </w:pPr>
            <w:r>
              <w:rPr>
                <w:rFonts w:ascii="Arial" w:cs="Arial" w:eastAsia="Arial" w:hAnsi="Arial"/>
                <w:sz w:val="14"/>
                <w:szCs w:val="14"/>
                <w:color w:val="auto"/>
              </w:rPr>
              <w:t>976,718</w:t>
            </w:r>
          </w:p>
        </w:tc>
        <w:tc>
          <w:tcPr>
            <w:tcW w:w="80" w:type="dxa"/>
            <w:vAlign w:val="bottom"/>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780" w:type="dxa"/>
            <w:vAlign w:val="bottom"/>
            <w:gridSpan w:val="2"/>
            <w:shd w:val="clear" w:color="auto" w:fill="ACABC0"/>
          </w:tcPr>
          <w:p>
            <w:pPr>
              <w:jc w:val="right"/>
              <w:ind w:right="22"/>
              <w:spacing w:after="0"/>
              <w:rPr>
                <w:sz w:val="20"/>
                <w:szCs w:val="20"/>
                <w:color w:val="auto"/>
              </w:rPr>
            </w:pPr>
            <w:r>
              <w:rPr>
                <w:rFonts w:ascii="Arial" w:cs="Arial" w:eastAsia="Arial" w:hAnsi="Arial"/>
                <w:sz w:val="14"/>
                <w:szCs w:val="14"/>
                <w:color w:val="auto"/>
              </w:rPr>
              <w:t>2,115,510</w:t>
            </w:r>
            <w:r>
              <w:rPr>
                <w:rFonts w:ascii="Times New Roman" w:cs="Times New Roman" w:eastAsia="Times New Roman" w:hAnsi="Times New Roman"/>
                <w:sz w:val="3"/>
                <w:szCs w:val="3"/>
                <w:color w:val="auto"/>
              </w:rPr>
              <w:t>​   ​</w:t>
            </w:r>
          </w:p>
        </w:tc>
        <w:tc>
          <w:tcPr>
            <w:tcW w:w="102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7"/>
              </w:rPr>
              <w:t>36,743</w:t>
            </w:r>
          </w:p>
        </w:tc>
        <w:tc>
          <w:tcPr>
            <w:tcW w:w="80" w:type="dxa"/>
            <w:vAlign w:val="bottom"/>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gridSpan w:val="2"/>
            <w:shd w:val="clear" w:color="auto" w:fill="ACABC0"/>
          </w:tcPr>
          <w:p>
            <w:pPr>
              <w:jc w:val="right"/>
              <w:ind w:right="91"/>
              <w:spacing w:after="0"/>
              <w:rPr>
                <w:sz w:val="20"/>
                <w:szCs w:val="20"/>
                <w:color w:val="auto"/>
              </w:rPr>
            </w:pPr>
            <w:r>
              <w:rPr>
                <w:rFonts w:ascii="Arial" w:cs="Arial" w:eastAsia="Arial" w:hAnsi="Arial"/>
                <w:sz w:val="14"/>
                <w:szCs w:val="14"/>
                <w:color w:val="auto"/>
              </w:rPr>
              <w:t>3,744,623</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680" w:type="dxa"/>
            <w:vAlign w:val="bottom"/>
            <w:shd w:val="clear" w:color="auto" w:fill="ACABC0"/>
          </w:tcPr>
          <w:p>
            <w:pPr>
              <w:ind w:left="220"/>
              <w:spacing w:after="0"/>
              <w:rPr>
                <w:sz w:val="20"/>
                <w:szCs w:val="20"/>
                <w:color w:val="auto"/>
              </w:rPr>
            </w:pPr>
            <w:r>
              <w:rPr>
                <w:rFonts w:ascii="Arial" w:cs="Arial" w:eastAsia="Arial" w:hAnsi="Arial"/>
                <w:sz w:val="14"/>
                <w:szCs w:val="14"/>
                <w:color w:val="auto"/>
              </w:rPr>
              <w:t>Senior Vice President and Chief</w:t>
            </w:r>
          </w:p>
        </w:tc>
        <w:tc>
          <w:tcPr>
            <w:tcW w:w="16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ACABC0"/>
          </w:tcPr>
          <w:p>
            <w:pPr>
              <w:ind w:left="20"/>
              <w:spacing w:after="0"/>
              <w:rPr>
                <w:sz w:val="20"/>
                <w:szCs w:val="20"/>
                <w:color w:val="auto"/>
              </w:rPr>
            </w:pPr>
            <w:r>
              <w:rPr>
                <w:rFonts w:ascii="Arial" w:cs="Arial" w:eastAsia="Arial" w:hAnsi="Arial"/>
                <w:sz w:val="14"/>
                <w:szCs w:val="14"/>
                <w:color w:val="auto"/>
                <w:w w:val="96"/>
              </w:rPr>
              <w:t>2020</w:t>
            </w:r>
          </w:p>
        </w:tc>
        <w:tc>
          <w:tcPr>
            <w:tcW w:w="20" w:type="dxa"/>
            <w:vAlign w:val="bottom"/>
            <w:shd w:val="clear" w:color="auto" w:fill="ACABC0"/>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shd w:val="clear" w:color="auto" w:fill="ACABC0"/>
          </w:tcPr>
          <w:p>
            <w:pPr>
              <w:jc w:val="right"/>
              <w:spacing w:after="0"/>
              <w:rPr>
                <w:sz w:val="20"/>
                <w:szCs w:val="20"/>
                <w:color w:val="auto"/>
              </w:rPr>
            </w:pPr>
            <w:r>
              <w:rPr>
                <w:rFonts w:ascii="Arial" w:cs="Arial" w:eastAsia="Arial" w:hAnsi="Arial"/>
                <w:sz w:val="14"/>
                <w:szCs w:val="14"/>
                <w:color w:val="auto"/>
              </w:rPr>
              <w:t>615,652</w:t>
            </w:r>
          </w:p>
        </w:tc>
        <w:tc>
          <w:tcPr>
            <w:tcW w:w="100" w:type="dxa"/>
            <w:vAlign w:val="bottom"/>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shd w:val="clear" w:color="auto" w:fill="ACABC0"/>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ACABC0"/>
          </w:tcPr>
          <w:p>
            <w:pPr>
              <w:jc w:val="right"/>
              <w:ind w:right="109"/>
              <w:spacing w:after="0"/>
              <w:rPr>
                <w:sz w:val="20"/>
                <w:szCs w:val="20"/>
                <w:color w:val="auto"/>
              </w:rPr>
            </w:pPr>
            <w:r>
              <w:rPr>
                <w:rFonts w:ascii="Arial" w:cs="Arial" w:eastAsia="Arial" w:hAnsi="Arial"/>
                <w:sz w:val="14"/>
                <w:szCs w:val="14"/>
                <w:color w:val="auto"/>
              </w:rPr>
              <w:t>—</w:t>
            </w:r>
          </w:p>
        </w:tc>
        <w:tc>
          <w:tcPr>
            <w:tcW w:w="80" w:type="dxa"/>
            <w:vAlign w:val="bottom"/>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1,776,638</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7"/>
              </w:rPr>
              <w:t>63,451</w:t>
            </w:r>
          </w:p>
        </w:tc>
        <w:tc>
          <w:tcPr>
            <w:tcW w:w="80" w:type="dxa"/>
            <w:vAlign w:val="bottom"/>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gridSpan w:val="2"/>
            <w:shd w:val="clear" w:color="auto" w:fill="ACABC0"/>
          </w:tcPr>
          <w:p>
            <w:pPr>
              <w:jc w:val="right"/>
              <w:ind w:right="91"/>
              <w:spacing w:after="0"/>
              <w:rPr>
                <w:sz w:val="20"/>
                <w:szCs w:val="20"/>
                <w:color w:val="auto"/>
              </w:rPr>
            </w:pPr>
            <w:r>
              <w:rPr>
                <w:rFonts w:ascii="Arial" w:cs="Arial" w:eastAsia="Arial" w:hAnsi="Arial"/>
                <w:sz w:val="14"/>
                <w:szCs w:val="14"/>
                <w:color w:val="auto"/>
              </w:rPr>
              <w:t>2,455,741</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80" w:type="dxa"/>
            <w:vAlign w:val="bottom"/>
            <w:shd w:val="clear" w:color="auto" w:fill="ACABC0"/>
          </w:tcPr>
          <w:p>
            <w:pPr>
              <w:ind w:left="220"/>
              <w:spacing w:after="0" w:line="81" w:lineRule="exact"/>
              <w:rPr>
                <w:sz w:val="20"/>
                <w:szCs w:val="20"/>
                <w:color w:val="auto"/>
              </w:rPr>
            </w:pPr>
            <w:r>
              <w:rPr>
                <w:rFonts w:ascii="Arial" w:cs="Arial" w:eastAsia="Arial" w:hAnsi="Arial"/>
                <w:sz w:val="9"/>
                <w:szCs w:val="9"/>
                <w:color w:val="auto"/>
              </w:rPr>
              <w:t>Commercial Office</w:t>
            </w:r>
          </w:p>
        </w:tc>
        <w:tc>
          <w:tcPr>
            <w:tcW w:w="160" w:type="dxa"/>
            <w:vAlign w:val="bottom"/>
            <w:shd w:val="clear" w:color="auto" w:fill="ACABC0"/>
          </w:tcPr>
          <w:p>
            <w:pPr>
              <w:spacing w:after="0"/>
              <w:rPr>
                <w:sz w:val="6"/>
                <w:szCs w:val="6"/>
                <w:color w:val="auto"/>
              </w:rPr>
            </w:pPr>
          </w:p>
        </w:tc>
        <w:tc>
          <w:tcPr>
            <w:tcW w:w="340" w:type="dxa"/>
            <w:vAlign w:val="bottom"/>
            <w:shd w:val="clear" w:color="auto" w:fill="ACABC0"/>
          </w:tcPr>
          <w:p>
            <w:pPr>
              <w:spacing w:after="0"/>
              <w:rPr>
                <w:sz w:val="6"/>
                <w:szCs w:val="6"/>
                <w:color w:val="auto"/>
              </w:rPr>
            </w:pPr>
          </w:p>
        </w:tc>
        <w:tc>
          <w:tcPr>
            <w:tcW w:w="20" w:type="dxa"/>
            <w:vAlign w:val="bottom"/>
            <w:shd w:val="clear" w:color="auto" w:fill="ACABC0"/>
          </w:tcPr>
          <w:p>
            <w:pPr>
              <w:spacing w:after="0"/>
              <w:rPr>
                <w:sz w:val="6"/>
                <w:szCs w:val="6"/>
                <w:color w:val="auto"/>
              </w:rPr>
            </w:pPr>
          </w:p>
        </w:tc>
        <w:tc>
          <w:tcPr>
            <w:tcW w:w="80" w:type="dxa"/>
            <w:vAlign w:val="bottom"/>
            <w:shd w:val="clear" w:color="auto" w:fill="ACABC0"/>
          </w:tcPr>
          <w:p>
            <w:pPr>
              <w:spacing w:after="0"/>
              <w:rPr>
                <w:sz w:val="6"/>
                <w:szCs w:val="6"/>
                <w:color w:val="auto"/>
              </w:rPr>
            </w:pPr>
          </w:p>
        </w:tc>
        <w:tc>
          <w:tcPr>
            <w:tcW w:w="660" w:type="dxa"/>
            <w:vAlign w:val="bottom"/>
            <w:shd w:val="clear" w:color="auto" w:fill="ACABC0"/>
          </w:tcPr>
          <w:p>
            <w:pPr>
              <w:spacing w:after="0"/>
              <w:rPr>
                <w:sz w:val="6"/>
                <w:szCs w:val="6"/>
                <w:color w:val="auto"/>
              </w:rPr>
            </w:pPr>
          </w:p>
        </w:tc>
        <w:tc>
          <w:tcPr>
            <w:tcW w:w="100" w:type="dxa"/>
            <w:vAlign w:val="bottom"/>
            <w:shd w:val="clear" w:color="auto" w:fill="ACABC0"/>
          </w:tcPr>
          <w:p>
            <w:pPr>
              <w:spacing w:after="0"/>
              <w:rPr>
                <w:sz w:val="6"/>
                <w:szCs w:val="6"/>
                <w:color w:val="auto"/>
              </w:rPr>
            </w:pPr>
          </w:p>
        </w:tc>
        <w:tc>
          <w:tcPr>
            <w:tcW w:w="460" w:type="dxa"/>
            <w:vAlign w:val="bottom"/>
            <w:shd w:val="clear" w:color="auto" w:fill="ACABC0"/>
          </w:tcPr>
          <w:p>
            <w:pPr>
              <w:spacing w:after="0"/>
              <w:rPr>
                <w:sz w:val="6"/>
                <w:szCs w:val="6"/>
                <w:color w:val="auto"/>
              </w:rPr>
            </w:pPr>
          </w:p>
        </w:tc>
        <w:tc>
          <w:tcPr>
            <w:tcW w:w="100" w:type="dxa"/>
            <w:vAlign w:val="bottom"/>
            <w:shd w:val="clear" w:color="auto" w:fill="ACABC0"/>
          </w:tcPr>
          <w:p>
            <w:pPr>
              <w:spacing w:after="0"/>
              <w:rPr>
                <w:sz w:val="6"/>
                <w:szCs w:val="6"/>
                <w:color w:val="auto"/>
              </w:rPr>
            </w:pPr>
          </w:p>
        </w:tc>
        <w:tc>
          <w:tcPr>
            <w:tcW w:w="1020" w:type="dxa"/>
            <w:vAlign w:val="bottom"/>
            <w:shd w:val="clear" w:color="auto" w:fill="ACABC0"/>
          </w:tcPr>
          <w:p>
            <w:pPr>
              <w:spacing w:after="0"/>
              <w:rPr>
                <w:sz w:val="6"/>
                <w:szCs w:val="6"/>
                <w:color w:val="auto"/>
              </w:rPr>
            </w:pPr>
          </w:p>
        </w:tc>
        <w:tc>
          <w:tcPr>
            <w:tcW w:w="80" w:type="dxa"/>
            <w:vAlign w:val="bottom"/>
            <w:shd w:val="clear" w:color="auto" w:fill="ACABC0"/>
          </w:tcPr>
          <w:p>
            <w:pPr>
              <w:spacing w:after="0"/>
              <w:rPr>
                <w:sz w:val="6"/>
                <w:szCs w:val="6"/>
                <w:color w:val="auto"/>
              </w:rPr>
            </w:pPr>
          </w:p>
        </w:tc>
        <w:tc>
          <w:tcPr>
            <w:tcW w:w="680" w:type="dxa"/>
            <w:vAlign w:val="bottom"/>
            <w:shd w:val="clear" w:color="auto" w:fill="ACABC0"/>
          </w:tcPr>
          <w:p>
            <w:pPr>
              <w:spacing w:after="0"/>
              <w:rPr>
                <w:sz w:val="6"/>
                <w:szCs w:val="6"/>
                <w:color w:val="auto"/>
              </w:rPr>
            </w:pPr>
          </w:p>
        </w:tc>
        <w:tc>
          <w:tcPr>
            <w:tcW w:w="100" w:type="dxa"/>
            <w:vAlign w:val="bottom"/>
            <w:shd w:val="clear" w:color="auto" w:fill="ACABC0"/>
          </w:tcPr>
          <w:p>
            <w:pPr>
              <w:spacing w:after="0"/>
              <w:rPr>
                <w:sz w:val="6"/>
                <w:szCs w:val="6"/>
                <w:color w:val="auto"/>
              </w:rPr>
            </w:pPr>
          </w:p>
        </w:tc>
        <w:tc>
          <w:tcPr>
            <w:tcW w:w="1020" w:type="dxa"/>
            <w:vAlign w:val="bottom"/>
            <w:shd w:val="clear" w:color="auto" w:fill="ACABC0"/>
          </w:tcPr>
          <w:p>
            <w:pPr>
              <w:spacing w:after="0"/>
              <w:rPr>
                <w:sz w:val="6"/>
                <w:szCs w:val="6"/>
                <w:color w:val="auto"/>
              </w:rPr>
            </w:pPr>
          </w:p>
        </w:tc>
        <w:tc>
          <w:tcPr>
            <w:tcW w:w="80" w:type="dxa"/>
            <w:vAlign w:val="bottom"/>
            <w:shd w:val="clear" w:color="auto" w:fill="ACABC0"/>
          </w:tcPr>
          <w:p>
            <w:pPr>
              <w:spacing w:after="0"/>
              <w:rPr>
                <w:sz w:val="6"/>
                <w:szCs w:val="6"/>
                <w:color w:val="auto"/>
              </w:rPr>
            </w:pPr>
          </w:p>
        </w:tc>
        <w:tc>
          <w:tcPr>
            <w:tcW w:w="680" w:type="dxa"/>
            <w:vAlign w:val="bottom"/>
            <w:shd w:val="clear" w:color="auto" w:fill="ACABC0"/>
          </w:tcPr>
          <w:p>
            <w:pPr>
              <w:spacing w:after="0"/>
              <w:rPr>
                <w:sz w:val="6"/>
                <w:szCs w:val="6"/>
                <w:color w:val="auto"/>
              </w:rPr>
            </w:pPr>
          </w:p>
        </w:tc>
        <w:tc>
          <w:tcPr>
            <w:tcW w:w="120" w:type="dxa"/>
            <w:vAlign w:val="bottom"/>
            <w:shd w:val="clear" w:color="auto" w:fill="ACABC0"/>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80" w:type="dxa"/>
            <w:vAlign w:val="bottom"/>
            <w:tcBorders>
              <w:bottom w:val="single" w:sz="8" w:color="ACABC0"/>
            </w:tcBorders>
            <w:shd w:val="clear" w:color="auto" w:fill="ACABC0"/>
          </w:tcPr>
          <w:p>
            <w:pPr>
              <w:spacing w:after="0"/>
              <w:rPr>
                <w:sz w:val="21"/>
                <w:szCs w:val="21"/>
                <w:color w:val="auto"/>
              </w:rPr>
            </w:pPr>
          </w:p>
        </w:tc>
        <w:tc>
          <w:tcPr>
            <w:tcW w:w="160" w:type="dxa"/>
            <w:vAlign w:val="bottom"/>
            <w:tcBorders>
              <w:bottom w:val="single" w:sz="8" w:color="ACABC0"/>
            </w:tcBorders>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ACABC0"/>
            </w:tcBorders>
            <w:gridSpan w:val="2"/>
            <w:shd w:val="clear" w:color="auto" w:fill="ACABC0"/>
          </w:tcPr>
          <w:p>
            <w:pPr>
              <w:ind w:left="20"/>
              <w:spacing w:after="0"/>
              <w:rPr>
                <w:sz w:val="20"/>
                <w:szCs w:val="20"/>
                <w:color w:val="auto"/>
              </w:rPr>
            </w:pPr>
            <w:r>
              <w:rPr>
                <w:rFonts w:ascii="Arial" w:cs="Arial" w:eastAsia="Arial" w:hAnsi="Arial"/>
                <w:sz w:val="14"/>
                <w:szCs w:val="14"/>
                <w:color w:val="auto"/>
              </w:rPr>
              <w:t>2019</w:t>
            </w:r>
            <w:r>
              <w:rPr>
                <w:rFonts w:ascii="Times New Roman" w:cs="Times New Roman" w:eastAsia="Times New Roman" w:hAnsi="Times New Roman"/>
                <w:sz w:val="3"/>
                <w:szCs w:val="3"/>
                <w:color w:val="auto"/>
              </w:rPr>
              <w:t>​</w:t>
            </w:r>
          </w:p>
        </w:tc>
        <w:tc>
          <w:tcPr>
            <w:tcW w:w="80" w:type="dxa"/>
            <w:vAlign w:val="bottom"/>
            <w:tcBorders>
              <w:bottom w:val="single" w:sz="8" w:color="ACABC0"/>
            </w:tcBorders>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4"/>
                <w:szCs w:val="14"/>
                <w:color w:val="auto"/>
              </w:rPr>
              <w:t>603,580</w:t>
            </w:r>
          </w:p>
        </w:tc>
        <w:tc>
          <w:tcPr>
            <w:tcW w:w="100" w:type="dxa"/>
            <w:vAlign w:val="bottom"/>
            <w:tcBorders>
              <w:bottom w:val="single" w:sz="8" w:color="ACABC0"/>
            </w:tcBorders>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Borders>
              <w:bottom w:val="single" w:sz="8" w:color="ACABC0"/>
            </w:tcBorders>
            <w:shd w:val="clear" w:color="auto" w:fill="ACABC0"/>
          </w:tcPr>
          <w:p>
            <w:pPr>
              <w:ind w:lef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tcBorders>
              <w:bottom w:val="single" w:sz="8" w:color="ACABC0"/>
            </w:tcBorders>
            <w:shd w:val="clear" w:color="auto" w:fill="ACABC0"/>
          </w:tcPr>
          <w:p>
            <w:pPr>
              <w:jc w:val="right"/>
              <w:ind w:right="109"/>
              <w:spacing w:after="0"/>
              <w:rPr>
                <w:sz w:val="20"/>
                <w:szCs w:val="20"/>
                <w:color w:val="auto"/>
              </w:rPr>
            </w:pPr>
            <w:r>
              <w:rPr>
                <w:rFonts w:ascii="Arial" w:cs="Arial" w:eastAsia="Arial" w:hAnsi="Arial"/>
                <w:sz w:val="14"/>
                <w:szCs w:val="14"/>
                <w:color w:val="auto"/>
              </w:rPr>
              <w:t>905,370</w:t>
            </w:r>
          </w:p>
        </w:tc>
        <w:tc>
          <w:tcPr>
            <w:tcW w:w="80" w:type="dxa"/>
            <w:vAlign w:val="bottom"/>
            <w:tcBorders>
              <w:bottom w:val="single" w:sz="8" w:color="ACABC0"/>
            </w:tcBorders>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4"/>
                <w:szCs w:val="14"/>
                <w:color w:val="auto"/>
                <w:w w:val="99"/>
              </w:rPr>
              <w:t>1,235,919</w:t>
            </w:r>
          </w:p>
        </w:tc>
        <w:tc>
          <w:tcPr>
            <w:tcW w:w="100" w:type="dxa"/>
            <w:vAlign w:val="bottom"/>
            <w:tcBorders>
              <w:bottom w:val="single" w:sz="8" w:color="ACABC0"/>
            </w:tcBorders>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4"/>
                <w:szCs w:val="14"/>
                <w:color w:val="auto"/>
                <w:w w:val="97"/>
              </w:rPr>
              <w:t>46,062</w:t>
            </w:r>
          </w:p>
        </w:tc>
        <w:tc>
          <w:tcPr>
            <w:tcW w:w="80" w:type="dxa"/>
            <w:vAlign w:val="bottom"/>
            <w:tcBorders>
              <w:bottom w:val="single" w:sz="8" w:color="ACABC0"/>
            </w:tcBorders>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4"/>
                <w:szCs w:val="14"/>
                <w:color w:val="auto"/>
              </w:rPr>
              <w:t>2,790,931</w:t>
            </w:r>
          </w:p>
        </w:tc>
        <w:tc>
          <w:tcPr>
            <w:tcW w:w="120" w:type="dxa"/>
            <w:vAlign w:val="bottom"/>
            <w:tcBorders>
              <w:bottom w:val="single" w:sz="8" w:color="ACABC0"/>
            </w:tcBorders>
            <w:shd w:val="clear" w:color="auto" w:fill="ACABC0"/>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shd w:val="clear" w:color="auto" w:fill="F1F2F2"/>
          </w:tcPr>
          <w:p>
            <w:pPr>
              <w:ind w:left="140"/>
              <w:spacing w:after="0"/>
              <w:rPr>
                <w:sz w:val="20"/>
                <w:szCs w:val="20"/>
                <w:color w:val="auto"/>
              </w:rPr>
            </w:pPr>
            <w:r>
              <w:rPr>
                <w:rFonts w:ascii="Arial" w:cs="Arial" w:eastAsia="Arial" w:hAnsi="Arial"/>
                <w:sz w:val="14"/>
                <w:szCs w:val="14"/>
                <w:color w:val="auto"/>
              </w:rPr>
              <w:t>Richard Clark</w:t>
            </w:r>
          </w:p>
        </w:tc>
        <w:tc>
          <w:tcPr>
            <w:tcW w:w="16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F1F2F2"/>
          </w:tcPr>
          <w:p>
            <w:pPr>
              <w:ind w:left="20"/>
              <w:spacing w:after="0"/>
              <w:rPr>
                <w:sz w:val="20"/>
                <w:szCs w:val="20"/>
                <w:color w:val="auto"/>
              </w:rPr>
            </w:pPr>
            <w:r>
              <w:rPr>
                <w:rFonts w:ascii="Arial" w:cs="Arial" w:eastAsia="Arial" w:hAnsi="Arial"/>
                <w:sz w:val="14"/>
                <w:szCs w:val="14"/>
                <w:color w:val="auto"/>
                <w:w w:val="96"/>
              </w:rPr>
              <w:t>2021</w:t>
            </w:r>
          </w:p>
        </w:tc>
        <w:tc>
          <w:tcPr>
            <w:tcW w:w="100" w:type="dxa"/>
            <w:vAlign w:val="bottom"/>
            <w:gridSpan w:val="2"/>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660" w:type="dxa"/>
            <w:vAlign w:val="bottom"/>
            <w:shd w:val="clear" w:color="auto" w:fill="F1F2F2"/>
          </w:tcPr>
          <w:p>
            <w:pPr>
              <w:jc w:val="right"/>
              <w:spacing w:after="0"/>
              <w:rPr>
                <w:sz w:val="20"/>
                <w:szCs w:val="20"/>
                <w:color w:val="auto"/>
              </w:rPr>
            </w:pPr>
            <w:r>
              <w:rPr>
                <w:rFonts w:ascii="Arial" w:cs="Arial" w:eastAsia="Arial" w:hAnsi="Arial"/>
                <w:sz w:val="14"/>
                <w:szCs w:val="14"/>
                <w:color w:val="auto"/>
              </w:rPr>
              <w:t>668,749</w:t>
            </w:r>
          </w:p>
        </w:tc>
        <w:tc>
          <w:tcPr>
            <w:tcW w:w="100" w:type="dxa"/>
            <w:vAlign w:val="bottom"/>
            <w:shd w:val="clear" w:color="auto" w:fill="F1F2F2"/>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shd w:val="clear" w:color="auto" w:fill="F1F2F2"/>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F1F2F2"/>
          </w:tcPr>
          <w:p>
            <w:pPr>
              <w:jc w:val="right"/>
              <w:ind w:right="109"/>
              <w:spacing w:after="0"/>
              <w:rPr>
                <w:sz w:val="20"/>
                <w:szCs w:val="20"/>
                <w:color w:val="auto"/>
              </w:rPr>
            </w:pPr>
            <w:r>
              <w:rPr>
                <w:rFonts w:ascii="Arial" w:cs="Arial" w:eastAsia="Arial" w:hAnsi="Arial"/>
                <w:sz w:val="14"/>
                <w:szCs w:val="14"/>
                <w:color w:val="auto"/>
              </w:rPr>
              <w:t>668,749</w:t>
            </w:r>
          </w:p>
        </w:tc>
        <w:tc>
          <w:tcPr>
            <w:tcW w:w="80" w:type="dxa"/>
            <w:vAlign w:val="bottom"/>
            <w:shd w:val="clear" w:color="auto" w:fill="F1F2F2"/>
          </w:tcPr>
          <w:p>
            <w:pPr>
              <w:spacing w:after="0"/>
              <w:rPr>
                <w:sz w:val="20"/>
                <w:szCs w:val="20"/>
                <w:color w:val="auto"/>
              </w:rPr>
            </w:pPr>
            <w:r>
              <w:rPr>
                <w:rFonts w:ascii="Times New Roman" w:cs="Times New Roman" w:eastAsia="Times New Roman" w:hAnsi="Times New Roman"/>
                <w:sz w:val="4"/>
                <w:szCs w:val="4"/>
                <w:color w:val="auto"/>
              </w:rPr>
              <w:t>​   ​</w:t>
            </w:r>
          </w:p>
        </w:tc>
        <w:tc>
          <w:tcPr>
            <w:tcW w:w="780" w:type="dxa"/>
            <w:vAlign w:val="bottom"/>
            <w:gridSpan w:val="2"/>
            <w:shd w:val="clear" w:color="auto" w:fill="F1F2F2"/>
          </w:tcPr>
          <w:p>
            <w:pPr>
              <w:jc w:val="right"/>
              <w:ind w:right="22"/>
              <w:spacing w:after="0"/>
              <w:rPr>
                <w:sz w:val="20"/>
                <w:szCs w:val="20"/>
                <w:color w:val="auto"/>
              </w:rPr>
            </w:pPr>
            <w:r>
              <w:rPr>
                <w:rFonts w:ascii="Arial" w:cs="Arial" w:eastAsia="Arial" w:hAnsi="Arial"/>
                <w:sz w:val="14"/>
                <w:szCs w:val="14"/>
                <w:color w:val="auto"/>
              </w:rPr>
              <w:t>2,115,510</w:t>
            </w:r>
            <w:r>
              <w:rPr>
                <w:rFonts w:ascii="Times New Roman" w:cs="Times New Roman" w:eastAsia="Times New Roman" w:hAnsi="Times New Roman"/>
                <w:sz w:val="3"/>
                <w:szCs w:val="3"/>
                <w:color w:val="auto"/>
              </w:rPr>
              <w:t>​   ​</w:t>
            </w:r>
          </w:p>
        </w:tc>
        <w:tc>
          <w:tcPr>
            <w:tcW w:w="102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7"/>
              </w:rPr>
              <w:t>93,204​</w:t>
            </w:r>
          </w:p>
        </w:tc>
        <w:tc>
          <w:tcPr>
            <w:tcW w:w="80" w:type="dxa"/>
            <w:vAlign w:val="bottom"/>
            <w:shd w:val="clear" w:color="auto" w:fill="F1F2F2"/>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3,546,212​</w:t>
            </w:r>
          </w:p>
        </w:tc>
        <w:tc>
          <w:tcPr>
            <w:tcW w:w="120" w:type="dxa"/>
            <w:vAlign w:val="bottom"/>
            <w:shd w:val="clear" w:color="auto" w:fill="F1F2F2"/>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680" w:type="dxa"/>
            <w:vAlign w:val="bottom"/>
            <w:shd w:val="clear" w:color="auto" w:fill="F1F2F2"/>
          </w:tcPr>
          <w:p>
            <w:pPr>
              <w:ind w:left="220"/>
              <w:spacing w:after="0"/>
              <w:rPr>
                <w:sz w:val="20"/>
                <w:szCs w:val="20"/>
                <w:color w:val="auto"/>
              </w:rPr>
            </w:pPr>
            <w:r>
              <w:rPr>
                <w:rFonts w:ascii="Arial" w:cs="Arial" w:eastAsia="Arial" w:hAnsi="Arial"/>
                <w:sz w:val="14"/>
                <w:szCs w:val="14"/>
                <w:color w:val="auto"/>
              </w:rPr>
              <w:t>Senior Vice President and Head of</w:t>
            </w:r>
          </w:p>
        </w:tc>
        <w:tc>
          <w:tcPr>
            <w:tcW w:w="16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F1F2F2"/>
          </w:tcPr>
          <w:p>
            <w:pPr>
              <w:ind w:left="20"/>
              <w:spacing w:after="0"/>
              <w:rPr>
                <w:sz w:val="20"/>
                <w:szCs w:val="20"/>
                <w:color w:val="auto"/>
              </w:rPr>
            </w:pPr>
            <w:r>
              <w:rPr>
                <w:rFonts w:ascii="Arial" w:cs="Arial" w:eastAsia="Arial" w:hAnsi="Arial"/>
                <w:sz w:val="14"/>
                <w:szCs w:val="14"/>
                <w:color w:val="auto"/>
                <w:w w:val="96"/>
              </w:rPr>
              <w:t>2020</w:t>
            </w:r>
          </w:p>
        </w:tc>
        <w:tc>
          <w:tcPr>
            <w:tcW w:w="20" w:type="dxa"/>
            <w:vAlign w:val="bottom"/>
            <w:shd w:val="clear" w:color="auto" w:fill="F1F2F2"/>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shd w:val="clear" w:color="auto" w:fill="F1F2F2"/>
          </w:tcPr>
          <w:p>
            <w:pPr>
              <w:jc w:val="right"/>
              <w:spacing w:after="0"/>
              <w:rPr>
                <w:sz w:val="20"/>
                <w:szCs w:val="20"/>
                <w:color w:val="auto"/>
              </w:rPr>
            </w:pPr>
            <w:r>
              <w:rPr>
                <w:rFonts w:ascii="Arial" w:cs="Arial" w:eastAsia="Arial" w:hAnsi="Arial"/>
                <w:sz w:val="14"/>
                <w:szCs w:val="14"/>
                <w:color w:val="auto"/>
              </w:rPr>
              <w:t>668,749</w:t>
            </w:r>
          </w:p>
        </w:tc>
        <w:tc>
          <w:tcPr>
            <w:tcW w:w="100" w:type="dxa"/>
            <w:vAlign w:val="bottom"/>
            <w:shd w:val="clear" w:color="auto" w:fill="F1F2F2"/>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shd w:val="clear" w:color="auto" w:fill="F1F2F2"/>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F1F2F2"/>
          </w:tcPr>
          <w:p>
            <w:pPr>
              <w:jc w:val="right"/>
              <w:ind w:right="109"/>
              <w:spacing w:after="0"/>
              <w:rPr>
                <w:sz w:val="20"/>
                <w:szCs w:val="20"/>
                <w:color w:val="auto"/>
              </w:rPr>
            </w:pPr>
            <w:r>
              <w:rPr>
                <w:rFonts w:ascii="Arial" w:cs="Arial" w:eastAsia="Arial" w:hAnsi="Arial"/>
                <w:sz w:val="14"/>
                <w:szCs w:val="14"/>
                <w:color w:val="auto"/>
              </w:rPr>
              <w:t>—</w:t>
            </w:r>
          </w:p>
        </w:tc>
        <w:tc>
          <w:tcPr>
            <w:tcW w:w="80" w:type="dxa"/>
            <w:vAlign w:val="bottom"/>
            <w:shd w:val="clear" w:color="auto" w:fill="F1F2F2"/>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9"/>
              </w:rPr>
              <w:t>1,776,638</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7"/>
              </w:rPr>
              <w:t>49,927</w:t>
            </w:r>
          </w:p>
        </w:tc>
        <w:tc>
          <w:tcPr>
            <w:tcW w:w="80" w:type="dxa"/>
            <w:vAlign w:val="bottom"/>
            <w:shd w:val="clear" w:color="auto" w:fill="F1F2F2"/>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2,495,314</w:t>
            </w:r>
          </w:p>
        </w:tc>
        <w:tc>
          <w:tcPr>
            <w:tcW w:w="120" w:type="dxa"/>
            <w:vAlign w:val="bottom"/>
            <w:shd w:val="clear" w:color="auto" w:fill="F1F2F2"/>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80" w:type="dxa"/>
            <w:vAlign w:val="bottom"/>
            <w:shd w:val="clear" w:color="auto" w:fill="F1F2F2"/>
          </w:tcPr>
          <w:p>
            <w:pPr>
              <w:ind w:left="220"/>
              <w:spacing w:after="0" w:line="81" w:lineRule="exact"/>
              <w:rPr>
                <w:sz w:val="20"/>
                <w:szCs w:val="20"/>
                <w:color w:val="auto"/>
              </w:rPr>
            </w:pPr>
            <w:r>
              <w:rPr>
                <w:rFonts w:ascii="Arial" w:cs="Arial" w:eastAsia="Arial" w:hAnsi="Arial"/>
                <w:sz w:val="9"/>
                <w:szCs w:val="9"/>
                <w:color w:val="auto"/>
              </w:rPr>
              <w:t>Gulf of Mexico Business Unit</w:t>
            </w:r>
          </w:p>
        </w:tc>
        <w:tc>
          <w:tcPr>
            <w:tcW w:w="160" w:type="dxa"/>
            <w:vAlign w:val="bottom"/>
            <w:shd w:val="clear" w:color="auto" w:fill="F1F2F2"/>
          </w:tcPr>
          <w:p>
            <w:pPr>
              <w:spacing w:after="0"/>
              <w:rPr>
                <w:sz w:val="6"/>
                <w:szCs w:val="6"/>
                <w:color w:val="auto"/>
              </w:rPr>
            </w:pPr>
          </w:p>
        </w:tc>
        <w:tc>
          <w:tcPr>
            <w:tcW w:w="340" w:type="dxa"/>
            <w:vAlign w:val="bottom"/>
            <w:shd w:val="clear" w:color="auto" w:fill="F1F2F2"/>
          </w:tcPr>
          <w:p>
            <w:pPr>
              <w:spacing w:after="0"/>
              <w:rPr>
                <w:sz w:val="6"/>
                <w:szCs w:val="6"/>
                <w:color w:val="auto"/>
              </w:rPr>
            </w:pPr>
          </w:p>
        </w:tc>
        <w:tc>
          <w:tcPr>
            <w:tcW w:w="20" w:type="dxa"/>
            <w:vAlign w:val="bottom"/>
            <w:shd w:val="clear" w:color="auto" w:fill="F1F2F2"/>
          </w:tcPr>
          <w:p>
            <w:pPr>
              <w:spacing w:after="0"/>
              <w:rPr>
                <w:sz w:val="6"/>
                <w:szCs w:val="6"/>
                <w:color w:val="auto"/>
              </w:rPr>
            </w:pPr>
          </w:p>
        </w:tc>
        <w:tc>
          <w:tcPr>
            <w:tcW w:w="80" w:type="dxa"/>
            <w:vAlign w:val="bottom"/>
            <w:shd w:val="clear" w:color="auto" w:fill="F1F2F2"/>
          </w:tcPr>
          <w:p>
            <w:pPr>
              <w:spacing w:after="0"/>
              <w:rPr>
                <w:sz w:val="6"/>
                <w:szCs w:val="6"/>
                <w:color w:val="auto"/>
              </w:rPr>
            </w:pPr>
          </w:p>
        </w:tc>
        <w:tc>
          <w:tcPr>
            <w:tcW w:w="660" w:type="dxa"/>
            <w:vAlign w:val="bottom"/>
            <w:shd w:val="clear" w:color="auto" w:fill="F1F2F2"/>
          </w:tcPr>
          <w:p>
            <w:pPr>
              <w:spacing w:after="0"/>
              <w:rPr>
                <w:sz w:val="6"/>
                <w:szCs w:val="6"/>
                <w:color w:val="auto"/>
              </w:rPr>
            </w:pPr>
          </w:p>
        </w:tc>
        <w:tc>
          <w:tcPr>
            <w:tcW w:w="100" w:type="dxa"/>
            <w:vAlign w:val="bottom"/>
            <w:shd w:val="clear" w:color="auto" w:fill="F1F2F2"/>
          </w:tcPr>
          <w:p>
            <w:pPr>
              <w:spacing w:after="0"/>
              <w:rPr>
                <w:sz w:val="6"/>
                <w:szCs w:val="6"/>
                <w:color w:val="auto"/>
              </w:rPr>
            </w:pPr>
          </w:p>
        </w:tc>
        <w:tc>
          <w:tcPr>
            <w:tcW w:w="460" w:type="dxa"/>
            <w:vAlign w:val="bottom"/>
            <w:shd w:val="clear" w:color="auto" w:fill="F1F2F2"/>
          </w:tcPr>
          <w:p>
            <w:pPr>
              <w:spacing w:after="0"/>
              <w:rPr>
                <w:sz w:val="6"/>
                <w:szCs w:val="6"/>
                <w:color w:val="auto"/>
              </w:rPr>
            </w:pPr>
          </w:p>
        </w:tc>
        <w:tc>
          <w:tcPr>
            <w:tcW w:w="100" w:type="dxa"/>
            <w:vAlign w:val="bottom"/>
            <w:shd w:val="clear" w:color="auto" w:fill="F1F2F2"/>
          </w:tcPr>
          <w:p>
            <w:pPr>
              <w:spacing w:after="0"/>
              <w:rPr>
                <w:sz w:val="6"/>
                <w:szCs w:val="6"/>
                <w:color w:val="auto"/>
              </w:rPr>
            </w:pPr>
          </w:p>
        </w:tc>
        <w:tc>
          <w:tcPr>
            <w:tcW w:w="1020" w:type="dxa"/>
            <w:vAlign w:val="bottom"/>
            <w:shd w:val="clear" w:color="auto" w:fill="F1F2F2"/>
          </w:tcPr>
          <w:p>
            <w:pPr>
              <w:spacing w:after="0"/>
              <w:rPr>
                <w:sz w:val="6"/>
                <w:szCs w:val="6"/>
                <w:color w:val="auto"/>
              </w:rPr>
            </w:pPr>
          </w:p>
        </w:tc>
        <w:tc>
          <w:tcPr>
            <w:tcW w:w="80" w:type="dxa"/>
            <w:vAlign w:val="bottom"/>
            <w:shd w:val="clear" w:color="auto" w:fill="F1F2F2"/>
          </w:tcPr>
          <w:p>
            <w:pPr>
              <w:spacing w:after="0"/>
              <w:rPr>
                <w:sz w:val="6"/>
                <w:szCs w:val="6"/>
                <w:color w:val="auto"/>
              </w:rPr>
            </w:pPr>
          </w:p>
        </w:tc>
        <w:tc>
          <w:tcPr>
            <w:tcW w:w="680" w:type="dxa"/>
            <w:vAlign w:val="bottom"/>
            <w:shd w:val="clear" w:color="auto" w:fill="F1F2F2"/>
          </w:tcPr>
          <w:p>
            <w:pPr>
              <w:spacing w:after="0"/>
              <w:rPr>
                <w:sz w:val="6"/>
                <w:szCs w:val="6"/>
                <w:color w:val="auto"/>
              </w:rPr>
            </w:pPr>
          </w:p>
        </w:tc>
        <w:tc>
          <w:tcPr>
            <w:tcW w:w="100" w:type="dxa"/>
            <w:vAlign w:val="bottom"/>
            <w:shd w:val="clear" w:color="auto" w:fill="F1F2F2"/>
          </w:tcPr>
          <w:p>
            <w:pPr>
              <w:spacing w:after="0"/>
              <w:rPr>
                <w:sz w:val="6"/>
                <w:szCs w:val="6"/>
                <w:color w:val="auto"/>
              </w:rPr>
            </w:pPr>
          </w:p>
        </w:tc>
        <w:tc>
          <w:tcPr>
            <w:tcW w:w="1020" w:type="dxa"/>
            <w:vAlign w:val="bottom"/>
            <w:shd w:val="clear" w:color="auto" w:fill="F1F2F2"/>
          </w:tcPr>
          <w:p>
            <w:pPr>
              <w:spacing w:after="0"/>
              <w:rPr>
                <w:sz w:val="6"/>
                <w:szCs w:val="6"/>
                <w:color w:val="auto"/>
              </w:rPr>
            </w:pPr>
          </w:p>
        </w:tc>
        <w:tc>
          <w:tcPr>
            <w:tcW w:w="80" w:type="dxa"/>
            <w:vAlign w:val="bottom"/>
            <w:shd w:val="clear" w:color="auto" w:fill="F1F2F2"/>
          </w:tcPr>
          <w:p>
            <w:pPr>
              <w:spacing w:after="0"/>
              <w:rPr>
                <w:sz w:val="6"/>
                <w:szCs w:val="6"/>
                <w:color w:val="auto"/>
              </w:rPr>
            </w:pPr>
          </w:p>
        </w:tc>
        <w:tc>
          <w:tcPr>
            <w:tcW w:w="680" w:type="dxa"/>
            <w:vAlign w:val="bottom"/>
            <w:shd w:val="clear" w:color="auto" w:fill="F1F2F2"/>
          </w:tcPr>
          <w:p>
            <w:pPr>
              <w:spacing w:after="0"/>
              <w:rPr>
                <w:sz w:val="6"/>
                <w:szCs w:val="6"/>
                <w:color w:val="auto"/>
              </w:rPr>
            </w:pPr>
          </w:p>
        </w:tc>
        <w:tc>
          <w:tcPr>
            <w:tcW w:w="120" w:type="dxa"/>
            <w:vAlign w:val="bottom"/>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80" w:type="dxa"/>
            <w:vAlign w:val="bottom"/>
            <w:tcBorders>
              <w:bottom w:val="single" w:sz="8" w:color="F1F2F2"/>
            </w:tcBorders>
            <w:shd w:val="clear" w:color="auto" w:fill="F1F2F2"/>
          </w:tcPr>
          <w:p>
            <w:pPr>
              <w:spacing w:after="0"/>
              <w:rPr>
                <w:sz w:val="21"/>
                <w:szCs w:val="21"/>
                <w:color w:val="auto"/>
              </w:rPr>
            </w:pPr>
          </w:p>
        </w:tc>
        <w:tc>
          <w:tcPr>
            <w:tcW w:w="160" w:type="dxa"/>
            <w:vAlign w:val="bottom"/>
            <w:tcBorders>
              <w:bottom w:val="single" w:sz="8" w:color="F1F2F2"/>
            </w:tcBorders>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F1F2F2"/>
            </w:tcBorders>
            <w:gridSpan w:val="2"/>
            <w:shd w:val="clear" w:color="auto" w:fill="F1F2F2"/>
          </w:tcPr>
          <w:p>
            <w:pPr>
              <w:ind w:left="20"/>
              <w:spacing w:after="0"/>
              <w:rPr>
                <w:sz w:val="20"/>
                <w:szCs w:val="20"/>
                <w:color w:val="auto"/>
              </w:rPr>
            </w:pPr>
            <w:r>
              <w:rPr>
                <w:rFonts w:ascii="Arial" w:cs="Arial" w:eastAsia="Arial" w:hAnsi="Arial"/>
                <w:sz w:val="14"/>
                <w:szCs w:val="14"/>
                <w:color w:val="auto"/>
              </w:rPr>
              <w:t>2019</w:t>
            </w:r>
            <w:r>
              <w:rPr>
                <w:rFonts w:ascii="Times New Roman" w:cs="Times New Roman" w:eastAsia="Times New Roman" w:hAnsi="Times New Roman"/>
                <w:sz w:val="3"/>
                <w:szCs w:val="3"/>
                <w:color w:val="auto"/>
              </w:rPr>
              <w:t>​</w:t>
            </w:r>
          </w:p>
        </w:tc>
        <w:tc>
          <w:tcPr>
            <w:tcW w:w="80" w:type="dxa"/>
            <w:vAlign w:val="bottom"/>
            <w:tcBorders>
              <w:bottom w:val="single" w:sz="8" w:color="F1F2F2"/>
            </w:tcBorders>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655,636</w:t>
            </w:r>
          </w:p>
        </w:tc>
        <w:tc>
          <w:tcPr>
            <w:tcW w:w="100" w:type="dxa"/>
            <w:vAlign w:val="bottom"/>
            <w:tcBorders>
              <w:bottom w:val="single" w:sz="8" w:color="F1F2F2"/>
            </w:tcBorders>
            <w:shd w:val="clear" w:color="auto" w:fill="F1F2F2"/>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tcBorders>
              <w:bottom w:val="single" w:sz="8" w:color="F1F2F2"/>
            </w:tcBorders>
            <w:shd w:val="clear" w:color="auto" w:fill="F1F2F2"/>
          </w:tcPr>
          <w:p>
            <w:pPr>
              <w:jc w:val="right"/>
              <w:ind w:right="109"/>
              <w:spacing w:after="0"/>
              <w:rPr>
                <w:sz w:val="20"/>
                <w:szCs w:val="20"/>
                <w:color w:val="auto"/>
              </w:rPr>
            </w:pPr>
            <w:r>
              <w:rPr>
                <w:rFonts w:ascii="Arial" w:cs="Arial" w:eastAsia="Arial" w:hAnsi="Arial"/>
                <w:sz w:val="14"/>
                <w:szCs w:val="14"/>
                <w:color w:val="auto"/>
              </w:rPr>
              <w:t>1,147,363</w:t>
            </w:r>
          </w:p>
        </w:tc>
        <w:tc>
          <w:tcPr>
            <w:tcW w:w="80" w:type="dxa"/>
            <w:vAlign w:val="bottom"/>
            <w:tcBorders>
              <w:bottom w:val="single" w:sz="8" w:color="F1F2F2"/>
            </w:tcBorders>
            <w:shd w:val="clear" w:color="auto" w:fill="F1F2F2"/>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w w:val="99"/>
              </w:rPr>
              <w:t>1,235,919</w:t>
            </w:r>
          </w:p>
        </w:tc>
        <w:tc>
          <w:tcPr>
            <w:tcW w:w="100" w:type="dxa"/>
            <w:vAlign w:val="bottom"/>
            <w:tcBorders>
              <w:bottom w:val="single" w:sz="8" w:color="F1F2F2"/>
            </w:tcBorders>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w w:val="97"/>
              </w:rPr>
              <w:t>47,956</w:t>
            </w:r>
          </w:p>
        </w:tc>
        <w:tc>
          <w:tcPr>
            <w:tcW w:w="80" w:type="dxa"/>
            <w:vAlign w:val="bottom"/>
            <w:tcBorders>
              <w:bottom w:val="single" w:sz="8" w:color="F1F2F2"/>
            </w:tcBorders>
            <w:shd w:val="clear" w:color="auto" w:fill="F1F2F2"/>
          </w:tcPr>
          <w:p>
            <w:pPr>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tcBorders>
              <w:bottom w:val="single" w:sz="8" w:color="F1F2F2"/>
            </w:tcBorders>
            <w:gridSpan w:val="2"/>
            <w:shd w:val="clear" w:color="auto" w:fill="F1F2F2"/>
          </w:tcPr>
          <w:p>
            <w:pPr>
              <w:jc w:val="right"/>
              <w:ind w:right="91"/>
              <w:spacing w:after="0"/>
              <w:rPr>
                <w:sz w:val="20"/>
                <w:szCs w:val="20"/>
                <w:color w:val="auto"/>
              </w:rPr>
            </w:pPr>
            <w:r>
              <w:rPr>
                <w:rFonts w:ascii="Arial" w:cs="Arial" w:eastAsia="Arial" w:hAnsi="Arial"/>
                <w:sz w:val="14"/>
                <w:szCs w:val="14"/>
                <w:color w:val="auto"/>
              </w:rPr>
              <w:t>3,086,874</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shd w:val="clear" w:color="auto" w:fill="ACABC0"/>
          </w:tcPr>
          <w:p>
            <w:pPr>
              <w:ind w:left="140"/>
              <w:spacing w:after="0"/>
              <w:rPr>
                <w:sz w:val="20"/>
                <w:szCs w:val="20"/>
                <w:color w:val="auto"/>
              </w:rPr>
            </w:pPr>
            <w:r>
              <w:rPr>
                <w:rFonts w:ascii="Arial" w:cs="Arial" w:eastAsia="Arial" w:hAnsi="Arial"/>
                <w:sz w:val="14"/>
                <w:szCs w:val="14"/>
                <w:color w:val="auto"/>
              </w:rPr>
              <w:t>Jason E. Doughty</w:t>
            </w:r>
          </w:p>
        </w:tc>
        <w:tc>
          <w:tcPr>
            <w:tcW w:w="16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ACABC0"/>
          </w:tcPr>
          <w:p>
            <w:pPr>
              <w:ind w:left="20"/>
              <w:spacing w:after="0"/>
              <w:rPr>
                <w:sz w:val="20"/>
                <w:szCs w:val="20"/>
                <w:color w:val="auto"/>
              </w:rPr>
            </w:pPr>
            <w:r>
              <w:rPr>
                <w:rFonts w:ascii="Arial" w:cs="Arial" w:eastAsia="Arial" w:hAnsi="Arial"/>
                <w:sz w:val="14"/>
                <w:szCs w:val="14"/>
                <w:color w:val="auto"/>
                <w:w w:val="96"/>
              </w:rPr>
              <w:t>2021</w:t>
            </w:r>
          </w:p>
        </w:tc>
        <w:tc>
          <w:tcPr>
            <w:tcW w:w="100" w:type="dxa"/>
            <w:vAlign w:val="bottom"/>
            <w:gridSpan w:val="2"/>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660" w:type="dxa"/>
            <w:vAlign w:val="bottom"/>
            <w:shd w:val="clear" w:color="auto" w:fill="ACABC0"/>
          </w:tcPr>
          <w:p>
            <w:pPr>
              <w:jc w:val="right"/>
              <w:spacing w:after="0"/>
              <w:rPr>
                <w:sz w:val="20"/>
                <w:szCs w:val="20"/>
                <w:color w:val="auto"/>
              </w:rPr>
            </w:pPr>
            <w:r>
              <w:rPr>
                <w:rFonts w:ascii="Arial" w:cs="Arial" w:eastAsia="Arial" w:hAnsi="Arial"/>
                <w:sz w:val="14"/>
                <w:szCs w:val="14"/>
                <w:color w:val="auto"/>
              </w:rPr>
              <w:t>466,620</w:t>
            </w:r>
          </w:p>
        </w:tc>
        <w:tc>
          <w:tcPr>
            <w:tcW w:w="100" w:type="dxa"/>
            <w:vAlign w:val="bottom"/>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shd w:val="clear" w:color="auto" w:fill="ACABC0"/>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ACABC0"/>
          </w:tcPr>
          <w:p>
            <w:pPr>
              <w:jc w:val="right"/>
              <w:ind w:right="109"/>
              <w:spacing w:after="0"/>
              <w:rPr>
                <w:sz w:val="20"/>
                <w:szCs w:val="20"/>
                <w:color w:val="auto"/>
              </w:rPr>
            </w:pPr>
            <w:r>
              <w:rPr>
                <w:rFonts w:ascii="Arial" w:cs="Arial" w:eastAsia="Arial" w:hAnsi="Arial"/>
                <w:sz w:val="14"/>
                <w:szCs w:val="14"/>
                <w:color w:val="auto"/>
              </w:rPr>
              <w:t>612,438</w:t>
            </w:r>
          </w:p>
        </w:tc>
        <w:tc>
          <w:tcPr>
            <w:tcW w:w="80" w:type="dxa"/>
            <w:vAlign w:val="bottom"/>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1,482,631</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7"/>
              </w:rPr>
              <w:t>36,574</w:t>
            </w:r>
          </w:p>
        </w:tc>
        <w:tc>
          <w:tcPr>
            <w:tcW w:w="80" w:type="dxa"/>
            <w:vAlign w:val="bottom"/>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ACABC0"/>
          </w:tcPr>
          <w:p>
            <w:pPr>
              <w:jc w:val="center"/>
              <w:spacing w:after="0"/>
              <w:rPr>
                <w:sz w:val="20"/>
                <w:szCs w:val="20"/>
                <w:color w:val="auto"/>
              </w:rPr>
            </w:pPr>
            <w:r>
              <w:rPr>
                <w:rFonts w:ascii="Arial" w:cs="Arial" w:eastAsia="Arial" w:hAnsi="Arial"/>
                <w:sz w:val="14"/>
                <w:szCs w:val="14"/>
                <w:color w:val="auto"/>
              </w:rPr>
              <w:t>2,598,263</w:t>
            </w:r>
          </w:p>
        </w:tc>
        <w:tc>
          <w:tcPr>
            <w:tcW w:w="120" w:type="dxa"/>
            <w:vAlign w:val="bottom"/>
            <w:shd w:val="clear" w:color="auto" w:fill="ACABC0"/>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680" w:type="dxa"/>
            <w:vAlign w:val="bottom"/>
            <w:shd w:val="clear" w:color="auto" w:fill="ACABC0"/>
          </w:tcPr>
          <w:p>
            <w:pPr>
              <w:ind w:left="220"/>
              <w:spacing w:after="0"/>
              <w:rPr>
                <w:sz w:val="20"/>
                <w:szCs w:val="20"/>
                <w:color w:val="auto"/>
              </w:rPr>
            </w:pPr>
            <w:r>
              <w:rPr>
                <w:rFonts w:ascii="Arial" w:cs="Arial" w:eastAsia="Arial" w:hAnsi="Arial"/>
                <w:sz w:val="14"/>
                <w:szCs w:val="14"/>
                <w:color w:val="auto"/>
              </w:rPr>
              <w:t>Senior Vice President and General</w:t>
            </w:r>
          </w:p>
        </w:tc>
        <w:tc>
          <w:tcPr>
            <w:tcW w:w="16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340" w:type="dxa"/>
            <w:vAlign w:val="bottom"/>
            <w:shd w:val="clear" w:color="auto" w:fill="ACABC0"/>
          </w:tcPr>
          <w:p>
            <w:pPr>
              <w:ind w:left="20"/>
              <w:spacing w:after="0"/>
              <w:rPr>
                <w:sz w:val="20"/>
                <w:szCs w:val="20"/>
                <w:color w:val="auto"/>
              </w:rPr>
            </w:pPr>
            <w:r>
              <w:rPr>
                <w:rFonts w:ascii="Arial" w:cs="Arial" w:eastAsia="Arial" w:hAnsi="Arial"/>
                <w:sz w:val="14"/>
                <w:szCs w:val="14"/>
                <w:color w:val="auto"/>
                <w:w w:val="96"/>
              </w:rPr>
              <w:t>2020</w:t>
            </w:r>
          </w:p>
        </w:tc>
        <w:tc>
          <w:tcPr>
            <w:tcW w:w="20" w:type="dxa"/>
            <w:vAlign w:val="bottom"/>
            <w:shd w:val="clear" w:color="auto" w:fill="ACABC0"/>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shd w:val="clear" w:color="auto" w:fill="ACABC0"/>
          </w:tcPr>
          <w:p>
            <w:pPr>
              <w:jc w:val="right"/>
              <w:spacing w:after="0"/>
              <w:rPr>
                <w:sz w:val="20"/>
                <w:szCs w:val="20"/>
                <w:color w:val="auto"/>
              </w:rPr>
            </w:pPr>
            <w:r>
              <w:rPr>
                <w:rFonts w:ascii="Arial" w:cs="Arial" w:eastAsia="Arial" w:hAnsi="Arial"/>
                <w:sz w:val="14"/>
                <w:szCs w:val="14"/>
                <w:color w:val="auto"/>
              </w:rPr>
              <w:t>466,620</w:t>
            </w:r>
          </w:p>
        </w:tc>
        <w:tc>
          <w:tcPr>
            <w:tcW w:w="100" w:type="dxa"/>
            <w:vAlign w:val="bottom"/>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shd w:val="clear" w:color="auto" w:fill="ACABC0"/>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ACABC0"/>
          </w:tcPr>
          <w:p>
            <w:pPr>
              <w:jc w:val="right"/>
              <w:ind w:right="109"/>
              <w:spacing w:after="0"/>
              <w:rPr>
                <w:sz w:val="20"/>
                <w:szCs w:val="20"/>
                <w:color w:val="auto"/>
              </w:rPr>
            </w:pPr>
            <w:r>
              <w:rPr>
                <w:rFonts w:ascii="Arial" w:cs="Arial" w:eastAsia="Arial" w:hAnsi="Arial"/>
                <w:sz w:val="14"/>
                <w:szCs w:val="14"/>
                <w:color w:val="auto"/>
              </w:rPr>
              <w:t>—</w:t>
            </w:r>
          </w:p>
        </w:tc>
        <w:tc>
          <w:tcPr>
            <w:tcW w:w="80" w:type="dxa"/>
            <w:vAlign w:val="bottom"/>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1,278,182</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7"/>
              </w:rPr>
              <w:t>39,276</w:t>
            </w:r>
          </w:p>
        </w:tc>
        <w:tc>
          <w:tcPr>
            <w:tcW w:w="80" w:type="dxa"/>
            <w:vAlign w:val="bottom"/>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ACABC0"/>
          </w:tcPr>
          <w:p>
            <w:pPr>
              <w:jc w:val="center"/>
              <w:spacing w:after="0"/>
              <w:rPr>
                <w:sz w:val="20"/>
                <w:szCs w:val="20"/>
                <w:color w:val="auto"/>
              </w:rPr>
            </w:pPr>
            <w:r>
              <w:rPr>
                <w:rFonts w:ascii="Arial" w:cs="Arial" w:eastAsia="Arial" w:hAnsi="Arial"/>
                <w:sz w:val="14"/>
                <w:szCs w:val="14"/>
                <w:color w:val="auto"/>
              </w:rPr>
              <w:t>1,784,078</w:t>
            </w:r>
          </w:p>
        </w:tc>
        <w:tc>
          <w:tcPr>
            <w:tcW w:w="120" w:type="dxa"/>
            <w:vAlign w:val="bottom"/>
            <w:shd w:val="clear" w:color="auto" w:fill="ACABC0"/>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80" w:type="dxa"/>
            <w:vAlign w:val="bottom"/>
            <w:shd w:val="clear" w:color="auto" w:fill="ACABC0"/>
          </w:tcPr>
          <w:p>
            <w:pPr>
              <w:ind w:left="220"/>
              <w:spacing w:after="0" w:line="81" w:lineRule="exact"/>
              <w:rPr>
                <w:sz w:val="20"/>
                <w:szCs w:val="20"/>
                <w:color w:val="auto"/>
              </w:rPr>
            </w:pPr>
            <w:r>
              <w:rPr>
                <w:rFonts w:ascii="Arial" w:cs="Arial" w:eastAsia="Arial" w:hAnsi="Arial"/>
                <w:sz w:val="9"/>
                <w:szCs w:val="9"/>
                <w:color w:val="auto"/>
              </w:rPr>
              <w:t>Counsel</w:t>
            </w:r>
          </w:p>
        </w:tc>
        <w:tc>
          <w:tcPr>
            <w:tcW w:w="160" w:type="dxa"/>
            <w:vAlign w:val="bottom"/>
            <w:shd w:val="clear" w:color="auto" w:fill="ACABC0"/>
          </w:tcPr>
          <w:p>
            <w:pPr>
              <w:spacing w:after="0"/>
              <w:rPr>
                <w:sz w:val="6"/>
                <w:szCs w:val="6"/>
                <w:color w:val="auto"/>
              </w:rPr>
            </w:pPr>
          </w:p>
        </w:tc>
        <w:tc>
          <w:tcPr>
            <w:tcW w:w="340" w:type="dxa"/>
            <w:vAlign w:val="bottom"/>
            <w:shd w:val="clear" w:color="auto" w:fill="ACABC0"/>
          </w:tcPr>
          <w:p>
            <w:pPr>
              <w:spacing w:after="0"/>
              <w:rPr>
                <w:sz w:val="6"/>
                <w:szCs w:val="6"/>
                <w:color w:val="auto"/>
              </w:rPr>
            </w:pPr>
          </w:p>
        </w:tc>
        <w:tc>
          <w:tcPr>
            <w:tcW w:w="20" w:type="dxa"/>
            <w:vAlign w:val="bottom"/>
            <w:shd w:val="clear" w:color="auto" w:fill="ACABC0"/>
          </w:tcPr>
          <w:p>
            <w:pPr>
              <w:spacing w:after="0"/>
              <w:rPr>
                <w:sz w:val="6"/>
                <w:szCs w:val="6"/>
                <w:color w:val="auto"/>
              </w:rPr>
            </w:pPr>
          </w:p>
        </w:tc>
        <w:tc>
          <w:tcPr>
            <w:tcW w:w="80" w:type="dxa"/>
            <w:vAlign w:val="bottom"/>
            <w:shd w:val="clear" w:color="auto" w:fill="ACABC0"/>
          </w:tcPr>
          <w:p>
            <w:pPr>
              <w:spacing w:after="0"/>
              <w:rPr>
                <w:sz w:val="6"/>
                <w:szCs w:val="6"/>
                <w:color w:val="auto"/>
              </w:rPr>
            </w:pPr>
          </w:p>
        </w:tc>
        <w:tc>
          <w:tcPr>
            <w:tcW w:w="660" w:type="dxa"/>
            <w:vAlign w:val="bottom"/>
            <w:shd w:val="clear" w:color="auto" w:fill="ACABC0"/>
          </w:tcPr>
          <w:p>
            <w:pPr>
              <w:spacing w:after="0"/>
              <w:rPr>
                <w:sz w:val="6"/>
                <w:szCs w:val="6"/>
                <w:color w:val="auto"/>
              </w:rPr>
            </w:pPr>
          </w:p>
        </w:tc>
        <w:tc>
          <w:tcPr>
            <w:tcW w:w="100" w:type="dxa"/>
            <w:vAlign w:val="bottom"/>
            <w:shd w:val="clear" w:color="auto" w:fill="ACABC0"/>
          </w:tcPr>
          <w:p>
            <w:pPr>
              <w:spacing w:after="0"/>
              <w:rPr>
                <w:sz w:val="6"/>
                <w:szCs w:val="6"/>
                <w:color w:val="auto"/>
              </w:rPr>
            </w:pPr>
          </w:p>
        </w:tc>
        <w:tc>
          <w:tcPr>
            <w:tcW w:w="460" w:type="dxa"/>
            <w:vAlign w:val="bottom"/>
            <w:shd w:val="clear" w:color="auto" w:fill="ACABC0"/>
          </w:tcPr>
          <w:p>
            <w:pPr>
              <w:spacing w:after="0"/>
              <w:rPr>
                <w:sz w:val="6"/>
                <w:szCs w:val="6"/>
                <w:color w:val="auto"/>
              </w:rPr>
            </w:pPr>
          </w:p>
        </w:tc>
        <w:tc>
          <w:tcPr>
            <w:tcW w:w="100" w:type="dxa"/>
            <w:vAlign w:val="bottom"/>
            <w:shd w:val="clear" w:color="auto" w:fill="ACABC0"/>
          </w:tcPr>
          <w:p>
            <w:pPr>
              <w:spacing w:after="0"/>
              <w:rPr>
                <w:sz w:val="6"/>
                <w:szCs w:val="6"/>
                <w:color w:val="auto"/>
              </w:rPr>
            </w:pPr>
          </w:p>
        </w:tc>
        <w:tc>
          <w:tcPr>
            <w:tcW w:w="1020" w:type="dxa"/>
            <w:vAlign w:val="bottom"/>
            <w:shd w:val="clear" w:color="auto" w:fill="ACABC0"/>
          </w:tcPr>
          <w:p>
            <w:pPr>
              <w:spacing w:after="0"/>
              <w:rPr>
                <w:sz w:val="6"/>
                <w:szCs w:val="6"/>
                <w:color w:val="auto"/>
              </w:rPr>
            </w:pPr>
          </w:p>
        </w:tc>
        <w:tc>
          <w:tcPr>
            <w:tcW w:w="80" w:type="dxa"/>
            <w:vAlign w:val="bottom"/>
            <w:shd w:val="clear" w:color="auto" w:fill="ACABC0"/>
          </w:tcPr>
          <w:p>
            <w:pPr>
              <w:spacing w:after="0"/>
              <w:rPr>
                <w:sz w:val="6"/>
                <w:szCs w:val="6"/>
                <w:color w:val="auto"/>
              </w:rPr>
            </w:pPr>
          </w:p>
        </w:tc>
        <w:tc>
          <w:tcPr>
            <w:tcW w:w="680" w:type="dxa"/>
            <w:vAlign w:val="bottom"/>
            <w:shd w:val="clear" w:color="auto" w:fill="ACABC0"/>
          </w:tcPr>
          <w:p>
            <w:pPr>
              <w:spacing w:after="0"/>
              <w:rPr>
                <w:sz w:val="6"/>
                <w:szCs w:val="6"/>
                <w:color w:val="auto"/>
              </w:rPr>
            </w:pPr>
          </w:p>
        </w:tc>
        <w:tc>
          <w:tcPr>
            <w:tcW w:w="100" w:type="dxa"/>
            <w:vAlign w:val="bottom"/>
            <w:shd w:val="clear" w:color="auto" w:fill="ACABC0"/>
          </w:tcPr>
          <w:p>
            <w:pPr>
              <w:spacing w:after="0"/>
              <w:rPr>
                <w:sz w:val="6"/>
                <w:szCs w:val="6"/>
                <w:color w:val="auto"/>
              </w:rPr>
            </w:pPr>
          </w:p>
        </w:tc>
        <w:tc>
          <w:tcPr>
            <w:tcW w:w="1020" w:type="dxa"/>
            <w:vAlign w:val="bottom"/>
            <w:shd w:val="clear" w:color="auto" w:fill="ACABC0"/>
          </w:tcPr>
          <w:p>
            <w:pPr>
              <w:spacing w:after="0"/>
              <w:rPr>
                <w:sz w:val="6"/>
                <w:szCs w:val="6"/>
                <w:color w:val="auto"/>
              </w:rPr>
            </w:pPr>
          </w:p>
        </w:tc>
        <w:tc>
          <w:tcPr>
            <w:tcW w:w="80" w:type="dxa"/>
            <w:vAlign w:val="bottom"/>
            <w:shd w:val="clear" w:color="auto" w:fill="ACABC0"/>
          </w:tcPr>
          <w:p>
            <w:pPr>
              <w:spacing w:after="0"/>
              <w:rPr>
                <w:sz w:val="6"/>
                <w:szCs w:val="6"/>
                <w:color w:val="auto"/>
              </w:rPr>
            </w:pPr>
          </w:p>
        </w:tc>
        <w:tc>
          <w:tcPr>
            <w:tcW w:w="680" w:type="dxa"/>
            <w:vAlign w:val="bottom"/>
            <w:shd w:val="clear" w:color="auto" w:fill="ACABC0"/>
          </w:tcPr>
          <w:p>
            <w:pPr>
              <w:spacing w:after="0"/>
              <w:rPr>
                <w:sz w:val="6"/>
                <w:szCs w:val="6"/>
                <w:color w:val="auto"/>
              </w:rPr>
            </w:pPr>
          </w:p>
        </w:tc>
        <w:tc>
          <w:tcPr>
            <w:tcW w:w="120" w:type="dxa"/>
            <w:vAlign w:val="bottom"/>
            <w:shd w:val="clear" w:color="auto" w:fill="ACABC0"/>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80" w:type="dxa"/>
            <w:vAlign w:val="bottom"/>
            <w:shd w:val="clear" w:color="auto" w:fill="ACABC0"/>
          </w:tcPr>
          <w:p>
            <w:pPr>
              <w:spacing w:after="0"/>
              <w:rPr>
                <w:sz w:val="20"/>
                <w:szCs w:val="20"/>
                <w:color w:val="auto"/>
              </w:rPr>
            </w:pPr>
          </w:p>
        </w:tc>
        <w:tc>
          <w:tcPr>
            <w:tcW w:w="16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gridSpan w:val="2"/>
            <w:shd w:val="clear" w:color="auto" w:fill="ACABC0"/>
          </w:tcPr>
          <w:p>
            <w:pPr>
              <w:ind w:left="20"/>
              <w:spacing w:after="0"/>
              <w:rPr>
                <w:sz w:val="20"/>
                <w:szCs w:val="20"/>
                <w:color w:val="auto"/>
              </w:rPr>
            </w:pPr>
            <w:r>
              <w:rPr>
                <w:rFonts w:ascii="Arial" w:cs="Arial" w:eastAsia="Arial" w:hAnsi="Arial"/>
                <w:sz w:val="14"/>
                <w:szCs w:val="14"/>
                <w:color w:val="auto"/>
              </w:rPr>
              <w:t>2019</w:t>
            </w:r>
            <w:r>
              <w:rPr>
                <w:rFonts w:ascii="Times New Roman" w:cs="Times New Roman" w:eastAsia="Times New Roman" w:hAnsi="Times New Roman"/>
                <w:sz w:val="3"/>
                <w:szCs w:val="3"/>
                <w:color w:val="auto"/>
              </w:rPr>
              <w:t>​</w:t>
            </w:r>
          </w:p>
        </w:tc>
        <w:tc>
          <w:tcPr>
            <w:tcW w:w="8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shd w:val="clear" w:color="auto" w:fill="ACABC0"/>
          </w:tcPr>
          <w:p>
            <w:pPr>
              <w:jc w:val="right"/>
              <w:spacing w:after="0"/>
              <w:rPr>
                <w:sz w:val="20"/>
                <w:szCs w:val="20"/>
                <w:color w:val="auto"/>
              </w:rPr>
            </w:pPr>
            <w:r>
              <w:rPr>
                <w:rFonts w:ascii="Arial" w:cs="Arial" w:eastAsia="Arial" w:hAnsi="Arial"/>
                <w:sz w:val="14"/>
                <w:szCs w:val="14"/>
                <w:color w:val="auto"/>
              </w:rPr>
              <w:t>457,470</w:t>
            </w:r>
          </w:p>
        </w:tc>
        <w:tc>
          <w:tcPr>
            <w:tcW w:w="100" w:type="dxa"/>
            <w:vAlign w:val="bottom"/>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shd w:val="clear" w:color="auto" w:fill="ACABC0"/>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ACABC0"/>
          </w:tcPr>
          <w:p>
            <w:pPr>
              <w:jc w:val="right"/>
              <w:ind w:right="109"/>
              <w:spacing w:after="0"/>
              <w:rPr>
                <w:sz w:val="20"/>
                <w:szCs w:val="20"/>
                <w:color w:val="auto"/>
              </w:rPr>
            </w:pPr>
            <w:r>
              <w:rPr>
                <w:rFonts w:ascii="Arial" w:cs="Arial" w:eastAsia="Arial" w:hAnsi="Arial"/>
                <w:sz w:val="14"/>
                <w:szCs w:val="14"/>
                <w:color w:val="auto"/>
              </w:rPr>
              <w:t>514,654</w:t>
            </w:r>
          </w:p>
        </w:tc>
        <w:tc>
          <w:tcPr>
            <w:tcW w:w="80" w:type="dxa"/>
            <w:vAlign w:val="bottom"/>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780" w:type="dxa"/>
            <w:vAlign w:val="bottom"/>
            <w:gridSpan w:val="2"/>
            <w:shd w:val="clear" w:color="auto" w:fill="ACABC0"/>
          </w:tcPr>
          <w:p>
            <w:pPr>
              <w:jc w:val="right"/>
              <w:ind w:right="22"/>
              <w:spacing w:after="0"/>
              <w:rPr>
                <w:sz w:val="20"/>
                <w:szCs w:val="20"/>
                <w:color w:val="auto"/>
              </w:rPr>
            </w:pPr>
            <w:r>
              <w:rPr>
                <w:rFonts w:ascii="Arial" w:cs="Arial" w:eastAsia="Arial" w:hAnsi="Arial"/>
                <w:sz w:val="14"/>
                <w:szCs w:val="14"/>
                <w:color w:val="auto"/>
              </w:rPr>
              <w:t xml:space="preserve">888,971 </w:t>
            </w:r>
            <w:r>
              <w:rPr>
                <w:rFonts w:ascii="Times New Roman" w:cs="Times New Roman" w:eastAsia="Times New Roman" w:hAnsi="Times New Roman"/>
                <w:sz w:val="3"/>
                <w:szCs w:val="3"/>
                <w:color w:val="auto"/>
              </w:rPr>
              <w:t>​   ​</w:t>
            </w:r>
          </w:p>
        </w:tc>
        <w:tc>
          <w:tcPr>
            <w:tcW w:w="102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7"/>
              </w:rPr>
              <w:t>39,584</w:t>
            </w:r>
          </w:p>
        </w:tc>
        <w:tc>
          <w:tcPr>
            <w:tcW w:w="80" w:type="dxa"/>
            <w:vAlign w:val="bottom"/>
            <w:shd w:val="clear" w:color="auto" w:fill="ACABC0"/>
          </w:tcPr>
          <w:p>
            <w:pPr>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shd w:val="clear" w:color="auto" w:fill="ACABC0"/>
          </w:tcPr>
          <w:p>
            <w:pPr>
              <w:jc w:val="center"/>
              <w:spacing w:after="0"/>
              <w:rPr>
                <w:sz w:val="20"/>
                <w:szCs w:val="20"/>
                <w:color w:val="auto"/>
              </w:rPr>
            </w:pPr>
            <w:r>
              <w:rPr>
                <w:rFonts w:ascii="Arial" w:cs="Arial" w:eastAsia="Arial" w:hAnsi="Arial"/>
                <w:sz w:val="14"/>
                <w:szCs w:val="14"/>
                <w:color w:val="auto"/>
              </w:rPr>
              <w:t>1,900,679</w:t>
            </w:r>
          </w:p>
        </w:tc>
        <w:tc>
          <w:tcPr>
            <w:tcW w:w="120" w:type="dxa"/>
            <w:vAlign w:val="bottom"/>
            <w:shd w:val="clear" w:color="auto" w:fill="ACABC0"/>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76835</wp:posOffset>
            </wp:positionV>
            <wp:extent cx="8159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150" w:lineRule="exact"/>
        <w:rPr>
          <w:sz w:val="20"/>
          <w:szCs w:val="20"/>
          <w:color w:val="auto"/>
        </w:rPr>
      </w:pPr>
    </w:p>
    <w:p>
      <w:pPr>
        <w:ind w:left="680" w:right="619" w:hanging="354"/>
        <w:spacing w:after="0" w:line="260" w:lineRule="auto"/>
        <w:tabs>
          <w:tab w:leader="none" w:pos="6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amounts in this column reflect the actual amounts of salary paid to our named executive officers in the relevant fiscal year.</w:t>
      </w:r>
    </w:p>
    <w:p>
      <w:pPr>
        <w:spacing w:after="0" w:line="1" w:lineRule="exact"/>
        <w:rPr>
          <w:rFonts w:ascii="Arial" w:cs="Arial" w:eastAsia="Arial" w:hAnsi="Arial"/>
          <w:sz w:val="15"/>
          <w:szCs w:val="15"/>
          <w:color w:val="auto"/>
        </w:rPr>
      </w:pPr>
    </w:p>
    <w:p>
      <w:pPr>
        <w:ind w:left="680" w:right="879" w:hanging="354"/>
        <w:spacing w:after="0" w:line="260" w:lineRule="auto"/>
        <w:tabs>
          <w:tab w:leader="none" w:pos="6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Annual cash bonuses were awarded at or above target for 2021. For additional information, see “Compensation Discussion and Analysis—Analysis of 2021 Executive Compensation Decisions—Annual Cash Bonus” above.</w:t>
      </w:r>
    </w:p>
    <w:p>
      <w:pPr>
        <w:spacing w:after="0" w:line="1" w:lineRule="exact"/>
        <w:rPr>
          <w:rFonts w:ascii="Arial" w:cs="Arial" w:eastAsia="Arial" w:hAnsi="Arial"/>
          <w:sz w:val="15"/>
          <w:szCs w:val="15"/>
          <w:color w:val="auto"/>
        </w:rPr>
      </w:pPr>
    </w:p>
    <w:p>
      <w:pPr>
        <w:ind w:left="680" w:right="379" w:hanging="354"/>
        <w:spacing w:after="0" w:line="227" w:lineRule="auto"/>
        <w:tabs>
          <w:tab w:leader="none" w:pos="6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amounts in this column reflect the aggregate grant date fair values of the RSUs and PSUs granted under the LTIP in 2021 to the named executive officers, in each case, calculated in accordance with FASB ASC Topic 718, excluding the effect of estimated forfeitures. The actual value, if any, that the executives will realize for these awards is a function of the value of the underlying shares if and when these awards vest and, for PSU awards, the level of attainment of the applicable performance goal. The amounts for the PSU awards were calculated based on the probable outcome of the performance condition as of the grant date, consistent with the estimate of aggregate compensation cost to be recognized over the service period determined as of the grant date under FASB ASC Topic 718, excluding the effect of estimated forfeitures. For these amounts, see the “Grant Date Fair Value of Stock and Option Awards” column of the “2021 Grants of Plan-Based Awards” table below. The following are the values of the PSU awards as of the grant date assuming attainment of the maximum level of performance: Mr. Inglis $6,549,250, Mr. Shah $3,307,860, Mr. Ball $3,855,260, Mr. Clark $3,855,260 and Mr. Doughty $2,695,140. For additional information on how we account for equity-based compensation, see Note 12 to our consolidated financial statements in our 2021 Annual Report on Form 10-K.</w:t>
      </w:r>
    </w:p>
    <w:p>
      <w:pPr>
        <w:spacing w:after="0" w:line="21" w:lineRule="exact"/>
        <w:rPr>
          <w:rFonts w:ascii="Arial" w:cs="Arial" w:eastAsia="Arial" w:hAnsi="Arial"/>
          <w:sz w:val="15"/>
          <w:szCs w:val="15"/>
          <w:color w:val="auto"/>
        </w:rPr>
      </w:pPr>
    </w:p>
    <w:p>
      <w:pPr>
        <w:ind w:left="680" w:hanging="354"/>
        <w:spacing w:after="0"/>
        <w:tabs>
          <w:tab w:leader="none" w:pos="6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amounts reported for 2021 in this column for our named executive officers reflect the following:</w:t>
      </w:r>
    </w:p>
    <w:p>
      <w:pPr>
        <w:spacing w:after="0" w:line="41" w:lineRule="exact"/>
        <w:rPr>
          <w:rFonts w:ascii="Arial" w:cs="Arial" w:eastAsia="Arial" w:hAnsi="Arial"/>
          <w:sz w:val="15"/>
          <w:szCs w:val="15"/>
          <w:color w:val="auto"/>
        </w:rPr>
      </w:pPr>
    </w:p>
    <w:p>
      <w:pPr>
        <w:ind w:left="1040" w:right="359" w:hanging="357"/>
        <w:spacing w:after="0" w:line="237" w:lineRule="auto"/>
        <w:tabs>
          <w:tab w:leader="none" w:pos="1040" w:val="left"/>
        </w:tabs>
        <w:numPr>
          <w:ilvl w:val="1"/>
          <w:numId w:val="65"/>
        </w:numPr>
        <w:rPr>
          <w:rFonts w:ascii="Arial" w:cs="Arial" w:eastAsia="Arial" w:hAnsi="Arial"/>
          <w:sz w:val="15"/>
          <w:szCs w:val="15"/>
          <w:color w:val="auto"/>
        </w:rPr>
      </w:pPr>
      <w:r>
        <w:rPr>
          <w:rFonts w:ascii="Arial" w:cs="Arial" w:eastAsia="Arial" w:hAnsi="Arial"/>
          <w:sz w:val="15"/>
          <w:szCs w:val="15"/>
          <w:color w:val="auto"/>
        </w:rPr>
        <w:t>For Mr. Inglis, includes: (i) matching contributions under the Company’s 401(k) plan ($23,200); (ii) payment of premiums for (a) executive life insurance ($11,487), (b) executive supplemental disability income insurance ($6,542) and (c) executive long-term care insurance ($4,676); (iii) the cost of an annual executive physical ($205); and (iv) reimbursement for financial planning services ($4,883).</w:t>
      </w:r>
    </w:p>
    <w:p>
      <w:pPr>
        <w:spacing w:after="0" w:line="14" w:lineRule="exact"/>
        <w:rPr>
          <w:rFonts w:ascii="Arial" w:cs="Arial" w:eastAsia="Arial" w:hAnsi="Arial"/>
          <w:sz w:val="15"/>
          <w:szCs w:val="15"/>
          <w:color w:val="auto"/>
        </w:rPr>
      </w:pPr>
    </w:p>
    <w:p>
      <w:pPr>
        <w:ind w:left="1040" w:right="419" w:hanging="357"/>
        <w:spacing w:after="0" w:line="237" w:lineRule="auto"/>
        <w:tabs>
          <w:tab w:leader="none" w:pos="1040" w:val="left"/>
        </w:tabs>
        <w:numPr>
          <w:ilvl w:val="1"/>
          <w:numId w:val="65"/>
        </w:numPr>
        <w:rPr>
          <w:rFonts w:ascii="Arial" w:cs="Arial" w:eastAsia="Arial" w:hAnsi="Arial"/>
          <w:sz w:val="15"/>
          <w:szCs w:val="15"/>
          <w:color w:val="auto"/>
        </w:rPr>
      </w:pPr>
      <w:r>
        <w:rPr>
          <w:rFonts w:ascii="Arial" w:cs="Arial" w:eastAsia="Arial" w:hAnsi="Arial"/>
          <w:sz w:val="15"/>
          <w:szCs w:val="15"/>
          <w:color w:val="auto"/>
        </w:rPr>
        <w:t>For Mr. Shah, includes: (i) matching contributions under the Company’s 401(k) plan ($19,500); (ii) payment of premiums for (a) executive life insurance ($245), (b) executive supplemental disability income insurance ($3,130) and (c) executive long-term care insurance ($4,218); (iii) the cost of an annual executive physical ($2,706); and (iv) reimbursement for financial planning services ($5,000.)</w:t>
      </w:r>
    </w:p>
    <w:p>
      <w:pPr>
        <w:spacing w:after="0" w:line="14" w:lineRule="exact"/>
        <w:rPr>
          <w:rFonts w:ascii="Arial" w:cs="Arial" w:eastAsia="Arial" w:hAnsi="Arial"/>
          <w:sz w:val="15"/>
          <w:szCs w:val="15"/>
          <w:color w:val="auto"/>
        </w:rPr>
      </w:pPr>
    </w:p>
    <w:p>
      <w:pPr>
        <w:ind w:left="1040" w:right="519" w:hanging="357"/>
        <w:spacing w:after="0" w:line="237" w:lineRule="auto"/>
        <w:tabs>
          <w:tab w:leader="none" w:pos="1040" w:val="left"/>
        </w:tabs>
        <w:numPr>
          <w:ilvl w:val="1"/>
          <w:numId w:val="65"/>
        </w:numPr>
        <w:rPr>
          <w:rFonts w:ascii="Arial" w:cs="Arial" w:eastAsia="Arial" w:hAnsi="Arial"/>
          <w:sz w:val="15"/>
          <w:szCs w:val="15"/>
          <w:color w:val="auto"/>
        </w:rPr>
      </w:pPr>
      <w:r>
        <w:rPr>
          <w:rFonts w:ascii="Arial" w:cs="Arial" w:eastAsia="Arial" w:hAnsi="Arial"/>
          <w:sz w:val="15"/>
          <w:szCs w:val="15"/>
          <w:color w:val="auto"/>
        </w:rPr>
        <w:t>For Mr. Clark, includes: (i) matching contributions under the Company’s 401(k) plan ($23,200); (ii) payment of premiums for (a) executive life insurance ($14,858), (b) executive supplemental disability income insurance ($5,233) and (c) executive long-term care insurance ($7,017); (iii) reimbursement for financial planning services ($5,000); and (iv) Company matching contributions to our non-qualified deferred compensation plan ($37,896).</w:t>
      </w:r>
    </w:p>
    <w:p>
      <w:pPr>
        <w:spacing w:after="0" w:line="14" w:lineRule="exact"/>
        <w:rPr>
          <w:rFonts w:ascii="Arial" w:cs="Arial" w:eastAsia="Arial" w:hAnsi="Arial"/>
          <w:sz w:val="15"/>
          <w:szCs w:val="15"/>
          <w:color w:val="auto"/>
        </w:rPr>
      </w:pPr>
    </w:p>
    <w:p>
      <w:pPr>
        <w:ind w:left="1040" w:hanging="357"/>
        <w:spacing w:after="0"/>
        <w:tabs>
          <w:tab w:leader="none" w:pos="1040" w:val="left"/>
        </w:tabs>
        <w:numPr>
          <w:ilvl w:val="1"/>
          <w:numId w:val="65"/>
        </w:numPr>
        <w:rPr>
          <w:rFonts w:ascii="Arial" w:cs="Arial" w:eastAsia="Arial" w:hAnsi="Arial"/>
          <w:sz w:val="15"/>
          <w:szCs w:val="15"/>
          <w:color w:val="auto"/>
        </w:rPr>
      </w:pPr>
      <w:r>
        <w:rPr>
          <w:rFonts w:ascii="Arial" w:cs="Arial" w:eastAsia="Arial" w:hAnsi="Arial"/>
          <w:sz w:val="15"/>
          <w:szCs w:val="15"/>
          <w:color w:val="auto"/>
        </w:rPr>
        <w:t>For Mr. Ball, includes: (i) matching contributions under the Company’s 401(k) plan ($17,400); (ii) payment</w:t>
      </w:r>
    </w:p>
    <w:p>
      <w:pPr>
        <w:spacing w:after="0" w:line="104" w:lineRule="exact"/>
        <w:rPr>
          <w:sz w:val="20"/>
          <w:szCs w:val="20"/>
          <w:color w:val="auto"/>
        </w:rPr>
      </w:pPr>
    </w:p>
    <w:p>
      <w:pPr>
        <w:ind w:left="6400"/>
        <w:spacing w:after="0"/>
        <w:rPr>
          <w:sz w:val="20"/>
          <w:szCs w:val="20"/>
          <w:color w:val="auto"/>
        </w:rPr>
      </w:pPr>
      <w:r>
        <w:rPr>
          <w:rFonts w:ascii="Arial" w:cs="Arial" w:eastAsia="Arial" w:hAnsi="Arial"/>
          <w:sz w:val="23"/>
          <w:szCs w:val="23"/>
          <w:color w:val="auto"/>
        </w:rPr>
        <w:t> </w:t>
      </w:r>
    </w:p>
    <w:p>
      <w:pPr>
        <w:ind w:left="6520"/>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121285</wp:posOffset>
            </wp:positionV>
            <wp:extent cx="693801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-158750</wp:posOffset>
            </wp:positionV>
            <wp:extent cx="594995" cy="1701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4" w:name="page55"/>
    <w:bookmarkEnd w:id="54"/>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176" w:lineRule="exact"/>
        <w:rPr>
          <w:sz w:val="20"/>
          <w:szCs w:val="20"/>
          <w:color w:val="auto"/>
        </w:rPr>
      </w:pPr>
    </w:p>
    <w:p>
      <w:pPr>
        <w:ind w:left="1040" w:right="719"/>
        <w:spacing w:after="0" w:line="242" w:lineRule="auto"/>
        <w:rPr>
          <w:sz w:val="20"/>
          <w:szCs w:val="20"/>
          <w:color w:val="auto"/>
        </w:rPr>
      </w:pPr>
      <w:r>
        <w:rPr>
          <w:rFonts w:ascii="Arial" w:cs="Arial" w:eastAsia="Arial" w:hAnsi="Arial"/>
          <w:sz w:val="15"/>
          <w:szCs w:val="15"/>
          <w:color w:val="auto"/>
        </w:rPr>
        <w:t>of premiums for (a) executive life insurance ($4,235), (b) executive supplemental disability income insurance ($5,891) and (c) executive long-term care insurance ($4,217); and (iii) reimbursement for financial planning services ($5,000).</w:t>
      </w:r>
    </w:p>
    <w:p>
      <w:pPr>
        <w:spacing w:after="0" w:line="14" w:lineRule="exact"/>
        <w:rPr>
          <w:sz w:val="20"/>
          <w:szCs w:val="20"/>
          <w:color w:val="auto"/>
        </w:rPr>
      </w:pPr>
    </w:p>
    <w:p>
      <w:pPr>
        <w:ind w:left="1040" w:right="479" w:hanging="357"/>
        <w:spacing w:after="0" w:line="230" w:lineRule="auto"/>
        <w:tabs>
          <w:tab w:leader="none" w:pos="1040" w:val="left"/>
        </w:tabs>
        <w:numPr>
          <w:ilvl w:val="1"/>
          <w:numId w:val="66"/>
        </w:numPr>
        <w:rPr>
          <w:rFonts w:ascii="Arial" w:cs="Arial" w:eastAsia="Arial" w:hAnsi="Arial"/>
          <w:sz w:val="15"/>
          <w:szCs w:val="15"/>
          <w:color w:val="auto"/>
        </w:rPr>
      </w:pPr>
      <w:r>
        <w:rPr>
          <w:rFonts w:ascii="Arial" w:cs="Arial" w:eastAsia="Arial" w:hAnsi="Arial"/>
          <w:sz w:val="15"/>
          <w:szCs w:val="15"/>
          <w:color w:val="auto"/>
        </w:rPr>
        <w:t>For Mr. Doughty, includes: (i) matching contributions under the Company’s 401(k) plan ($23,200); (ii) payment of premiums for (a) executive life insurance ($1,906), (b) executive supplemental disability income insurance ($5,962) and (c) executive long-term care insurance ($4,218); and (iii) the cost of an annual executive physical</w:t>
      </w:r>
    </w:p>
    <w:p>
      <w:pPr>
        <w:ind w:left="1040"/>
        <w:spacing w:after="0"/>
        <w:rPr>
          <w:rFonts w:ascii="Arial" w:cs="Arial" w:eastAsia="Arial" w:hAnsi="Arial"/>
          <w:sz w:val="15"/>
          <w:szCs w:val="15"/>
          <w:color w:val="auto"/>
        </w:rPr>
      </w:pPr>
      <w:r>
        <w:rPr>
          <w:rFonts w:ascii="Arial" w:cs="Arial" w:eastAsia="Arial" w:hAnsi="Arial"/>
          <w:sz w:val="15"/>
          <w:szCs w:val="15"/>
          <w:color w:val="auto"/>
        </w:rPr>
        <w:t>($1,287).</w:t>
      </w:r>
    </w:p>
    <w:p>
      <w:pPr>
        <w:spacing w:after="0" w:line="27" w:lineRule="exact"/>
        <w:rPr>
          <w:rFonts w:ascii="Arial" w:cs="Arial" w:eastAsia="Arial" w:hAnsi="Arial"/>
          <w:sz w:val="15"/>
          <w:szCs w:val="15"/>
          <w:color w:val="auto"/>
        </w:rPr>
      </w:pPr>
    </w:p>
    <w:p>
      <w:pPr>
        <w:ind w:left="680" w:right="559" w:hanging="354"/>
        <w:spacing w:after="0" w:line="242" w:lineRule="auto"/>
        <w:tabs>
          <w:tab w:leader="none" w:pos="6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Mr. Shah was promoted to the position of Senior Vice President and Chief Financial Officer, effective May 11, 2020. The Compensation Committee approved an increase in base salary (from $460,000 to $550,000) and an increase in his annual bonus target (from 75% to 100% of his annual base salary), effective February 1, 2021.</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2021 Grants of Plan-Based Awards</w:t>
      </w:r>
    </w:p>
    <w:p>
      <w:pPr>
        <w:spacing w:after="0" w:line="129" w:lineRule="exact"/>
        <w:rPr>
          <w:sz w:val="20"/>
          <w:szCs w:val="20"/>
          <w:color w:val="auto"/>
        </w:rPr>
      </w:pPr>
    </w:p>
    <w:p>
      <w:pPr>
        <w:ind w:left="320" w:right="359"/>
        <w:spacing w:after="0" w:line="282" w:lineRule="auto"/>
        <w:rPr>
          <w:sz w:val="20"/>
          <w:szCs w:val="20"/>
          <w:color w:val="auto"/>
        </w:rPr>
      </w:pPr>
      <w:r>
        <w:rPr>
          <w:rFonts w:ascii="Arial" w:cs="Arial" w:eastAsia="Arial" w:hAnsi="Arial"/>
          <w:sz w:val="16"/>
          <w:szCs w:val="16"/>
          <w:color w:val="auto"/>
        </w:rPr>
        <w:t>The following table provides information on grants of plan-based awards made to our named executive officers during 2021.</w:t>
      </w:r>
    </w:p>
    <w:p>
      <w:pPr>
        <w:spacing w:after="0" w:line="117"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00" w:type="dxa"/>
            <w:vAlign w:val="bottom"/>
            <w:shd w:val="clear" w:color="auto" w:fill="717295"/>
          </w:tcPr>
          <w:p>
            <w:pPr>
              <w:spacing w:after="0"/>
              <w:rPr>
                <w:sz w:val="19"/>
                <w:szCs w:val="19"/>
                <w:color w:val="auto"/>
              </w:rPr>
            </w:pPr>
          </w:p>
        </w:tc>
        <w:tc>
          <w:tcPr>
            <w:tcW w:w="1140" w:type="dxa"/>
            <w:vAlign w:val="bottom"/>
            <w:shd w:val="clear" w:color="auto" w:fill="717295"/>
          </w:tcPr>
          <w:p>
            <w:pPr>
              <w:spacing w:after="0"/>
              <w:rPr>
                <w:sz w:val="19"/>
                <w:szCs w:val="19"/>
                <w:color w:val="auto"/>
              </w:rPr>
            </w:pPr>
          </w:p>
        </w:tc>
        <w:tc>
          <w:tcPr>
            <w:tcW w:w="120" w:type="dxa"/>
            <w:vAlign w:val="bottom"/>
            <w:shd w:val="clear" w:color="auto" w:fill="717295"/>
          </w:tcPr>
          <w:p>
            <w:pPr>
              <w:spacing w:after="0"/>
              <w:rPr>
                <w:sz w:val="19"/>
                <w:szCs w:val="19"/>
                <w:color w:val="auto"/>
              </w:rPr>
            </w:pPr>
          </w:p>
        </w:tc>
        <w:tc>
          <w:tcPr>
            <w:tcW w:w="700" w:type="dxa"/>
            <w:vAlign w:val="bottom"/>
            <w:shd w:val="clear" w:color="auto" w:fill="717295"/>
          </w:tcPr>
          <w:p>
            <w:pPr>
              <w:spacing w:after="0"/>
              <w:rPr>
                <w:sz w:val="19"/>
                <w:szCs w:val="19"/>
                <w:color w:val="auto"/>
              </w:rPr>
            </w:pPr>
          </w:p>
        </w:tc>
        <w:tc>
          <w:tcPr>
            <w:tcW w:w="640" w:type="dxa"/>
            <w:vAlign w:val="bottom"/>
            <w:shd w:val="clear" w:color="auto" w:fill="717295"/>
          </w:tcPr>
          <w:p>
            <w:pPr>
              <w:spacing w:after="0"/>
              <w:rPr>
                <w:sz w:val="19"/>
                <w:szCs w:val="19"/>
                <w:color w:val="auto"/>
              </w:rPr>
            </w:pPr>
          </w:p>
        </w:tc>
        <w:tc>
          <w:tcPr>
            <w:tcW w:w="40" w:type="dxa"/>
            <w:vAlign w:val="bottom"/>
            <w:shd w:val="clear" w:color="auto" w:fill="717295"/>
          </w:tcPr>
          <w:p>
            <w:pPr>
              <w:spacing w:after="0"/>
              <w:rPr>
                <w:sz w:val="19"/>
                <w:szCs w:val="19"/>
                <w:color w:val="auto"/>
              </w:rPr>
            </w:pPr>
          </w:p>
        </w:tc>
        <w:tc>
          <w:tcPr>
            <w:tcW w:w="1380" w:type="dxa"/>
            <w:vAlign w:val="bottom"/>
            <w:gridSpan w:val="2"/>
            <w:vMerge w:val="restart"/>
            <w:shd w:val="clear" w:color="auto" w:fill="717295"/>
          </w:tcPr>
          <w:p>
            <w:pPr>
              <w:jc w:val="center"/>
              <w:spacing w:after="0"/>
              <w:rPr>
                <w:sz w:val="20"/>
                <w:szCs w:val="20"/>
                <w:color w:val="auto"/>
              </w:rPr>
            </w:pPr>
            <w:r>
              <w:rPr>
                <w:rFonts w:ascii="Arial" w:cs="Arial" w:eastAsia="Arial" w:hAnsi="Arial"/>
                <w:sz w:val="12"/>
                <w:szCs w:val="12"/>
                <w:b w:val="1"/>
                <w:bCs w:val="1"/>
                <w:color w:val="FFFFFF"/>
              </w:rPr>
              <w:t>Estimated Future</w:t>
            </w:r>
          </w:p>
        </w:tc>
        <w:tc>
          <w:tcPr>
            <w:tcW w:w="100" w:type="dxa"/>
            <w:vAlign w:val="bottom"/>
            <w:shd w:val="clear" w:color="auto" w:fill="717295"/>
          </w:tcPr>
          <w:p>
            <w:pPr>
              <w:spacing w:after="0"/>
              <w:rPr>
                <w:sz w:val="19"/>
                <w:szCs w:val="19"/>
                <w:color w:val="auto"/>
              </w:rPr>
            </w:pPr>
          </w:p>
        </w:tc>
        <w:tc>
          <w:tcPr>
            <w:tcW w:w="720" w:type="dxa"/>
            <w:vAlign w:val="bottom"/>
            <w:shd w:val="clear" w:color="auto" w:fill="717295"/>
          </w:tcPr>
          <w:p>
            <w:pPr>
              <w:spacing w:after="0"/>
              <w:rPr>
                <w:sz w:val="19"/>
                <w:szCs w:val="19"/>
                <w:color w:val="auto"/>
              </w:rPr>
            </w:pPr>
          </w:p>
        </w:tc>
        <w:tc>
          <w:tcPr>
            <w:tcW w:w="140" w:type="dxa"/>
            <w:vAlign w:val="bottom"/>
            <w:shd w:val="clear" w:color="auto" w:fill="717295"/>
          </w:tcPr>
          <w:p>
            <w:pPr>
              <w:spacing w:after="0"/>
              <w:rPr>
                <w:sz w:val="19"/>
                <w:szCs w:val="19"/>
                <w:color w:val="auto"/>
              </w:rPr>
            </w:pPr>
          </w:p>
        </w:tc>
        <w:tc>
          <w:tcPr>
            <w:tcW w:w="620" w:type="dxa"/>
            <w:vAlign w:val="bottom"/>
            <w:shd w:val="clear" w:color="auto" w:fill="717295"/>
          </w:tcPr>
          <w:p>
            <w:pPr>
              <w:spacing w:after="0"/>
              <w:rPr>
                <w:sz w:val="19"/>
                <w:szCs w:val="19"/>
                <w:color w:val="auto"/>
              </w:rPr>
            </w:pPr>
          </w:p>
        </w:tc>
        <w:tc>
          <w:tcPr>
            <w:tcW w:w="740" w:type="dxa"/>
            <w:vAlign w:val="bottom"/>
            <w:shd w:val="clear" w:color="auto" w:fill="717295"/>
          </w:tcPr>
          <w:p>
            <w:pPr>
              <w:spacing w:after="0"/>
              <w:rPr>
                <w:sz w:val="19"/>
                <w:szCs w:val="19"/>
                <w:color w:val="auto"/>
              </w:rPr>
            </w:pPr>
          </w:p>
        </w:tc>
        <w:tc>
          <w:tcPr>
            <w:tcW w:w="80" w:type="dxa"/>
            <w:vAlign w:val="bottom"/>
            <w:shd w:val="clear" w:color="auto" w:fill="717295"/>
          </w:tcPr>
          <w:p>
            <w:pPr>
              <w:spacing w:after="0"/>
              <w:rPr>
                <w:sz w:val="19"/>
                <w:szCs w:val="19"/>
                <w:color w:val="auto"/>
              </w:rPr>
            </w:pPr>
          </w:p>
        </w:tc>
        <w:tc>
          <w:tcPr>
            <w:tcW w:w="40" w:type="dxa"/>
            <w:vAlign w:val="bottom"/>
            <w:shd w:val="clear" w:color="auto" w:fill="717295"/>
          </w:tcPr>
          <w:p>
            <w:pPr>
              <w:spacing w:after="0"/>
              <w:rPr>
                <w:sz w:val="19"/>
                <w:szCs w:val="19"/>
                <w:color w:val="auto"/>
              </w:rPr>
            </w:pPr>
          </w:p>
        </w:tc>
        <w:tc>
          <w:tcPr>
            <w:tcW w:w="660" w:type="dxa"/>
            <w:vAlign w:val="bottom"/>
            <w:shd w:val="clear" w:color="auto" w:fill="717295"/>
          </w:tcPr>
          <w:p>
            <w:pPr>
              <w:jc w:val="center"/>
              <w:spacing w:after="0"/>
              <w:rPr>
                <w:sz w:val="20"/>
                <w:szCs w:val="20"/>
                <w:color w:val="auto"/>
              </w:rPr>
            </w:pPr>
            <w:r>
              <w:rPr>
                <w:rFonts w:ascii="Arial" w:cs="Arial" w:eastAsia="Arial" w:hAnsi="Arial"/>
                <w:sz w:val="12"/>
                <w:szCs w:val="12"/>
                <w:b w:val="1"/>
                <w:bCs w:val="1"/>
                <w:color w:val="FFFFFF"/>
              </w:rPr>
              <w:t>All Other</w:t>
            </w:r>
          </w:p>
        </w:tc>
        <w:tc>
          <w:tcPr>
            <w:tcW w:w="80" w:type="dxa"/>
            <w:vAlign w:val="bottom"/>
            <w:shd w:val="clear" w:color="auto" w:fill="717295"/>
          </w:tcPr>
          <w:p>
            <w:pPr>
              <w:spacing w:after="0"/>
              <w:rPr>
                <w:sz w:val="19"/>
                <w:szCs w:val="19"/>
                <w:color w:val="auto"/>
              </w:rPr>
            </w:pPr>
          </w:p>
        </w:tc>
        <w:tc>
          <w:tcPr>
            <w:tcW w:w="920" w:type="dxa"/>
            <w:vAlign w:val="bottom"/>
            <w:shd w:val="clear" w:color="auto" w:fill="717295"/>
          </w:tcPr>
          <w:p>
            <w:pPr>
              <w:spacing w:after="0"/>
              <w:rPr>
                <w:sz w:val="19"/>
                <w:szCs w:val="19"/>
                <w:color w:val="auto"/>
              </w:rPr>
            </w:pPr>
          </w:p>
        </w:tc>
        <w:tc>
          <w:tcPr>
            <w:tcW w:w="120" w:type="dxa"/>
            <w:vAlign w:val="bottom"/>
            <w:shd w:val="clear" w:color="auto" w:fill="717295"/>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shd w:val="clear" w:color="auto" w:fill="717295"/>
          </w:tcPr>
          <w:p>
            <w:pPr>
              <w:spacing w:after="0"/>
              <w:rPr>
                <w:sz w:val="11"/>
                <w:szCs w:val="11"/>
                <w:color w:val="auto"/>
              </w:rPr>
            </w:pPr>
          </w:p>
        </w:tc>
        <w:tc>
          <w:tcPr>
            <w:tcW w:w="1140" w:type="dxa"/>
            <w:vAlign w:val="bottom"/>
            <w:shd w:val="clear" w:color="auto" w:fill="717295"/>
          </w:tcPr>
          <w:p>
            <w:pPr>
              <w:spacing w:after="0"/>
              <w:rPr>
                <w:sz w:val="11"/>
                <w:szCs w:val="11"/>
                <w:color w:val="auto"/>
              </w:rPr>
            </w:pPr>
          </w:p>
        </w:tc>
        <w:tc>
          <w:tcPr>
            <w:tcW w:w="120" w:type="dxa"/>
            <w:vAlign w:val="bottom"/>
            <w:shd w:val="clear" w:color="auto" w:fill="717295"/>
          </w:tcPr>
          <w:p>
            <w:pPr>
              <w:spacing w:after="0"/>
              <w:rPr>
                <w:sz w:val="11"/>
                <w:szCs w:val="11"/>
                <w:color w:val="auto"/>
              </w:rPr>
            </w:pPr>
          </w:p>
        </w:tc>
        <w:tc>
          <w:tcPr>
            <w:tcW w:w="700" w:type="dxa"/>
            <w:vAlign w:val="bottom"/>
            <w:shd w:val="clear" w:color="auto" w:fill="717295"/>
          </w:tcPr>
          <w:p>
            <w:pPr>
              <w:spacing w:after="0"/>
              <w:rPr>
                <w:sz w:val="11"/>
                <w:szCs w:val="11"/>
                <w:color w:val="auto"/>
              </w:rPr>
            </w:pPr>
          </w:p>
        </w:tc>
        <w:tc>
          <w:tcPr>
            <w:tcW w:w="640" w:type="dxa"/>
            <w:vAlign w:val="bottom"/>
            <w:shd w:val="clear" w:color="auto" w:fill="717295"/>
          </w:tcPr>
          <w:p>
            <w:pPr>
              <w:spacing w:after="0"/>
              <w:rPr>
                <w:sz w:val="11"/>
                <w:szCs w:val="11"/>
                <w:color w:val="auto"/>
              </w:rPr>
            </w:pPr>
          </w:p>
        </w:tc>
        <w:tc>
          <w:tcPr>
            <w:tcW w:w="40" w:type="dxa"/>
            <w:vAlign w:val="bottom"/>
            <w:shd w:val="clear" w:color="auto" w:fill="717295"/>
          </w:tcPr>
          <w:p>
            <w:pPr>
              <w:spacing w:after="0"/>
              <w:rPr>
                <w:sz w:val="11"/>
                <w:szCs w:val="11"/>
                <w:color w:val="auto"/>
              </w:rPr>
            </w:pPr>
          </w:p>
        </w:tc>
        <w:tc>
          <w:tcPr>
            <w:tcW w:w="1380" w:type="dxa"/>
            <w:vAlign w:val="bottom"/>
            <w:gridSpan w:val="2"/>
            <w:vMerge w:val="continue"/>
            <w:shd w:val="clear" w:color="auto" w:fill="717295"/>
          </w:tcPr>
          <w:p>
            <w:pPr>
              <w:spacing w:after="0"/>
              <w:rPr>
                <w:sz w:val="11"/>
                <w:szCs w:val="11"/>
                <w:color w:val="auto"/>
              </w:rPr>
            </w:pPr>
          </w:p>
        </w:tc>
        <w:tc>
          <w:tcPr>
            <w:tcW w:w="100" w:type="dxa"/>
            <w:vAlign w:val="bottom"/>
            <w:shd w:val="clear" w:color="auto" w:fill="717295"/>
          </w:tcPr>
          <w:p>
            <w:pPr>
              <w:spacing w:after="0"/>
              <w:rPr>
                <w:sz w:val="11"/>
                <w:szCs w:val="11"/>
                <w:color w:val="auto"/>
              </w:rPr>
            </w:pPr>
          </w:p>
        </w:tc>
        <w:tc>
          <w:tcPr>
            <w:tcW w:w="2220" w:type="dxa"/>
            <w:vAlign w:val="bottom"/>
            <w:gridSpan w:val="4"/>
            <w:vMerge w:val="restart"/>
            <w:shd w:val="clear" w:color="auto" w:fill="717295"/>
          </w:tcPr>
          <w:p>
            <w:pPr>
              <w:jc w:val="right"/>
              <w:ind w:right="58"/>
              <w:spacing w:after="0"/>
              <w:rPr>
                <w:sz w:val="20"/>
                <w:szCs w:val="20"/>
                <w:color w:val="auto"/>
              </w:rPr>
            </w:pPr>
            <w:r>
              <w:rPr>
                <w:rFonts w:ascii="Arial" w:cs="Arial" w:eastAsia="Arial" w:hAnsi="Arial"/>
                <w:sz w:val="12"/>
                <w:szCs w:val="12"/>
                <w:b w:val="1"/>
                <w:bCs w:val="1"/>
                <w:color w:val="FFFFFF"/>
              </w:rPr>
              <w:t>Estimated Future Payouts Under</w:t>
            </w:r>
          </w:p>
        </w:tc>
        <w:tc>
          <w:tcPr>
            <w:tcW w:w="80" w:type="dxa"/>
            <w:vAlign w:val="bottom"/>
            <w:shd w:val="clear" w:color="auto" w:fill="717295"/>
          </w:tcPr>
          <w:p>
            <w:pPr>
              <w:spacing w:after="0"/>
              <w:rPr>
                <w:sz w:val="11"/>
                <w:szCs w:val="11"/>
                <w:color w:val="auto"/>
              </w:rPr>
            </w:pPr>
          </w:p>
        </w:tc>
        <w:tc>
          <w:tcPr>
            <w:tcW w:w="40" w:type="dxa"/>
            <w:vAlign w:val="bottom"/>
            <w:shd w:val="clear" w:color="auto" w:fill="717295"/>
          </w:tcPr>
          <w:p>
            <w:pPr>
              <w:spacing w:after="0"/>
              <w:rPr>
                <w:sz w:val="11"/>
                <w:szCs w:val="11"/>
                <w:color w:val="auto"/>
              </w:rPr>
            </w:pPr>
          </w:p>
        </w:tc>
        <w:tc>
          <w:tcPr>
            <w:tcW w:w="660" w:type="dxa"/>
            <w:vAlign w:val="bottom"/>
            <w:shd w:val="clear" w:color="auto" w:fill="717295"/>
          </w:tcPr>
          <w:p>
            <w:pPr>
              <w:jc w:val="center"/>
              <w:spacing w:after="0" w:line="134" w:lineRule="exact"/>
              <w:rPr>
                <w:sz w:val="20"/>
                <w:szCs w:val="20"/>
                <w:color w:val="auto"/>
              </w:rPr>
            </w:pPr>
            <w:r>
              <w:rPr>
                <w:rFonts w:ascii="Arial" w:cs="Arial" w:eastAsia="Arial" w:hAnsi="Arial"/>
                <w:sz w:val="12"/>
                <w:szCs w:val="12"/>
                <w:b w:val="1"/>
                <w:bCs w:val="1"/>
                <w:color w:val="FFFFFF"/>
              </w:rPr>
              <w:t>Stock</w:t>
            </w:r>
          </w:p>
        </w:tc>
        <w:tc>
          <w:tcPr>
            <w:tcW w:w="80" w:type="dxa"/>
            <w:vAlign w:val="bottom"/>
            <w:shd w:val="clear" w:color="auto" w:fill="717295"/>
          </w:tcPr>
          <w:p>
            <w:pPr>
              <w:spacing w:after="0"/>
              <w:rPr>
                <w:sz w:val="11"/>
                <w:szCs w:val="11"/>
                <w:color w:val="auto"/>
              </w:rPr>
            </w:pPr>
          </w:p>
        </w:tc>
        <w:tc>
          <w:tcPr>
            <w:tcW w:w="920" w:type="dxa"/>
            <w:vAlign w:val="bottom"/>
            <w:vMerge w:val="restart"/>
            <w:shd w:val="clear" w:color="auto" w:fill="717295"/>
          </w:tcPr>
          <w:p>
            <w:pPr>
              <w:jc w:val="center"/>
              <w:spacing w:after="0"/>
              <w:rPr>
                <w:sz w:val="20"/>
                <w:szCs w:val="20"/>
                <w:color w:val="auto"/>
              </w:rPr>
            </w:pPr>
            <w:r>
              <w:rPr>
                <w:rFonts w:ascii="Arial" w:cs="Arial" w:eastAsia="Arial" w:hAnsi="Arial"/>
                <w:sz w:val="12"/>
                <w:szCs w:val="12"/>
                <w:b w:val="1"/>
                <w:bCs w:val="1"/>
                <w:color w:val="FFFFFF"/>
              </w:rPr>
              <w:t>Grant Date</w:t>
            </w:r>
          </w:p>
        </w:tc>
        <w:tc>
          <w:tcPr>
            <w:tcW w:w="120" w:type="dxa"/>
            <w:vAlign w:val="bottom"/>
            <w:shd w:val="clear" w:color="auto" w:fill="717295"/>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shd w:val="clear" w:color="auto" w:fill="717295"/>
          </w:tcPr>
          <w:p>
            <w:pPr>
              <w:spacing w:after="0"/>
              <w:rPr>
                <w:sz w:val="11"/>
                <w:szCs w:val="11"/>
                <w:color w:val="auto"/>
              </w:rPr>
            </w:pPr>
          </w:p>
        </w:tc>
        <w:tc>
          <w:tcPr>
            <w:tcW w:w="1140" w:type="dxa"/>
            <w:vAlign w:val="bottom"/>
            <w:shd w:val="clear" w:color="auto" w:fill="717295"/>
          </w:tcPr>
          <w:p>
            <w:pPr>
              <w:spacing w:after="0"/>
              <w:rPr>
                <w:sz w:val="11"/>
                <w:szCs w:val="11"/>
                <w:color w:val="auto"/>
              </w:rPr>
            </w:pPr>
          </w:p>
        </w:tc>
        <w:tc>
          <w:tcPr>
            <w:tcW w:w="120" w:type="dxa"/>
            <w:vAlign w:val="bottom"/>
            <w:shd w:val="clear" w:color="auto" w:fill="717295"/>
          </w:tcPr>
          <w:p>
            <w:pPr>
              <w:spacing w:after="0"/>
              <w:rPr>
                <w:sz w:val="11"/>
                <w:szCs w:val="11"/>
                <w:color w:val="auto"/>
              </w:rPr>
            </w:pPr>
          </w:p>
        </w:tc>
        <w:tc>
          <w:tcPr>
            <w:tcW w:w="700" w:type="dxa"/>
            <w:vAlign w:val="bottom"/>
            <w:shd w:val="clear" w:color="auto" w:fill="717295"/>
          </w:tcPr>
          <w:p>
            <w:pPr>
              <w:spacing w:after="0"/>
              <w:rPr>
                <w:sz w:val="11"/>
                <w:szCs w:val="11"/>
                <w:color w:val="auto"/>
              </w:rPr>
            </w:pPr>
          </w:p>
        </w:tc>
        <w:tc>
          <w:tcPr>
            <w:tcW w:w="640" w:type="dxa"/>
            <w:vAlign w:val="bottom"/>
            <w:shd w:val="clear" w:color="auto" w:fill="717295"/>
          </w:tcPr>
          <w:p>
            <w:pPr>
              <w:spacing w:after="0"/>
              <w:rPr>
                <w:sz w:val="11"/>
                <w:szCs w:val="11"/>
                <w:color w:val="auto"/>
              </w:rPr>
            </w:pPr>
          </w:p>
        </w:tc>
        <w:tc>
          <w:tcPr>
            <w:tcW w:w="40" w:type="dxa"/>
            <w:vAlign w:val="bottom"/>
            <w:shd w:val="clear" w:color="auto" w:fill="717295"/>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380" w:type="dxa"/>
            <w:vAlign w:val="bottom"/>
            <w:gridSpan w:val="2"/>
            <w:shd w:val="clear" w:color="auto" w:fill="717295"/>
          </w:tcPr>
          <w:p>
            <w:pPr>
              <w:jc w:val="center"/>
              <w:spacing w:after="0" w:line="134" w:lineRule="exact"/>
              <w:rPr>
                <w:sz w:val="20"/>
                <w:szCs w:val="20"/>
                <w:color w:val="auto"/>
              </w:rPr>
            </w:pPr>
            <w:r>
              <w:rPr>
                <w:rFonts w:ascii="Arial" w:cs="Arial" w:eastAsia="Arial" w:hAnsi="Arial"/>
                <w:sz w:val="12"/>
                <w:szCs w:val="12"/>
                <w:b w:val="1"/>
                <w:bCs w:val="1"/>
                <w:color w:val="FFFFFF"/>
              </w:rPr>
              <w:t>Payouts Under Non-</w:t>
            </w:r>
          </w:p>
        </w:tc>
        <w:tc>
          <w:tcPr>
            <w:tcW w:w="100" w:type="dxa"/>
            <w:vAlign w:val="bottom"/>
            <w:shd w:val="clear" w:color="auto" w:fill="717295"/>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2220" w:type="dxa"/>
            <w:vAlign w:val="bottom"/>
            <w:gridSpan w:val="4"/>
            <w:vMerge w:val="continue"/>
            <w:shd w:val="clear" w:color="auto" w:fill="717295"/>
          </w:tcPr>
          <w:p>
            <w:pPr>
              <w:spacing w:after="0"/>
              <w:rPr>
                <w:sz w:val="11"/>
                <w:szCs w:val="11"/>
                <w:color w:val="auto"/>
              </w:rPr>
            </w:pPr>
          </w:p>
        </w:tc>
        <w:tc>
          <w:tcPr>
            <w:tcW w:w="80" w:type="dxa"/>
            <w:vAlign w:val="bottom"/>
            <w:shd w:val="clear" w:color="auto" w:fill="717295"/>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717295"/>
          </w:tcPr>
          <w:p>
            <w:pPr>
              <w:spacing w:after="0"/>
              <w:rPr>
                <w:sz w:val="11"/>
                <w:szCs w:val="11"/>
                <w:color w:val="auto"/>
              </w:rPr>
            </w:pPr>
          </w:p>
        </w:tc>
        <w:tc>
          <w:tcPr>
            <w:tcW w:w="660" w:type="dxa"/>
            <w:vAlign w:val="bottom"/>
            <w:shd w:val="clear" w:color="auto" w:fill="717295"/>
          </w:tcPr>
          <w:p>
            <w:pPr>
              <w:jc w:val="center"/>
              <w:spacing w:after="0" w:line="134" w:lineRule="exact"/>
              <w:rPr>
                <w:sz w:val="20"/>
                <w:szCs w:val="20"/>
                <w:color w:val="auto"/>
              </w:rPr>
            </w:pPr>
            <w:r>
              <w:rPr>
                <w:rFonts w:ascii="Arial" w:cs="Arial" w:eastAsia="Arial" w:hAnsi="Arial"/>
                <w:sz w:val="12"/>
                <w:szCs w:val="12"/>
                <w:b w:val="1"/>
                <w:bCs w:val="1"/>
                <w:color w:val="FFFFFF"/>
              </w:rPr>
              <w:t>Awards:</w:t>
            </w:r>
          </w:p>
        </w:tc>
        <w:tc>
          <w:tcPr>
            <w:tcW w:w="80" w:type="dxa"/>
            <w:vAlign w:val="bottom"/>
            <w:shd w:val="clear" w:color="auto" w:fill="717295"/>
          </w:tcPr>
          <w:p>
            <w:pPr>
              <w:spacing w:after="0"/>
              <w:rPr>
                <w:sz w:val="11"/>
                <w:szCs w:val="11"/>
                <w:color w:val="auto"/>
              </w:rPr>
            </w:pPr>
          </w:p>
        </w:tc>
        <w:tc>
          <w:tcPr>
            <w:tcW w:w="920" w:type="dxa"/>
            <w:vAlign w:val="bottom"/>
            <w:vMerge w:val="continue"/>
            <w:shd w:val="clear" w:color="auto" w:fill="717295"/>
          </w:tcPr>
          <w:p>
            <w:pPr>
              <w:spacing w:after="0"/>
              <w:rPr>
                <w:sz w:val="11"/>
                <w:szCs w:val="11"/>
                <w:color w:val="auto"/>
              </w:rPr>
            </w:pPr>
          </w:p>
        </w:tc>
        <w:tc>
          <w:tcPr>
            <w:tcW w:w="120" w:type="dxa"/>
            <w:vAlign w:val="bottom"/>
            <w:shd w:val="clear" w:color="auto" w:fill="717295"/>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717295"/>
          </w:tcPr>
          <w:p>
            <w:pPr>
              <w:spacing w:after="0"/>
              <w:rPr>
                <w:sz w:val="11"/>
                <w:szCs w:val="11"/>
                <w:color w:val="auto"/>
              </w:rPr>
            </w:pPr>
          </w:p>
        </w:tc>
        <w:tc>
          <w:tcPr>
            <w:tcW w:w="1140" w:type="dxa"/>
            <w:vAlign w:val="bottom"/>
            <w:shd w:val="clear" w:color="auto" w:fill="717295"/>
          </w:tcPr>
          <w:p>
            <w:pPr>
              <w:spacing w:after="0"/>
              <w:rPr>
                <w:sz w:val="11"/>
                <w:szCs w:val="11"/>
                <w:color w:val="auto"/>
              </w:rPr>
            </w:pPr>
          </w:p>
        </w:tc>
        <w:tc>
          <w:tcPr>
            <w:tcW w:w="120" w:type="dxa"/>
            <w:vAlign w:val="bottom"/>
            <w:shd w:val="clear" w:color="auto" w:fill="717295"/>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shd w:val="clear" w:color="auto" w:fill="717295"/>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shd w:val="clear" w:color="auto" w:fill="717295"/>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717295"/>
          </w:tcPr>
          <w:p>
            <w:pPr>
              <w:spacing w:after="0"/>
              <w:rPr>
                <w:sz w:val="11"/>
                <w:szCs w:val="11"/>
                <w:color w:val="auto"/>
              </w:rPr>
            </w:pPr>
          </w:p>
        </w:tc>
        <w:tc>
          <w:tcPr>
            <w:tcW w:w="1380" w:type="dxa"/>
            <w:vAlign w:val="bottom"/>
            <w:gridSpan w:val="2"/>
            <w:shd w:val="clear" w:color="auto" w:fill="717295"/>
          </w:tcPr>
          <w:p>
            <w:pPr>
              <w:jc w:val="center"/>
              <w:spacing w:after="0" w:line="128" w:lineRule="exact"/>
              <w:rPr>
                <w:sz w:val="20"/>
                <w:szCs w:val="20"/>
                <w:color w:val="auto"/>
              </w:rPr>
            </w:pPr>
            <w:r>
              <w:rPr>
                <w:rFonts w:ascii="Arial" w:cs="Arial" w:eastAsia="Arial" w:hAnsi="Arial"/>
                <w:sz w:val="12"/>
                <w:szCs w:val="12"/>
                <w:b w:val="1"/>
                <w:bCs w:val="1"/>
                <w:color w:val="FFFFFF"/>
              </w:rPr>
              <w:t>Equity Incentive Plan</w:t>
            </w:r>
          </w:p>
        </w:tc>
        <w:tc>
          <w:tcPr>
            <w:tcW w:w="100" w:type="dxa"/>
            <w:vAlign w:val="bottom"/>
            <w:shd w:val="clear" w:color="auto" w:fill="717295"/>
          </w:tcPr>
          <w:p>
            <w:pPr>
              <w:spacing w:after="0"/>
              <w:rPr>
                <w:sz w:val="11"/>
                <w:szCs w:val="11"/>
                <w:color w:val="auto"/>
              </w:rPr>
            </w:pPr>
          </w:p>
        </w:tc>
        <w:tc>
          <w:tcPr>
            <w:tcW w:w="2220" w:type="dxa"/>
            <w:vAlign w:val="bottom"/>
            <w:gridSpan w:val="4"/>
            <w:shd w:val="clear" w:color="auto" w:fill="717295"/>
          </w:tcPr>
          <w:p>
            <w:pPr>
              <w:jc w:val="right"/>
              <w:ind w:right="398"/>
              <w:spacing w:after="0" w:line="128" w:lineRule="exact"/>
              <w:rPr>
                <w:sz w:val="20"/>
                <w:szCs w:val="20"/>
                <w:color w:val="auto"/>
              </w:rPr>
            </w:pPr>
            <w:r>
              <w:rPr>
                <w:rFonts w:ascii="Arial" w:cs="Arial" w:eastAsia="Arial" w:hAnsi="Arial"/>
                <w:sz w:val="12"/>
                <w:szCs w:val="12"/>
                <w:b w:val="1"/>
                <w:bCs w:val="1"/>
                <w:color w:val="FFFFFF"/>
              </w:rPr>
              <w:t>Equity Incentive Plan</w:t>
            </w:r>
          </w:p>
        </w:tc>
        <w:tc>
          <w:tcPr>
            <w:tcW w:w="80" w:type="dxa"/>
            <w:vAlign w:val="bottom"/>
            <w:shd w:val="clear" w:color="auto" w:fill="717295"/>
          </w:tcPr>
          <w:p>
            <w:pPr>
              <w:spacing w:after="0"/>
              <w:rPr>
                <w:sz w:val="11"/>
                <w:szCs w:val="11"/>
                <w:color w:val="auto"/>
              </w:rPr>
            </w:pPr>
          </w:p>
        </w:tc>
        <w:tc>
          <w:tcPr>
            <w:tcW w:w="40" w:type="dxa"/>
            <w:vAlign w:val="bottom"/>
            <w:shd w:val="clear" w:color="auto" w:fill="717295"/>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740" w:type="dxa"/>
            <w:vAlign w:val="bottom"/>
            <w:gridSpan w:val="2"/>
            <w:shd w:val="clear" w:color="auto" w:fill="717295"/>
          </w:tcPr>
          <w:p>
            <w:pPr>
              <w:jc w:val="right"/>
              <w:ind w:right="2"/>
              <w:spacing w:after="0" w:line="128" w:lineRule="exact"/>
              <w:rPr>
                <w:sz w:val="20"/>
                <w:szCs w:val="20"/>
                <w:color w:val="auto"/>
              </w:rPr>
            </w:pPr>
            <w:r>
              <w:rPr>
                <w:rFonts w:ascii="Arial" w:cs="Arial" w:eastAsia="Arial" w:hAnsi="Arial"/>
                <w:sz w:val="12"/>
                <w:szCs w:val="12"/>
                <w:b w:val="1"/>
                <w:bCs w:val="1"/>
                <w:color w:val="FFFFFF"/>
              </w:rPr>
              <w:t xml:space="preserve">Number of </w:t>
            </w:r>
            <w:r>
              <w:rPr>
                <w:rFonts w:ascii="Times New Roman" w:cs="Times New Roman" w:eastAsia="Times New Roman" w:hAnsi="Times New Roman"/>
                <w:sz w:val="3"/>
                <w:szCs w:val="3"/>
                <w:color w:val="000000"/>
              </w:rPr>
              <w:t>​ ​</w:t>
            </w:r>
          </w:p>
        </w:tc>
        <w:tc>
          <w:tcPr>
            <w:tcW w:w="920" w:type="dxa"/>
            <w:vAlign w:val="bottom"/>
            <w:shd w:val="clear" w:color="auto" w:fill="717295"/>
          </w:tcPr>
          <w:p>
            <w:pPr>
              <w:jc w:val="center"/>
              <w:spacing w:after="0" w:line="128" w:lineRule="exact"/>
              <w:rPr>
                <w:sz w:val="20"/>
                <w:szCs w:val="20"/>
                <w:color w:val="auto"/>
              </w:rPr>
            </w:pPr>
            <w:r>
              <w:rPr>
                <w:rFonts w:ascii="Arial" w:cs="Arial" w:eastAsia="Arial" w:hAnsi="Arial"/>
                <w:sz w:val="12"/>
                <w:szCs w:val="12"/>
                <w:b w:val="1"/>
                <w:bCs w:val="1"/>
                <w:color w:val="FFFFFF"/>
              </w:rPr>
              <w:t>Fair Value</w:t>
            </w:r>
          </w:p>
        </w:tc>
        <w:tc>
          <w:tcPr>
            <w:tcW w:w="120" w:type="dxa"/>
            <w:vAlign w:val="bottom"/>
            <w:shd w:val="clear" w:color="auto" w:fill="717295"/>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shd w:val="clear" w:color="auto" w:fill="717295"/>
          </w:tcPr>
          <w:p>
            <w:pPr>
              <w:spacing w:after="0"/>
              <w:rPr>
                <w:sz w:val="12"/>
                <w:szCs w:val="12"/>
                <w:color w:val="auto"/>
              </w:rPr>
            </w:pPr>
          </w:p>
        </w:tc>
        <w:tc>
          <w:tcPr>
            <w:tcW w:w="1140" w:type="dxa"/>
            <w:vAlign w:val="bottom"/>
            <w:shd w:val="clear" w:color="auto" w:fill="717295"/>
          </w:tcPr>
          <w:p>
            <w:pPr>
              <w:spacing w:after="0"/>
              <w:rPr>
                <w:sz w:val="12"/>
                <w:szCs w:val="12"/>
                <w:color w:val="auto"/>
              </w:rPr>
            </w:pPr>
          </w:p>
        </w:tc>
        <w:tc>
          <w:tcPr>
            <w:tcW w:w="120" w:type="dxa"/>
            <w:vAlign w:val="bottom"/>
            <w:shd w:val="clear" w:color="auto" w:fill="717295"/>
          </w:tcPr>
          <w:p>
            <w:pPr>
              <w:spacing w:after="0"/>
              <w:rPr>
                <w:sz w:val="12"/>
                <w:szCs w:val="12"/>
                <w:color w:val="auto"/>
              </w:rPr>
            </w:pPr>
          </w:p>
        </w:tc>
        <w:tc>
          <w:tcPr>
            <w:tcW w:w="700" w:type="dxa"/>
            <w:vAlign w:val="bottom"/>
            <w:shd w:val="clear" w:color="auto" w:fill="717295"/>
          </w:tcPr>
          <w:p>
            <w:pPr>
              <w:spacing w:after="0"/>
              <w:rPr>
                <w:sz w:val="12"/>
                <w:szCs w:val="12"/>
                <w:color w:val="auto"/>
              </w:rPr>
            </w:pPr>
          </w:p>
        </w:tc>
        <w:tc>
          <w:tcPr>
            <w:tcW w:w="640" w:type="dxa"/>
            <w:vAlign w:val="bottom"/>
            <w:shd w:val="clear" w:color="auto" w:fill="717295"/>
          </w:tcPr>
          <w:p>
            <w:pPr>
              <w:jc w:val="center"/>
              <w:spacing w:after="0"/>
              <w:rPr>
                <w:sz w:val="20"/>
                <w:szCs w:val="20"/>
                <w:color w:val="auto"/>
              </w:rPr>
            </w:pPr>
            <w:r>
              <w:rPr>
                <w:rFonts w:ascii="Arial" w:cs="Arial" w:eastAsia="Arial" w:hAnsi="Arial"/>
                <w:sz w:val="12"/>
                <w:szCs w:val="12"/>
                <w:b w:val="1"/>
                <w:bCs w:val="1"/>
                <w:color w:val="FFFFFF"/>
              </w:rPr>
              <w:t>Approval</w:t>
            </w:r>
          </w:p>
        </w:tc>
        <w:tc>
          <w:tcPr>
            <w:tcW w:w="40" w:type="dxa"/>
            <w:vAlign w:val="bottom"/>
            <w:shd w:val="clear" w:color="auto" w:fill="717295"/>
          </w:tcPr>
          <w:p>
            <w:pPr>
              <w:spacing w:after="0"/>
              <w:rPr>
                <w:sz w:val="12"/>
                <w:szCs w:val="12"/>
                <w:color w:val="auto"/>
              </w:rPr>
            </w:pPr>
          </w:p>
        </w:tc>
        <w:tc>
          <w:tcPr>
            <w:tcW w:w="1380" w:type="dxa"/>
            <w:vAlign w:val="bottom"/>
            <w:gridSpan w:val="2"/>
            <w:shd w:val="clear" w:color="auto" w:fill="717295"/>
          </w:tcPr>
          <w:p>
            <w:pPr>
              <w:jc w:val="center"/>
              <w:spacing w:after="0" w:line="140"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(1)</w:t>
            </w:r>
          </w:p>
        </w:tc>
        <w:tc>
          <w:tcPr>
            <w:tcW w:w="100" w:type="dxa"/>
            <w:vAlign w:val="bottom"/>
            <w:shd w:val="clear" w:color="auto" w:fill="717295"/>
          </w:tcPr>
          <w:p>
            <w:pPr>
              <w:spacing w:after="0"/>
              <w:rPr>
                <w:sz w:val="12"/>
                <w:szCs w:val="12"/>
                <w:color w:val="auto"/>
              </w:rPr>
            </w:pPr>
          </w:p>
        </w:tc>
        <w:tc>
          <w:tcPr>
            <w:tcW w:w="720" w:type="dxa"/>
            <w:vAlign w:val="bottom"/>
            <w:shd w:val="clear" w:color="auto" w:fill="717295"/>
          </w:tcPr>
          <w:p>
            <w:pPr>
              <w:spacing w:after="0"/>
              <w:rPr>
                <w:sz w:val="12"/>
                <w:szCs w:val="12"/>
                <w:color w:val="auto"/>
              </w:rPr>
            </w:pPr>
          </w:p>
        </w:tc>
        <w:tc>
          <w:tcPr>
            <w:tcW w:w="140" w:type="dxa"/>
            <w:vAlign w:val="bottom"/>
            <w:shd w:val="clear" w:color="auto" w:fill="717295"/>
          </w:tcPr>
          <w:p>
            <w:pPr>
              <w:spacing w:after="0"/>
              <w:rPr>
                <w:sz w:val="12"/>
                <w:szCs w:val="12"/>
                <w:color w:val="auto"/>
              </w:rPr>
            </w:pPr>
          </w:p>
        </w:tc>
        <w:tc>
          <w:tcPr>
            <w:tcW w:w="620" w:type="dxa"/>
            <w:vAlign w:val="bottom"/>
            <w:shd w:val="clear" w:color="auto" w:fill="717295"/>
          </w:tcPr>
          <w:p>
            <w:pPr>
              <w:jc w:val="right"/>
              <w:spacing w:after="0" w:line="140"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(2)</w:t>
            </w:r>
          </w:p>
        </w:tc>
        <w:tc>
          <w:tcPr>
            <w:tcW w:w="740" w:type="dxa"/>
            <w:vAlign w:val="bottom"/>
            <w:shd w:val="clear" w:color="auto" w:fill="717295"/>
          </w:tcPr>
          <w:p>
            <w:pPr>
              <w:spacing w:after="0"/>
              <w:rPr>
                <w:sz w:val="12"/>
                <w:szCs w:val="12"/>
                <w:color w:val="auto"/>
              </w:rPr>
            </w:pPr>
          </w:p>
        </w:tc>
        <w:tc>
          <w:tcPr>
            <w:tcW w:w="80" w:type="dxa"/>
            <w:vAlign w:val="bottom"/>
            <w:shd w:val="clear" w:color="auto" w:fill="717295"/>
          </w:tcPr>
          <w:p>
            <w:pPr>
              <w:spacing w:after="0"/>
              <w:rPr>
                <w:sz w:val="12"/>
                <w:szCs w:val="12"/>
                <w:color w:val="auto"/>
              </w:rPr>
            </w:pPr>
          </w:p>
        </w:tc>
        <w:tc>
          <w:tcPr>
            <w:tcW w:w="40" w:type="dxa"/>
            <w:vAlign w:val="bottom"/>
            <w:shd w:val="clear" w:color="auto" w:fill="717295"/>
          </w:tcPr>
          <w:p>
            <w:pPr>
              <w:spacing w:after="0"/>
              <w:rPr>
                <w:sz w:val="12"/>
                <w:szCs w:val="12"/>
                <w:color w:val="auto"/>
              </w:rPr>
            </w:pPr>
          </w:p>
        </w:tc>
        <w:tc>
          <w:tcPr>
            <w:tcW w:w="660" w:type="dxa"/>
            <w:vAlign w:val="bottom"/>
            <w:shd w:val="clear" w:color="auto" w:fill="717295"/>
          </w:tcPr>
          <w:p>
            <w:pPr>
              <w:jc w:val="center"/>
              <w:spacing w:after="0"/>
              <w:rPr>
                <w:sz w:val="20"/>
                <w:szCs w:val="20"/>
                <w:color w:val="auto"/>
              </w:rPr>
            </w:pPr>
            <w:r>
              <w:rPr>
                <w:rFonts w:ascii="Arial" w:cs="Arial" w:eastAsia="Arial" w:hAnsi="Arial"/>
                <w:sz w:val="12"/>
                <w:szCs w:val="12"/>
                <w:b w:val="1"/>
                <w:bCs w:val="1"/>
                <w:color w:val="FFFFFF"/>
              </w:rPr>
              <w:t>Shares of</w:t>
            </w:r>
          </w:p>
        </w:tc>
        <w:tc>
          <w:tcPr>
            <w:tcW w:w="80" w:type="dxa"/>
            <w:vAlign w:val="bottom"/>
            <w:shd w:val="clear" w:color="auto" w:fill="717295"/>
          </w:tcPr>
          <w:p>
            <w:pPr>
              <w:spacing w:after="0"/>
              <w:rPr>
                <w:sz w:val="12"/>
                <w:szCs w:val="12"/>
                <w:color w:val="auto"/>
              </w:rPr>
            </w:pPr>
          </w:p>
        </w:tc>
        <w:tc>
          <w:tcPr>
            <w:tcW w:w="920" w:type="dxa"/>
            <w:vAlign w:val="bottom"/>
            <w:shd w:val="clear" w:color="auto" w:fill="717295"/>
          </w:tcPr>
          <w:p>
            <w:pPr>
              <w:jc w:val="center"/>
              <w:spacing w:after="0"/>
              <w:rPr>
                <w:sz w:val="20"/>
                <w:szCs w:val="20"/>
                <w:color w:val="auto"/>
              </w:rPr>
            </w:pPr>
            <w:r>
              <w:rPr>
                <w:rFonts w:ascii="Arial" w:cs="Arial" w:eastAsia="Arial" w:hAnsi="Arial"/>
                <w:sz w:val="12"/>
                <w:szCs w:val="12"/>
                <w:b w:val="1"/>
                <w:bCs w:val="1"/>
                <w:color w:val="FFFFFF"/>
              </w:rPr>
              <w:t>of Stock and</w:t>
            </w:r>
          </w:p>
        </w:tc>
        <w:tc>
          <w:tcPr>
            <w:tcW w:w="120" w:type="dxa"/>
            <w:vAlign w:val="bottom"/>
            <w:shd w:val="clear" w:color="auto" w:fill="717295"/>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shd w:val="clear" w:color="auto" w:fill="717295"/>
          </w:tcPr>
          <w:p>
            <w:pPr>
              <w:spacing w:after="0"/>
              <w:rPr>
                <w:sz w:val="11"/>
                <w:szCs w:val="11"/>
                <w:color w:val="auto"/>
              </w:rPr>
            </w:pPr>
          </w:p>
        </w:tc>
        <w:tc>
          <w:tcPr>
            <w:tcW w:w="1140" w:type="dxa"/>
            <w:vAlign w:val="bottom"/>
            <w:vMerge w:val="restart"/>
            <w:shd w:val="clear" w:color="auto" w:fill="717295"/>
          </w:tcPr>
          <w:p>
            <w:pPr>
              <w:ind w:left="40"/>
              <w:spacing w:after="0"/>
              <w:rPr>
                <w:sz w:val="20"/>
                <w:szCs w:val="20"/>
                <w:color w:val="auto"/>
              </w:rPr>
            </w:pPr>
            <w:r>
              <w:rPr>
                <w:rFonts w:ascii="Arial" w:cs="Arial" w:eastAsia="Arial" w:hAnsi="Arial"/>
                <w:sz w:val="12"/>
                <w:szCs w:val="12"/>
                <w:b w:val="1"/>
                <w:bCs w:val="1"/>
                <w:color w:val="FFFFFF"/>
              </w:rPr>
              <w:t>Name</w:t>
            </w:r>
          </w:p>
        </w:tc>
        <w:tc>
          <w:tcPr>
            <w:tcW w:w="120" w:type="dxa"/>
            <w:vAlign w:val="bottom"/>
            <w:shd w:val="clear" w:color="auto" w:fill="717295"/>
          </w:tcPr>
          <w:p>
            <w:pPr>
              <w:spacing w:after="0"/>
              <w:rPr>
                <w:sz w:val="11"/>
                <w:szCs w:val="11"/>
                <w:color w:val="auto"/>
              </w:rPr>
            </w:pPr>
          </w:p>
        </w:tc>
        <w:tc>
          <w:tcPr>
            <w:tcW w:w="700" w:type="dxa"/>
            <w:vAlign w:val="bottom"/>
            <w:vMerge w:val="restart"/>
            <w:shd w:val="clear" w:color="auto" w:fill="717295"/>
          </w:tcPr>
          <w:p>
            <w:pPr>
              <w:jc w:val="right"/>
              <w:spacing w:after="0"/>
              <w:rPr>
                <w:sz w:val="20"/>
                <w:szCs w:val="20"/>
                <w:color w:val="auto"/>
              </w:rPr>
            </w:pPr>
            <w:r>
              <w:rPr>
                <w:rFonts w:ascii="Arial" w:cs="Arial" w:eastAsia="Arial" w:hAnsi="Arial"/>
                <w:sz w:val="12"/>
                <w:szCs w:val="12"/>
                <w:b w:val="1"/>
                <w:bCs w:val="1"/>
                <w:color w:val="FFFFFF"/>
              </w:rPr>
              <w:t>Grant Date</w:t>
            </w:r>
          </w:p>
        </w:tc>
        <w:tc>
          <w:tcPr>
            <w:tcW w:w="640" w:type="dxa"/>
            <w:vAlign w:val="bottom"/>
            <w:shd w:val="clear" w:color="auto" w:fill="717295"/>
          </w:tcPr>
          <w:p>
            <w:pPr>
              <w:jc w:val="center"/>
              <w:spacing w:after="0" w:line="128" w:lineRule="exact"/>
              <w:rPr>
                <w:sz w:val="20"/>
                <w:szCs w:val="20"/>
                <w:color w:val="auto"/>
              </w:rPr>
            </w:pPr>
            <w:r>
              <w:rPr>
                <w:rFonts w:ascii="Arial" w:cs="Arial" w:eastAsia="Arial" w:hAnsi="Arial"/>
                <w:sz w:val="12"/>
                <w:szCs w:val="12"/>
                <w:b w:val="1"/>
                <w:bCs w:val="1"/>
                <w:color w:val="FFFFFF"/>
              </w:rPr>
              <w:t>Effective</w:t>
            </w:r>
          </w:p>
        </w:tc>
        <w:tc>
          <w:tcPr>
            <w:tcW w:w="40" w:type="dxa"/>
            <w:vAlign w:val="bottom"/>
            <w:shd w:val="clear" w:color="auto" w:fill="717295"/>
          </w:tcPr>
          <w:p>
            <w:pPr>
              <w:spacing w:after="0"/>
              <w:rPr>
                <w:sz w:val="11"/>
                <w:szCs w:val="11"/>
                <w:color w:val="auto"/>
              </w:rPr>
            </w:pPr>
          </w:p>
        </w:tc>
        <w:tc>
          <w:tcPr>
            <w:tcW w:w="620" w:type="dxa"/>
            <w:vAlign w:val="bottom"/>
            <w:vMerge w:val="restart"/>
            <w:shd w:val="clear" w:color="auto" w:fill="717295"/>
          </w:tcPr>
          <w:p>
            <w:pPr>
              <w:jc w:val="right"/>
              <w:spacing w:after="0"/>
              <w:rPr>
                <w:sz w:val="20"/>
                <w:szCs w:val="20"/>
                <w:color w:val="auto"/>
              </w:rPr>
            </w:pPr>
            <w:r>
              <w:rPr>
                <w:rFonts w:ascii="Arial" w:cs="Arial" w:eastAsia="Arial" w:hAnsi="Arial"/>
                <w:sz w:val="12"/>
                <w:szCs w:val="12"/>
                <w:b w:val="1"/>
                <w:bCs w:val="1"/>
                <w:color w:val="FFFFFF"/>
                <w:shd w:val="clear" w:color="auto" w:fill="717295"/>
              </w:rPr>
              <w:t>Target ($)</w:t>
            </w:r>
            <w:r>
              <w:rPr>
                <w:rFonts w:ascii="Times New Roman" w:cs="Times New Roman" w:eastAsia="Times New Roman" w:hAnsi="Times New Roman"/>
                <w:sz w:val="3"/>
                <w:szCs w:val="3"/>
                <w:color w:val="000000"/>
                <w:shd w:val="clear" w:color="auto" w:fill="717295"/>
              </w:rPr>
              <w:t>​ ​</w:t>
            </w:r>
          </w:p>
        </w:tc>
        <w:tc>
          <w:tcPr>
            <w:tcW w:w="860" w:type="dxa"/>
            <w:vAlign w:val="bottom"/>
            <w:gridSpan w:val="2"/>
            <w:vMerge w:val="restart"/>
            <w:shd w:val="clear" w:color="auto" w:fill="717295"/>
          </w:tcPr>
          <w:p>
            <w:pPr>
              <w:jc w:val="right"/>
              <w:ind w:right="2"/>
              <w:spacing w:after="0"/>
              <w:rPr>
                <w:sz w:val="20"/>
                <w:szCs w:val="20"/>
                <w:color w:val="auto"/>
              </w:rPr>
            </w:pPr>
            <w:r>
              <w:rPr>
                <w:rFonts w:ascii="Arial" w:cs="Arial" w:eastAsia="Arial" w:hAnsi="Arial"/>
                <w:sz w:val="12"/>
                <w:szCs w:val="12"/>
                <w:b w:val="1"/>
                <w:bCs w:val="1"/>
                <w:color w:val="FFFFFF"/>
                <w:shd w:val="clear" w:color="auto" w:fill="717295"/>
              </w:rPr>
              <w:t xml:space="preserve">Maximum ($) </w:t>
            </w:r>
            <w:r>
              <w:rPr>
                <w:rFonts w:ascii="Times New Roman" w:cs="Times New Roman" w:eastAsia="Times New Roman" w:hAnsi="Times New Roman"/>
                <w:sz w:val="3"/>
                <w:szCs w:val="3"/>
                <w:color w:val="000000"/>
                <w:shd w:val="clear" w:color="auto" w:fill="717295"/>
              </w:rPr>
              <w:t>​ ​</w:t>
            </w:r>
          </w:p>
        </w:tc>
        <w:tc>
          <w:tcPr>
            <w:tcW w:w="860" w:type="dxa"/>
            <w:vAlign w:val="bottom"/>
            <w:gridSpan w:val="2"/>
            <w:vMerge w:val="restart"/>
            <w:shd w:val="clear" w:color="auto" w:fill="717295"/>
          </w:tcPr>
          <w:p>
            <w:pPr>
              <w:jc w:val="right"/>
              <w:spacing w:after="0"/>
              <w:rPr>
                <w:sz w:val="20"/>
                <w:szCs w:val="20"/>
                <w:color w:val="auto"/>
              </w:rPr>
            </w:pPr>
            <w:r>
              <w:rPr>
                <w:rFonts w:ascii="Arial" w:cs="Arial" w:eastAsia="Arial" w:hAnsi="Arial"/>
                <w:sz w:val="12"/>
                <w:szCs w:val="12"/>
                <w:b w:val="1"/>
                <w:bCs w:val="1"/>
                <w:color w:val="FFFFFF"/>
                <w:shd w:val="clear" w:color="auto" w:fill="717295"/>
              </w:rPr>
              <w:t>Threshold (#)</w:t>
            </w:r>
            <w:r>
              <w:rPr>
                <w:rFonts w:ascii="Times New Roman" w:cs="Times New Roman" w:eastAsia="Times New Roman" w:hAnsi="Times New Roman"/>
                <w:sz w:val="3"/>
                <w:szCs w:val="3"/>
                <w:color w:val="000000"/>
                <w:shd w:val="clear" w:color="auto" w:fill="717295"/>
              </w:rPr>
              <w:t>​ ​</w:t>
            </w:r>
          </w:p>
        </w:tc>
        <w:tc>
          <w:tcPr>
            <w:tcW w:w="620" w:type="dxa"/>
            <w:vAlign w:val="bottom"/>
            <w:vMerge w:val="restart"/>
            <w:shd w:val="clear" w:color="auto" w:fill="717295"/>
          </w:tcPr>
          <w:p>
            <w:pPr>
              <w:jc w:val="right"/>
              <w:spacing w:after="0"/>
              <w:rPr>
                <w:sz w:val="20"/>
                <w:szCs w:val="20"/>
                <w:color w:val="auto"/>
              </w:rPr>
            </w:pPr>
            <w:r>
              <w:rPr>
                <w:rFonts w:ascii="Arial" w:cs="Arial" w:eastAsia="Arial" w:hAnsi="Arial"/>
                <w:sz w:val="12"/>
                <w:szCs w:val="12"/>
                <w:b w:val="1"/>
                <w:bCs w:val="1"/>
                <w:color w:val="FFFFFF"/>
                <w:shd w:val="clear" w:color="auto" w:fill="717295"/>
              </w:rPr>
              <w:t>Target (#)</w:t>
            </w:r>
            <w:r>
              <w:rPr>
                <w:rFonts w:ascii="Times New Roman" w:cs="Times New Roman" w:eastAsia="Times New Roman" w:hAnsi="Times New Roman"/>
                <w:sz w:val="3"/>
                <w:szCs w:val="3"/>
                <w:color w:val="000000"/>
                <w:shd w:val="clear" w:color="auto" w:fill="717295"/>
              </w:rPr>
              <w:t>​ ​</w:t>
            </w:r>
          </w:p>
        </w:tc>
        <w:tc>
          <w:tcPr>
            <w:tcW w:w="820" w:type="dxa"/>
            <w:vAlign w:val="bottom"/>
            <w:gridSpan w:val="2"/>
            <w:vMerge w:val="restart"/>
            <w:shd w:val="clear" w:color="auto" w:fill="717295"/>
          </w:tcPr>
          <w:p>
            <w:pPr>
              <w:jc w:val="right"/>
              <w:spacing w:after="0"/>
              <w:rPr>
                <w:sz w:val="20"/>
                <w:szCs w:val="20"/>
                <w:color w:val="auto"/>
              </w:rPr>
            </w:pPr>
            <w:r>
              <w:rPr>
                <w:rFonts w:ascii="Arial" w:cs="Arial" w:eastAsia="Arial" w:hAnsi="Arial"/>
                <w:sz w:val="12"/>
                <w:szCs w:val="12"/>
                <w:b w:val="1"/>
                <w:bCs w:val="1"/>
                <w:color w:val="FFFFFF"/>
                <w:shd w:val="clear" w:color="auto" w:fill="717295"/>
              </w:rPr>
              <w:t xml:space="preserve">Maximum (#) </w:t>
            </w:r>
            <w:r>
              <w:rPr>
                <w:rFonts w:ascii="Times New Roman" w:cs="Times New Roman" w:eastAsia="Times New Roman" w:hAnsi="Times New Roman"/>
                <w:sz w:val="3"/>
                <w:szCs w:val="3"/>
                <w:color w:val="000000"/>
                <w:shd w:val="clear" w:color="auto" w:fill="717295"/>
              </w:rPr>
              <w:t>​</w:t>
            </w:r>
          </w:p>
        </w:tc>
        <w:tc>
          <w:tcPr>
            <w:tcW w:w="40" w:type="dxa"/>
            <w:vAlign w:val="bottom"/>
            <w:shd w:val="clear" w:color="auto" w:fill="717295"/>
          </w:tcPr>
          <w:p>
            <w:pPr>
              <w:spacing w:after="0"/>
              <w:rPr>
                <w:sz w:val="11"/>
                <w:szCs w:val="11"/>
                <w:color w:val="auto"/>
              </w:rPr>
            </w:pPr>
          </w:p>
        </w:tc>
        <w:tc>
          <w:tcPr>
            <w:tcW w:w="660" w:type="dxa"/>
            <w:vAlign w:val="bottom"/>
            <w:shd w:val="clear" w:color="auto" w:fill="717295"/>
          </w:tcPr>
          <w:p>
            <w:pPr>
              <w:jc w:val="center"/>
              <w:spacing w:after="0" w:line="128" w:lineRule="exact"/>
              <w:rPr>
                <w:sz w:val="20"/>
                <w:szCs w:val="20"/>
                <w:color w:val="auto"/>
              </w:rPr>
            </w:pPr>
            <w:r>
              <w:rPr>
                <w:rFonts w:ascii="Arial" w:cs="Arial" w:eastAsia="Arial" w:hAnsi="Arial"/>
                <w:sz w:val="12"/>
                <w:szCs w:val="12"/>
                <w:b w:val="1"/>
                <w:bCs w:val="1"/>
                <w:color w:val="FFFFFF"/>
              </w:rPr>
              <w:t>Stock or</w:t>
            </w:r>
          </w:p>
        </w:tc>
        <w:tc>
          <w:tcPr>
            <w:tcW w:w="80" w:type="dxa"/>
            <w:vAlign w:val="bottom"/>
            <w:shd w:val="clear" w:color="auto" w:fill="717295"/>
          </w:tcPr>
          <w:p>
            <w:pPr>
              <w:spacing w:after="0"/>
              <w:rPr>
                <w:sz w:val="11"/>
                <w:szCs w:val="11"/>
                <w:color w:val="auto"/>
              </w:rPr>
            </w:pPr>
          </w:p>
        </w:tc>
        <w:tc>
          <w:tcPr>
            <w:tcW w:w="920" w:type="dxa"/>
            <w:vAlign w:val="bottom"/>
            <w:shd w:val="clear" w:color="auto" w:fill="717295"/>
          </w:tcPr>
          <w:p>
            <w:pPr>
              <w:jc w:val="center"/>
              <w:spacing w:after="0" w:line="128" w:lineRule="exact"/>
              <w:rPr>
                <w:sz w:val="20"/>
                <w:szCs w:val="20"/>
                <w:color w:val="auto"/>
              </w:rPr>
            </w:pPr>
            <w:r>
              <w:rPr>
                <w:rFonts w:ascii="Arial" w:cs="Arial" w:eastAsia="Arial" w:hAnsi="Arial"/>
                <w:sz w:val="12"/>
                <w:szCs w:val="12"/>
                <w:b w:val="1"/>
                <w:bCs w:val="1"/>
                <w:color w:val="FFFFFF"/>
              </w:rPr>
              <w:t>Option Awards</w:t>
            </w:r>
          </w:p>
        </w:tc>
        <w:tc>
          <w:tcPr>
            <w:tcW w:w="120" w:type="dxa"/>
            <w:vAlign w:val="bottom"/>
            <w:shd w:val="clear" w:color="auto" w:fill="717295"/>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shd w:val="clear" w:color="auto" w:fill="717295"/>
          </w:tcPr>
          <w:p>
            <w:pPr>
              <w:spacing w:after="0"/>
              <w:rPr>
                <w:sz w:val="17"/>
                <w:szCs w:val="17"/>
                <w:color w:val="auto"/>
              </w:rPr>
            </w:pPr>
          </w:p>
        </w:tc>
        <w:tc>
          <w:tcPr>
            <w:tcW w:w="1140" w:type="dxa"/>
            <w:vAlign w:val="bottom"/>
            <w:vMerge w:val="continue"/>
            <w:shd w:val="clear" w:color="auto" w:fill="717295"/>
          </w:tcPr>
          <w:p>
            <w:pPr>
              <w:spacing w:after="0"/>
              <w:rPr>
                <w:sz w:val="17"/>
                <w:szCs w:val="17"/>
                <w:color w:val="auto"/>
              </w:rPr>
            </w:pPr>
          </w:p>
        </w:tc>
        <w:tc>
          <w:tcPr>
            <w:tcW w:w="120" w:type="dxa"/>
            <w:vAlign w:val="bottom"/>
            <w:shd w:val="clear" w:color="auto" w:fill="717295"/>
          </w:tcPr>
          <w:p>
            <w:pPr>
              <w:spacing w:after="0"/>
              <w:rPr>
                <w:sz w:val="17"/>
                <w:szCs w:val="17"/>
                <w:color w:val="auto"/>
              </w:rPr>
            </w:pPr>
          </w:p>
        </w:tc>
        <w:tc>
          <w:tcPr>
            <w:tcW w:w="700" w:type="dxa"/>
            <w:vAlign w:val="bottom"/>
            <w:vMerge w:val="continue"/>
            <w:shd w:val="clear" w:color="auto" w:fill="717295"/>
          </w:tcPr>
          <w:p>
            <w:pPr>
              <w:spacing w:after="0"/>
              <w:rPr>
                <w:sz w:val="17"/>
                <w:szCs w:val="17"/>
                <w:color w:val="auto"/>
              </w:rPr>
            </w:pPr>
          </w:p>
        </w:tc>
        <w:tc>
          <w:tcPr>
            <w:tcW w:w="640" w:type="dxa"/>
            <w:vAlign w:val="bottom"/>
            <w:shd w:val="clear" w:color="auto" w:fill="717295"/>
          </w:tcPr>
          <w:p>
            <w:pPr>
              <w:jc w:val="center"/>
              <w:spacing w:after="0"/>
              <w:rPr>
                <w:sz w:val="20"/>
                <w:szCs w:val="20"/>
                <w:color w:val="auto"/>
              </w:rPr>
            </w:pPr>
            <w:r>
              <w:rPr>
                <w:rFonts w:ascii="Arial" w:cs="Arial" w:eastAsia="Arial" w:hAnsi="Arial"/>
                <w:sz w:val="12"/>
                <w:szCs w:val="12"/>
                <w:b w:val="1"/>
                <w:bCs w:val="1"/>
                <w:color w:val="FFFFFF"/>
              </w:rPr>
              <w:t>Date</w:t>
            </w:r>
          </w:p>
        </w:tc>
        <w:tc>
          <w:tcPr>
            <w:tcW w:w="40" w:type="dxa"/>
            <w:vAlign w:val="bottom"/>
            <w:shd w:val="clear" w:color="auto" w:fill="717295"/>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20" w:type="dxa"/>
            <w:vAlign w:val="bottom"/>
            <w:vMerge w:val="continue"/>
            <w:shd w:val="clear" w:color="auto" w:fill="717295"/>
          </w:tcPr>
          <w:p>
            <w:pPr>
              <w:spacing w:after="0"/>
              <w:rPr>
                <w:sz w:val="17"/>
                <w:szCs w:val="17"/>
                <w:color w:val="auto"/>
              </w:rPr>
            </w:pPr>
          </w:p>
        </w:tc>
        <w:tc>
          <w:tcPr>
            <w:tcW w:w="860" w:type="dxa"/>
            <w:vAlign w:val="bottom"/>
            <w:gridSpan w:val="2"/>
            <w:vMerge w:val="continue"/>
            <w:shd w:val="clear" w:color="auto" w:fill="717295"/>
          </w:tcPr>
          <w:p>
            <w:pPr>
              <w:spacing w:after="0"/>
              <w:rPr>
                <w:sz w:val="17"/>
                <w:szCs w:val="17"/>
                <w:color w:val="auto"/>
              </w:rPr>
            </w:pPr>
          </w:p>
        </w:tc>
        <w:tc>
          <w:tcPr>
            <w:tcW w:w="860" w:type="dxa"/>
            <w:vAlign w:val="bottom"/>
            <w:gridSpan w:val="2"/>
            <w:vMerge w:val="continue"/>
            <w:shd w:val="clear" w:color="auto" w:fill="717295"/>
          </w:tcPr>
          <w:p>
            <w:pPr>
              <w:spacing w:after="0"/>
              <w:rPr>
                <w:sz w:val="17"/>
                <w:szCs w:val="17"/>
                <w:color w:val="auto"/>
              </w:rPr>
            </w:pPr>
          </w:p>
        </w:tc>
        <w:tc>
          <w:tcPr>
            <w:tcW w:w="620" w:type="dxa"/>
            <w:vAlign w:val="bottom"/>
            <w:vMerge w:val="continue"/>
            <w:shd w:val="clear" w:color="auto" w:fill="717295"/>
          </w:tcPr>
          <w:p>
            <w:pPr>
              <w:spacing w:after="0"/>
              <w:rPr>
                <w:sz w:val="17"/>
                <w:szCs w:val="17"/>
                <w:color w:val="auto"/>
              </w:rPr>
            </w:pPr>
          </w:p>
        </w:tc>
        <w:tc>
          <w:tcPr>
            <w:tcW w:w="820" w:type="dxa"/>
            <w:vAlign w:val="bottom"/>
            <w:gridSpan w:val="2"/>
            <w:vMerge w:val="continue"/>
            <w:shd w:val="clear" w:color="auto" w:fill="717295"/>
          </w:tcPr>
          <w:p>
            <w:pPr>
              <w:spacing w:after="0"/>
              <w:rPr>
                <w:sz w:val="17"/>
                <w:szCs w:val="17"/>
                <w:color w:val="auto"/>
              </w:rPr>
            </w:pPr>
          </w:p>
        </w:tc>
        <w:tc>
          <w:tcPr>
            <w:tcW w:w="40" w:type="dxa"/>
            <w:vAlign w:val="bottom"/>
            <w:shd w:val="clear" w:color="auto" w:fill="717295"/>
          </w:tcPr>
          <w:p>
            <w:pPr>
              <w:spacing w:after="0"/>
              <w:rPr>
                <w:sz w:val="17"/>
                <w:szCs w:val="17"/>
                <w:color w:val="auto"/>
              </w:rPr>
            </w:pPr>
          </w:p>
        </w:tc>
        <w:tc>
          <w:tcPr>
            <w:tcW w:w="660" w:type="dxa"/>
            <w:vAlign w:val="bottom"/>
            <w:shd w:val="clear" w:color="auto" w:fill="717295"/>
          </w:tcPr>
          <w:p>
            <w:pPr>
              <w:jc w:val="center"/>
              <w:spacing w:after="0" w:line="198" w:lineRule="exact"/>
              <w:rPr>
                <w:sz w:val="20"/>
                <w:szCs w:val="20"/>
                <w:color w:val="auto"/>
              </w:rPr>
            </w:pPr>
            <w:r>
              <w:rPr>
                <w:rFonts w:ascii="Arial" w:cs="Arial" w:eastAsia="Arial" w:hAnsi="Arial"/>
                <w:sz w:val="12"/>
                <w:szCs w:val="12"/>
                <w:b w:val="1"/>
                <w:bCs w:val="1"/>
                <w:color w:val="FFFFFF"/>
                <w:w w:val="99"/>
              </w:rPr>
              <w:t>Units (#)</w:t>
            </w:r>
            <w:r>
              <w:rPr>
                <w:rFonts w:ascii="Arial" w:cs="Arial" w:eastAsia="Arial" w:hAnsi="Arial"/>
                <w:sz w:val="20"/>
                <w:szCs w:val="20"/>
                <w:b w:val="1"/>
                <w:bCs w:val="1"/>
                <w:color w:val="FFFFFF"/>
                <w:w w:val="99"/>
                <w:vertAlign w:val="superscript"/>
              </w:rPr>
              <w:t>(3)</w:t>
            </w:r>
          </w:p>
        </w:tc>
        <w:tc>
          <w:tcPr>
            <w:tcW w:w="80" w:type="dxa"/>
            <w:vAlign w:val="bottom"/>
            <w:shd w:val="clear" w:color="auto" w:fill="717295"/>
          </w:tcPr>
          <w:p>
            <w:pPr>
              <w:spacing w:after="0"/>
              <w:rPr>
                <w:sz w:val="17"/>
                <w:szCs w:val="17"/>
                <w:color w:val="auto"/>
              </w:rPr>
            </w:pPr>
          </w:p>
        </w:tc>
        <w:tc>
          <w:tcPr>
            <w:tcW w:w="920" w:type="dxa"/>
            <w:vAlign w:val="bottom"/>
            <w:shd w:val="clear" w:color="auto" w:fill="717295"/>
          </w:tcPr>
          <w:p>
            <w:pPr>
              <w:jc w:val="center"/>
              <w:spacing w:after="0" w:line="198" w:lineRule="exact"/>
              <w:rPr>
                <w:sz w:val="20"/>
                <w:szCs w:val="20"/>
                <w:color w:val="auto"/>
              </w:rPr>
            </w:pPr>
            <w:r>
              <w:rPr>
                <w:rFonts w:ascii="Arial" w:cs="Arial" w:eastAsia="Arial" w:hAnsi="Arial"/>
                <w:sz w:val="22"/>
                <w:szCs w:val="22"/>
                <w:b w:val="1"/>
                <w:bCs w:val="1"/>
                <w:color w:val="FFFFFF"/>
                <w:w w:val="92"/>
                <w:vertAlign w:val="subscript"/>
              </w:rPr>
              <w:t>($)</w:t>
            </w:r>
            <w:r>
              <w:rPr>
                <w:rFonts w:ascii="Arial" w:cs="Arial" w:eastAsia="Arial" w:hAnsi="Arial"/>
                <w:sz w:val="10"/>
                <w:szCs w:val="10"/>
                <w:b w:val="1"/>
                <w:bCs w:val="1"/>
                <w:color w:val="FFFFFF"/>
                <w:w w:val="92"/>
              </w:rPr>
              <w:t>(4)</w:t>
            </w:r>
          </w:p>
        </w:tc>
        <w:tc>
          <w:tcPr>
            <w:tcW w:w="120" w:type="dxa"/>
            <w:vAlign w:val="bottom"/>
            <w:shd w:val="clear" w:color="auto" w:fill="717295"/>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spacing w:after="0"/>
              <w:rPr>
                <w:sz w:val="16"/>
                <w:szCs w:val="16"/>
                <w:color w:val="auto"/>
              </w:rPr>
            </w:pPr>
          </w:p>
        </w:tc>
        <w:tc>
          <w:tcPr>
            <w:tcW w:w="1140" w:type="dxa"/>
            <w:vAlign w:val="bottom"/>
            <w:shd w:val="clear" w:color="auto" w:fill="ACABC0"/>
          </w:tcPr>
          <w:p>
            <w:pPr>
              <w:ind w:left="40"/>
              <w:spacing w:after="0"/>
              <w:rPr>
                <w:sz w:val="20"/>
                <w:szCs w:val="20"/>
                <w:color w:val="auto"/>
              </w:rPr>
            </w:pPr>
            <w:r>
              <w:rPr>
                <w:rFonts w:ascii="Arial" w:cs="Arial" w:eastAsia="Arial" w:hAnsi="Arial"/>
                <w:sz w:val="12"/>
                <w:szCs w:val="12"/>
                <w:color w:val="auto"/>
              </w:rPr>
              <w:t>Andrew G. Inglis</w:t>
            </w:r>
          </w:p>
        </w:tc>
        <w:tc>
          <w:tcPr>
            <w:tcW w:w="120" w:type="dxa"/>
            <w:vAlign w:val="bottom"/>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shd w:val="clear" w:color="auto" w:fill="ACABC0"/>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640" w:type="dxa"/>
            <w:vAlign w:val="bottom"/>
            <w:shd w:val="clear" w:color="auto" w:fill="ACABC0"/>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7"/>
                <w:szCs w:val="7"/>
                <w:color w:val="auto"/>
                <w:vertAlign w:val="superscript"/>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20" w:type="dxa"/>
            <w:vAlign w:val="bottom"/>
            <w:shd w:val="clear" w:color="auto" w:fill="ACABC0"/>
          </w:tcPr>
          <w:p>
            <w:pPr>
              <w:jc w:val="right"/>
              <w:spacing w:after="0"/>
              <w:rPr>
                <w:sz w:val="20"/>
                <w:szCs w:val="20"/>
                <w:color w:val="auto"/>
              </w:rPr>
            </w:pPr>
            <w:r>
              <w:rPr>
                <w:rFonts w:ascii="Arial" w:cs="Arial" w:eastAsia="Arial" w:hAnsi="Arial"/>
                <w:sz w:val="12"/>
                <w:szCs w:val="12"/>
                <w:color w:val="auto"/>
              </w:rPr>
              <w:t>1,028,012</w:t>
            </w:r>
            <w:r>
              <w:rPr>
                <w:rFonts w:ascii="Times New Roman" w:cs="Times New Roman" w:eastAsia="Times New Roman" w:hAnsi="Times New Roman"/>
                <w:sz w:val="3"/>
                <w:szCs w:val="3"/>
                <w:color w:val="auto"/>
              </w:rPr>
              <w:t>​ ​</w:t>
            </w:r>
          </w:p>
        </w:tc>
        <w:tc>
          <w:tcPr>
            <w:tcW w:w="760" w:type="dxa"/>
            <w:vAlign w:val="bottom"/>
            <w:shd w:val="clear" w:color="auto" w:fill="ACABC0"/>
          </w:tcPr>
          <w:p>
            <w:pPr>
              <w:jc w:val="right"/>
              <w:ind w:right="38"/>
              <w:spacing w:after="0"/>
              <w:rPr>
                <w:sz w:val="20"/>
                <w:szCs w:val="20"/>
                <w:color w:val="auto"/>
              </w:rPr>
            </w:pPr>
            <w:r>
              <w:rPr>
                <w:rFonts w:ascii="Arial" w:cs="Arial" w:eastAsia="Arial" w:hAnsi="Arial"/>
                <w:sz w:val="12"/>
                <w:szCs w:val="12"/>
                <w:color w:val="auto"/>
              </w:rPr>
              <w:t>2,056,024</w:t>
            </w:r>
          </w:p>
        </w:tc>
        <w:tc>
          <w:tcPr>
            <w:tcW w:w="100" w:type="dxa"/>
            <w:vAlign w:val="bottom"/>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shd w:val="clear" w:color="auto" w:fill="ACABC0"/>
          </w:tcPr>
          <w:p>
            <w:pPr>
              <w:jc w:val="right"/>
              <w:ind w:right="58"/>
              <w:spacing w:after="0"/>
              <w:rPr>
                <w:sz w:val="20"/>
                <w:szCs w:val="20"/>
                <w:color w:val="auto"/>
              </w:rPr>
            </w:pPr>
            <w:r>
              <w:rPr>
                <w:rFonts w:ascii="Arial" w:cs="Arial" w:eastAsia="Arial" w:hAnsi="Arial"/>
                <w:sz w:val="12"/>
                <w:szCs w:val="12"/>
                <w:color w:val="auto"/>
              </w:rPr>
              <w:t>—</w:t>
            </w:r>
          </w:p>
        </w:tc>
        <w:tc>
          <w:tcPr>
            <w:tcW w:w="140" w:type="dxa"/>
            <w:vAlign w:val="bottom"/>
            <w:shd w:val="clear" w:color="auto" w:fill="ACABC0"/>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shd w:val="clear" w:color="auto" w:fill="ACABC0"/>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40" w:type="dxa"/>
            <w:vAlign w:val="bottom"/>
            <w:shd w:val="clear" w:color="auto" w:fill="ACABC0"/>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ACABC0"/>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60" w:type="dxa"/>
            <w:vAlign w:val="bottom"/>
            <w:shd w:val="clear" w:color="auto" w:fill="ACABC0"/>
          </w:tcPr>
          <w:p>
            <w:pPr>
              <w:jc w:val="right"/>
              <w:ind w:right="58"/>
              <w:spacing w:after="0"/>
              <w:rPr>
                <w:sz w:val="20"/>
                <w:szCs w:val="20"/>
                <w:color w:val="auto"/>
              </w:rPr>
            </w:pPr>
            <w:r>
              <w:rPr>
                <w:rFonts w:ascii="Arial" w:cs="Arial" w:eastAsia="Arial" w:hAnsi="Arial"/>
                <w:sz w:val="12"/>
                <w:szCs w:val="12"/>
                <w:color w:val="auto"/>
              </w:rPr>
              <w:t>—</w:t>
            </w:r>
          </w:p>
        </w:tc>
        <w:tc>
          <w:tcPr>
            <w:tcW w:w="80" w:type="dxa"/>
            <w:vAlign w:val="bottom"/>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shd w:val="clear" w:color="auto" w:fill="ACABC0"/>
          </w:tcPr>
          <w:p>
            <w:pPr>
              <w:jc w:val="right"/>
              <w:ind w:right="138"/>
              <w:spacing w:after="0"/>
              <w:rPr>
                <w:sz w:val="20"/>
                <w:szCs w:val="20"/>
                <w:color w:val="auto"/>
              </w:rPr>
            </w:pPr>
            <w:r>
              <w:rPr>
                <w:rFonts w:ascii="Arial" w:cs="Arial" w:eastAsia="Arial" w:hAnsi="Arial"/>
                <w:sz w:val="12"/>
                <w:szCs w:val="12"/>
                <w:color w:val="auto"/>
              </w:rPr>
              <w:t>—</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ACABC0"/>
            </w:tcBorders>
            <w:shd w:val="clear" w:color="auto" w:fill="ACABC0"/>
          </w:tcPr>
          <w:p>
            <w:pPr>
              <w:spacing w:after="0"/>
              <w:rPr>
                <w:sz w:val="19"/>
                <w:szCs w:val="19"/>
                <w:color w:val="auto"/>
              </w:rPr>
            </w:pPr>
          </w:p>
        </w:tc>
        <w:tc>
          <w:tcPr>
            <w:tcW w:w="1140" w:type="dxa"/>
            <w:vAlign w:val="bottom"/>
            <w:tcBorders>
              <w:bottom w:val="single" w:sz="8" w:color="ACABC0"/>
            </w:tcBorders>
            <w:shd w:val="clear" w:color="auto" w:fill="ACABC0"/>
          </w:tcPr>
          <w:p>
            <w:pPr>
              <w:spacing w:after="0"/>
              <w:rPr>
                <w:sz w:val="19"/>
                <w:szCs w:val="19"/>
                <w:color w:val="auto"/>
              </w:rPr>
            </w:pPr>
          </w:p>
        </w:tc>
        <w:tc>
          <w:tcPr>
            <w:tcW w:w="120" w:type="dxa"/>
            <w:vAlign w:val="bottom"/>
            <w:tcBorders>
              <w:bottom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2"/>
                <w:szCs w:val="12"/>
                <w:color w:val="auto"/>
              </w:rPr>
              <w:t>01/31/2021</w:t>
            </w:r>
            <w:r>
              <w:rPr>
                <w:rFonts w:ascii="Times New Roman" w:cs="Times New Roman" w:eastAsia="Times New Roman" w:hAnsi="Times New Roman"/>
                <w:sz w:val="3"/>
                <w:szCs w:val="3"/>
                <w:color w:val="auto"/>
              </w:rPr>
              <w:t>​ ​</w:t>
            </w:r>
          </w:p>
        </w:tc>
        <w:tc>
          <w:tcPr>
            <w:tcW w:w="64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2"/>
                <w:szCs w:val="12"/>
                <w:color w:val="auto"/>
              </w:rPr>
              <w:t>01/26/2021</w:t>
            </w:r>
            <w:r>
              <w:rPr>
                <w:rFonts w:ascii="Times New Roman" w:cs="Times New Roman" w:eastAsia="Times New Roman" w:hAnsi="Times New Roman"/>
                <w:sz w:val="3"/>
                <w:szCs w:val="3"/>
                <w:color w:val="auto"/>
              </w:rPr>
              <w:t>​</w:t>
            </w:r>
          </w:p>
        </w:tc>
        <w:tc>
          <w:tcPr>
            <w:tcW w:w="4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2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60" w:type="dxa"/>
            <w:vAlign w:val="bottom"/>
            <w:tcBorders>
              <w:bottom w:val="single" w:sz="8" w:color="ACABC0"/>
            </w:tcBorders>
            <w:shd w:val="clear" w:color="auto" w:fill="ACABC0"/>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CABC0"/>
            </w:tcBorders>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Borders>
              <w:bottom w:val="single" w:sz="8" w:color="ACABC0"/>
            </w:tcBorders>
            <w:shd w:val="clear" w:color="auto" w:fill="ACABC0"/>
          </w:tcPr>
          <w:p>
            <w:pPr>
              <w:jc w:val="right"/>
              <w:ind w:right="58"/>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CABC0"/>
            </w:tcBorders>
            <w:shd w:val="clear" w:color="auto" w:fill="ACABC0"/>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4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CABC0"/>
            </w:tcBorders>
            <w:shd w:val="clear" w:color="auto" w:fill="ACABC0"/>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60" w:type="dxa"/>
            <w:vAlign w:val="bottom"/>
            <w:tcBorders>
              <w:bottom w:val="single" w:sz="8" w:color="ACABC0"/>
            </w:tcBorders>
            <w:shd w:val="clear" w:color="auto" w:fill="ACABC0"/>
          </w:tcPr>
          <w:p>
            <w:pPr>
              <w:jc w:val="right"/>
              <w:ind w:right="58"/>
              <w:spacing w:after="0"/>
              <w:rPr>
                <w:sz w:val="20"/>
                <w:szCs w:val="20"/>
                <w:color w:val="auto"/>
              </w:rPr>
            </w:pPr>
            <w:r>
              <w:rPr>
                <w:rFonts w:ascii="Arial" w:cs="Arial" w:eastAsia="Arial" w:hAnsi="Arial"/>
                <w:sz w:val="12"/>
                <w:szCs w:val="12"/>
                <w:color w:val="auto"/>
              </w:rPr>
              <w:t>157,500</w:t>
            </w:r>
          </w:p>
        </w:tc>
        <w:tc>
          <w:tcPr>
            <w:tcW w:w="80" w:type="dxa"/>
            <w:vAlign w:val="bottom"/>
            <w:tcBorders>
              <w:bottom w:val="single" w:sz="8" w:color="ACABC0"/>
            </w:tcBorders>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Borders>
              <w:bottom w:val="single" w:sz="8" w:color="ACABC0"/>
            </w:tcBorders>
            <w:shd w:val="clear" w:color="auto" w:fill="ACABC0"/>
          </w:tcPr>
          <w:p>
            <w:pPr>
              <w:jc w:val="right"/>
              <w:ind w:right="158"/>
              <w:spacing w:after="0"/>
              <w:rPr>
                <w:sz w:val="20"/>
                <w:szCs w:val="20"/>
                <w:color w:val="auto"/>
              </w:rPr>
            </w:pPr>
            <w:r>
              <w:rPr>
                <w:rFonts w:ascii="Arial" w:cs="Arial" w:eastAsia="Arial" w:hAnsi="Arial"/>
                <w:sz w:val="12"/>
                <w:szCs w:val="12"/>
                <w:color w:val="auto"/>
              </w:rPr>
              <w:t>384,300</w:t>
            </w:r>
          </w:p>
        </w:tc>
        <w:tc>
          <w:tcPr>
            <w:tcW w:w="12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ACABC0"/>
            </w:tcBorders>
            <w:shd w:val="clear" w:color="auto" w:fill="ACABC0"/>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01/31/2021</w:t>
            </w:r>
            <w:r>
              <w:rPr>
                <w:rFonts w:ascii="Times New Roman" w:cs="Times New Roman" w:eastAsia="Times New Roman" w:hAnsi="Times New Roman"/>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01/26/2021</w:t>
            </w:r>
            <w:r>
              <w:rPr>
                <w:rFonts w:ascii="Times New Roman" w:cs="Times New Roman" w:eastAsia="Times New Roman" w:hAnsi="Times New Roman"/>
                <w:sz w:val="3"/>
                <w:szCs w:val="3"/>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Pr>
          <w:p>
            <w:pPr>
              <w:jc w:val="right"/>
              <w:ind w:right="38"/>
              <w:spacing w:after="0"/>
              <w:rPr>
                <w:sz w:val="20"/>
                <w:szCs w:val="20"/>
                <w:color w:val="auto"/>
              </w:rPr>
            </w:pPr>
            <w:r>
              <w:rPr>
                <w:rFonts w:ascii="Arial" w:cs="Arial" w:eastAsia="Arial" w:hAnsi="Arial"/>
                <w:sz w:val="12"/>
                <w:szCs w:val="12"/>
                <w:color w:val="auto"/>
              </w:rPr>
              <w:t>209,375</w:t>
            </w:r>
          </w:p>
        </w:tc>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837,500 </w:t>
            </w:r>
            <w:r>
              <w:rPr>
                <w:rFonts w:ascii="Times New Roman" w:cs="Times New Roman" w:eastAsia="Times New Roman" w:hAnsi="Times New Roman"/>
                <w:sz w:val="3"/>
                <w:szCs w:val="3"/>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1,675,000</w:t>
            </w:r>
          </w:p>
        </w:tc>
        <w:tc>
          <w:tcPr>
            <w:tcW w:w="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6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3,274,625</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F1F2F2"/>
          </w:tcPr>
          <w:p>
            <w:pPr>
              <w:spacing w:after="0"/>
              <w:rPr>
                <w:sz w:val="16"/>
                <w:szCs w:val="16"/>
                <w:color w:val="auto"/>
              </w:rPr>
            </w:pPr>
          </w:p>
        </w:tc>
        <w:tc>
          <w:tcPr>
            <w:tcW w:w="1140" w:type="dxa"/>
            <w:vAlign w:val="bottom"/>
            <w:shd w:val="clear" w:color="auto" w:fill="F1F2F2"/>
          </w:tcPr>
          <w:p>
            <w:pPr>
              <w:ind w:left="40"/>
              <w:spacing w:after="0"/>
              <w:rPr>
                <w:sz w:val="20"/>
                <w:szCs w:val="20"/>
                <w:color w:val="auto"/>
              </w:rPr>
            </w:pPr>
            <w:r>
              <w:rPr>
                <w:rFonts w:ascii="Arial" w:cs="Arial" w:eastAsia="Arial" w:hAnsi="Arial"/>
                <w:sz w:val="12"/>
                <w:szCs w:val="12"/>
                <w:color w:val="auto"/>
              </w:rPr>
              <w:t>Neal D. Shah</w:t>
            </w:r>
          </w:p>
        </w:tc>
        <w:tc>
          <w:tcPr>
            <w:tcW w:w="120" w:type="dxa"/>
            <w:vAlign w:val="bottom"/>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shd w:val="clear" w:color="auto" w:fill="F1F2F2"/>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640" w:type="dxa"/>
            <w:vAlign w:val="bottom"/>
            <w:shd w:val="clear" w:color="auto" w:fill="F1F2F2"/>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7"/>
                <w:szCs w:val="7"/>
                <w:color w:val="auto"/>
                <w:vertAlign w:val="superscript"/>
              </w:rPr>
              <w:t>​</w:t>
            </w:r>
          </w:p>
        </w:tc>
        <w:tc>
          <w:tcPr>
            <w:tcW w:w="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20" w:type="dxa"/>
            <w:vAlign w:val="bottom"/>
            <w:shd w:val="clear" w:color="auto" w:fill="F1F2F2"/>
          </w:tcPr>
          <w:p>
            <w:pPr>
              <w:jc w:val="right"/>
              <w:spacing w:after="0"/>
              <w:rPr>
                <w:sz w:val="20"/>
                <w:szCs w:val="20"/>
                <w:color w:val="auto"/>
              </w:rPr>
            </w:pPr>
            <w:r>
              <w:rPr>
                <w:rFonts w:ascii="Arial" w:cs="Arial" w:eastAsia="Arial" w:hAnsi="Arial"/>
                <w:sz w:val="12"/>
                <w:szCs w:val="12"/>
                <w:color w:val="auto"/>
              </w:rPr>
              <w:t xml:space="preserve">550,000 </w:t>
            </w:r>
            <w:r>
              <w:rPr>
                <w:rFonts w:ascii="Times New Roman" w:cs="Times New Roman" w:eastAsia="Times New Roman" w:hAnsi="Times New Roman"/>
                <w:sz w:val="3"/>
                <w:szCs w:val="3"/>
                <w:color w:val="auto"/>
              </w:rPr>
              <w:t>​ ​</w:t>
            </w:r>
          </w:p>
        </w:tc>
        <w:tc>
          <w:tcPr>
            <w:tcW w:w="760" w:type="dxa"/>
            <w:vAlign w:val="bottom"/>
            <w:shd w:val="clear" w:color="auto" w:fill="F1F2F2"/>
          </w:tcPr>
          <w:p>
            <w:pPr>
              <w:jc w:val="right"/>
              <w:ind w:right="38"/>
              <w:spacing w:after="0"/>
              <w:rPr>
                <w:sz w:val="20"/>
                <w:szCs w:val="20"/>
                <w:color w:val="auto"/>
              </w:rPr>
            </w:pPr>
            <w:r>
              <w:rPr>
                <w:rFonts w:ascii="Arial" w:cs="Arial" w:eastAsia="Arial" w:hAnsi="Arial"/>
                <w:sz w:val="12"/>
                <w:szCs w:val="12"/>
                <w:color w:val="auto"/>
              </w:rPr>
              <w:t>1,100,000</w:t>
            </w:r>
          </w:p>
        </w:tc>
        <w:tc>
          <w:tcPr>
            <w:tcW w:w="100" w:type="dxa"/>
            <w:vAlign w:val="bottom"/>
            <w:shd w:val="clear" w:color="auto" w:fill="F1F2F2"/>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shd w:val="clear" w:color="auto" w:fill="F1F2F2"/>
          </w:tcPr>
          <w:p>
            <w:pPr>
              <w:jc w:val="right"/>
              <w:ind w:right="58"/>
              <w:spacing w:after="0"/>
              <w:rPr>
                <w:sz w:val="20"/>
                <w:szCs w:val="20"/>
                <w:color w:val="auto"/>
              </w:rPr>
            </w:pPr>
            <w:r>
              <w:rPr>
                <w:rFonts w:ascii="Arial" w:cs="Arial" w:eastAsia="Arial" w:hAnsi="Arial"/>
                <w:sz w:val="12"/>
                <w:szCs w:val="12"/>
                <w:color w:val="auto"/>
              </w:rPr>
              <w:t>—</w:t>
            </w:r>
          </w:p>
        </w:tc>
        <w:tc>
          <w:tcPr>
            <w:tcW w:w="140" w:type="dxa"/>
            <w:vAlign w:val="bottom"/>
            <w:shd w:val="clear" w:color="auto" w:fill="F1F2F2"/>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shd w:val="clear" w:color="auto" w:fill="F1F2F2"/>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40" w:type="dxa"/>
            <w:vAlign w:val="bottom"/>
            <w:shd w:val="clear" w:color="auto" w:fill="F1F2F2"/>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F1F2F2"/>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60" w:type="dxa"/>
            <w:vAlign w:val="bottom"/>
            <w:shd w:val="clear" w:color="auto" w:fill="F1F2F2"/>
          </w:tcPr>
          <w:p>
            <w:pPr>
              <w:jc w:val="right"/>
              <w:ind w:right="58"/>
              <w:spacing w:after="0"/>
              <w:rPr>
                <w:sz w:val="20"/>
                <w:szCs w:val="20"/>
                <w:color w:val="auto"/>
              </w:rPr>
            </w:pPr>
            <w:r>
              <w:rPr>
                <w:rFonts w:ascii="Arial" w:cs="Arial" w:eastAsia="Arial" w:hAnsi="Arial"/>
                <w:sz w:val="12"/>
                <w:szCs w:val="12"/>
                <w:color w:val="auto"/>
              </w:rPr>
              <w:t>—</w:t>
            </w:r>
          </w:p>
        </w:tc>
        <w:tc>
          <w:tcPr>
            <w:tcW w:w="80" w:type="dxa"/>
            <w:vAlign w:val="bottom"/>
            <w:shd w:val="clear" w:color="auto" w:fill="F1F2F2"/>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shd w:val="clear" w:color="auto" w:fill="F1F2F2"/>
          </w:tcPr>
          <w:p>
            <w:pPr>
              <w:jc w:val="right"/>
              <w:ind w:right="138"/>
              <w:spacing w:after="0"/>
              <w:rPr>
                <w:sz w:val="20"/>
                <w:szCs w:val="20"/>
                <w:color w:val="auto"/>
              </w:rPr>
            </w:pPr>
            <w:r>
              <w:rPr>
                <w:rFonts w:ascii="Arial" w:cs="Arial" w:eastAsia="Arial" w:hAnsi="Arial"/>
                <w:sz w:val="12"/>
                <w:szCs w:val="12"/>
                <w:color w:val="auto"/>
              </w:rPr>
              <w:t>—</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F1F2F2"/>
            </w:tcBorders>
            <w:shd w:val="clear" w:color="auto" w:fill="F1F2F2"/>
          </w:tcPr>
          <w:p>
            <w:pPr>
              <w:spacing w:after="0"/>
              <w:rPr>
                <w:sz w:val="19"/>
                <w:szCs w:val="19"/>
                <w:color w:val="auto"/>
              </w:rPr>
            </w:pPr>
          </w:p>
        </w:tc>
        <w:tc>
          <w:tcPr>
            <w:tcW w:w="1140" w:type="dxa"/>
            <w:vAlign w:val="bottom"/>
            <w:tcBorders>
              <w:bottom w:val="single" w:sz="8" w:color="F1F2F2"/>
            </w:tcBorders>
            <w:shd w:val="clear" w:color="auto" w:fill="F1F2F2"/>
          </w:tcPr>
          <w:p>
            <w:pPr>
              <w:spacing w:after="0"/>
              <w:rPr>
                <w:sz w:val="19"/>
                <w:szCs w:val="19"/>
                <w:color w:val="auto"/>
              </w:rPr>
            </w:pPr>
          </w:p>
        </w:tc>
        <w:tc>
          <w:tcPr>
            <w:tcW w:w="120" w:type="dxa"/>
            <w:vAlign w:val="bottom"/>
            <w:tcBorders>
              <w:bottom w:val="single" w:sz="8" w:color="F1F2F2"/>
            </w:tcBorders>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2"/>
                <w:szCs w:val="12"/>
                <w:color w:val="auto"/>
              </w:rPr>
              <w:t>01/31/2021</w:t>
            </w:r>
            <w:r>
              <w:rPr>
                <w:rFonts w:ascii="Times New Roman" w:cs="Times New Roman" w:eastAsia="Times New Roman" w:hAnsi="Times New Roman"/>
                <w:sz w:val="3"/>
                <w:szCs w:val="3"/>
                <w:color w:val="auto"/>
              </w:rPr>
              <w:t>​ ​</w:t>
            </w:r>
          </w:p>
        </w:tc>
        <w:tc>
          <w:tcPr>
            <w:tcW w:w="6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2"/>
                <w:szCs w:val="12"/>
                <w:color w:val="auto"/>
              </w:rPr>
              <w:t>01/26/2021</w:t>
            </w:r>
            <w:r>
              <w:rPr>
                <w:rFonts w:ascii="Times New Roman" w:cs="Times New Roman" w:eastAsia="Times New Roman" w:hAnsi="Times New Roman"/>
                <w:sz w:val="3"/>
                <w:szCs w:val="3"/>
                <w:color w:val="auto"/>
              </w:rPr>
              <w:t>​</w:t>
            </w:r>
          </w:p>
        </w:tc>
        <w:tc>
          <w:tcPr>
            <w:tcW w:w="4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60" w:type="dxa"/>
            <w:vAlign w:val="bottom"/>
            <w:tcBorders>
              <w:bottom w:val="single" w:sz="8" w:color="F1F2F2"/>
            </w:tcBorders>
            <w:shd w:val="clear" w:color="auto" w:fill="F1F2F2"/>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F1F2F2"/>
            </w:tcBorders>
            <w:shd w:val="clear" w:color="auto" w:fill="F1F2F2"/>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Borders>
              <w:bottom w:val="single" w:sz="8" w:color="F1F2F2"/>
            </w:tcBorders>
            <w:shd w:val="clear" w:color="auto" w:fill="F1F2F2"/>
          </w:tcPr>
          <w:p>
            <w:pPr>
              <w:jc w:val="right"/>
              <w:ind w:right="58"/>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F1F2F2"/>
            </w:tcBorders>
            <w:shd w:val="clear" w:color="auto" w:fill="F1F2F2"/>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F1F2F2"/>
            </w:tcBorders>
            <w:shd w:val="clear" w:color="auto" w:fill="F1F2F2"/>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2"/>
                <w:szCs w:val="12"/>
                <w:color w:val="auto"/>
              </w:rPr>
              <w:t>77,000</w:t>
            </w:r>
          </w:p>
        </w:tc>
        <w:tc>
          <w:tcPr>
            <w:tcW w:w="80" w:type="dxa"/>
            <w:vAlign w:val="bottom"/>
            <w:tcBorders>
              <w:bottom w:val="single" w:sz="8" w:color="F1F2F2"/>
            </w:tcBorders>
            <w:shd w:val="clear" w:color="auto" w:fill="F1F2F2"/>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Borders>
              <w:bottom w:val="single" w:sz="8" w:color="F1F2F2"/>
            </w:tcBorders>
            <w:shd w:val="clear" w:color="auto" w:fill="F1F2F2"/>
          </w:tcPr>
          <w:p>
            <w:pPr>
              <w:jc w:val="right"/>
              <w:ind w:right="138"/>
              <w:spacing w:after="0"/>
              <w:rPr>
                <w:sz w:val="20"/>
                <w:szCs w:val="20"/>
                <w:color w:val="auto"/>
              </w:rPr>
            </w:pPr>
            <w:r>
              <w:rPr>
                <w:rFonts w:ascii="Arial" w:cs="Arial" w:eastAsia="Arial" w:hAnsi="Arial"/>
                <w:sz w:val="12"/>
                <w:szCs w:val="12"/>
                <w:color w:val="auto"/>
              </w:rPr>
              <w:t>187,880</w:t>
            </w:r>
          </w:p>
        </w:tc>
        <w:tc>
          <w:tcPr>
            <w:tcW w:w="12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F1F2F2"/>
            </w:tcBorders>
            <w:shd w:val="clear" w:color="auto" w:fill="F1F2F2"/>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01/31/2021</w:t>
            </w:r>
            <w:r>
              <w:rPr>
                <w:rFonts w:ascii="Times New Roman" w:cs="Times New Roman" w:eastAsia="Times New Roman" w:hAnsi="Times New Roman"/>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01/26/2021</w:t>
            </w:r>
            <w:r>
              <w:rPr>
                <w:rFonts w:ascii="Times New Roman" w:cs="Times New Roman" w:eastAsia="Times New Roman" w:hAnsi="Times New Roman"/>
                <w:sz w:val="3"/>
                <w:szCs w:val="3"/>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Pr>
          <w:p>
            <w:pPr>
              <w:jc w:val="right"/>
              <w:ind w:right="38"/>
              <w:spacing w:after="0"/>
              <w:rPr>
                <w:sz w:val="20"/>
                <w:szCs w:val="20"/>
                <w:color w:val="auto"/>
              </w:rPr>
            </w:pPr>
            <w:r>
              <w:rPr>
                <w:rFonts w:ascii="Arial" w:cs="Arial" w:eastAsia="Arial" w:hAnsi="Arial"/>
                <w:sz w:val="12"/>
                <w:szCs w:val="12"/>
                <w:color w:val="auto"/>
              </w:rPr>
              <w:t>105,750</w:t>
            </w:r>
          </w:p>
        </w:tc>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423,000 </w:t>
            </w:r>
            <w:r>
              <w:rPr>
                <w:rFonts w:ascii="Times New Roman" w:cs="Times New Roman" w:eastAsia="Times New Roman" w:hAnsi="Times New Roman"/>
                <w:sz w:val="3"/>
                <w:szCs w:val="3"/>
                <w:color w:val="auto"/>
              </w:rPr>
              <w:t>​ ​</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846,000</w:t>
            </w:r>
          </w:p>
        </w:tc>
        <w:tc>
          <w:tcPr>
            <w:tcW w:w="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6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1,653,930</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spacing w:after="0"/>
              <w:rPr>
                <w:sz w:val="16"/>
                <w:szCs w:val="16"/>
                <w:color w:val="auto"/>
              </w:rPr>
            </w:pPr>
          </w:p>
        </w:tc>
        <w:tc>
          <w:tcPr>
            <w:tcW w:w="1140" w:type="dxa"/>
            <w:vAlign w:val="bottom"/>
            <w:shd w:val="clear" w:color="auto" w:fill="ACABC0"/>
          </w:tcPr>
          <w:p>
            <w:pPr>
              <w:ind w:left="40"/>
              <w:spacing w:after="0"/>
              <w:rPr>
                <w:sz w:val="20"/>
                <w:szCs w:val="20"/>
                <w:color w:val="auto"/>
              </w:rPr>
            </w:pPr>
            <w:r>
              <w:rPr>
                <w:rFonts w:ascii="Arial" w:cs="Arial" w:eastAsia="Arial" w:hAnsi="Arial"/>
                <w:sz w:val="12"/>
                <w:szCs w:val="12"/>
                <w:color w:val="auto"/>
              </w:rPr>
              <w:t>Christopher J. Ball</w:t>
            </w:r>
          </w:p>
        </w:tc>
        <w:tc>
          <w:tcPr>
            <w:tcW w:w="120" w:type="dxa"/>
            <w:vAlign w:val="bottom"/>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shd w:val="clear" w:color="auto" w:fill="ACABC0"/>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640" w:type="dxa"/>
            <w:vAlign w:val="bottom"/>
            <w:shd w:val="clear" w:color="auto" w:fill="ACABC0"/>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20" w:type="dxa"/>
            <w:vAlign w:val="bottom"/>
            <w:shd w:val="clear" w:color="auto" w:fill="ACABC0"/>
          </w:tcPr>
          <w:p>
            <w:pPr>
              <w:jc w:val="right"/>
              <w:spacing w:after="0"/>
              <w:rPr>
                <w:sz w:val="20"/>
                <w:szCs w:val="20"/>
                <w:color w:val="auto"/>
              </w:rPr>
            </w:pPr>
            <w:r>
              <w:rPr>
                <w:rFonts w:ascii="Arial" w:cs="Arial" w:eastAsia="Arial" w:hAnsi="Arial"/>
                <w:sz w:val="12"/>
                <w:szCs w:val="12"/>
                <w:color w:val="auto"/>
              </w:rPr>
              <w:t xml:space="preserve">615,652 </w:t>
            </w:r>
            <w:r>
              <w:rPr>
                <w:rFonts w:ascii="Times New Roman" w:cs="Times New Roman" w:eastAsia="Times New Roman" w:hAnsi="Times New Roman"/>
                <w:sz w:val="3"/>
                <w:szCs w:val="3"/>
                <w:color w:val="auto"/>
              </w:rPr>
              <w:t>​ ​</w:t>
            </w:r>
          </w:p>
        </w:tc>
        <w:tc>
          <w:tcPr>
            <w:tcW w:w="760" w:type="dxa"/>
            <w:vAlign w:val="bottom"/>
            <w:shd w:val="clear" w:color="auto" w:fill="ACABC0"/>
          </w:tcPr>
          <w:p>
            <w:pPr>
              <w:jc w:val="right"/>
              <w:ind w:right="38"/>
              <w:spacing w:after="0"/>
              <w:rPr>
                <w:sz w:val="20"/>
                <w:szCs w:val="20"/>
                <w:color w:val="auto"/>
              </w:rPr>
            </w:pPr>
            <w:r>
              <w:rPr>
                <w:rFonts w:ascii="Arial" w:cs="Arial" w:eastAsia="Arial" w:hAnsi="Arial"/>
                <w:sz w:val="12"/>
                <w:szCs w:val="12"/>
                <w:color w:val="auto"/>
              </w:rPr>
              <w:t>1,231,304</w:t>
            </w:r>
          </w:p>
        </w:tc>
        <w:tc>
          <w:tcPr>
            <w:tcW w:w="100" w:type="dxa"/>
            <w:vAlign w:val="bottom"/>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shd w:val="clear" w:color="auto" w:fill="ACABC0"/>
          </w:tcPr>
          <w:p>
            <w:pPr>
              <w:jc w:val="right"/>
              <w:ind w:right="58"/>
              <w:spacing w:after="0"/>
              <w:rPr>
                <w:sz w:val="20"/>
                <w:szCs w:val="20"/>
                <w:color w:val="auto"/>
              </w:rPr>
            </w:pPr>
            <w:r>
              <w:rPr>
                <w:rFonts w:ascii="Arial" w:cs="Arial" w:eastAsia="Arial" w:hAnsi="Arial"/>
                <w:sz w:val="12"/>
                <w:szCs w:val="12"/>
                <w:color w:val="auto"/>
              </w:rPr>
              <w:t>—</w:t>
            </w:r>
          </w:p>
        </w:tc>
        <w:tc>
          <w:tcPr>
            <w:tcW w:w="140" w:type="dxa"/>
            <w:vAlign w:val="bottom"/>
            <w:shd w:val="clear" w:color="auto" w:fill="ACABC0"/>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shd w:val="clear" w:color="auto" w:fill="ACABC0"/>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40" w:type="dxa"/>
            <w:vAlign w:val="bottom"/>
            <w:shd w:val="clear" w:color="auto" w:fill="ACABC0"/>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ACABC0"/>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60" w:type="dxa"/>
            <w:vAlign w:val="bottom"/>
            <w:shd w:val="clear" w:color="auto" w:fill="ACABC0"/>
          </w:tcPr>
          <w:p>
            <w:pPr>
              <w:jc w:val="right"/>
              <w:ind w:right="58"/>
              <w:spacing w:after="0"/>
              <w:rPr>
                <w:sz w:val="20"/>
                <w:szCs w:val="20"/>
                <w:color w:val="auto"/>
              </w:rPr>
            </w:pPr>
            <w:r>
              <w:rPr>
                <w:rFonts w:ascii="Arial" w:cs="Arial" w:eastAsia="Arial" w:hAnsi="Arial"/>
                <w:sz w:val="12"/>
                <w:szCs w:val="12"/>
                <w:color w:val="auto"/>
              </w:rPr>
              <w:t>—</w:t>
            </w:r>
          </w:p>
        </w:tc>
        <w:tc>
          <w:tcPr>
            <w:tcW w:w="80" w:type="dxa"/>
            <w:vAlign w:val="bottom"/>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shd w:val="clear" w:color="auto" w:fill="ACABC0"/>
          </w:tcPr>
          <w:p>
            <w:pPr>
              <w:jc w:val="right"/>
              <w:ind w:right="138"/>
              <w:spacing w:after="0"/>
              <w:rPr>
                <w:sz w:val="20"/>
                <w:szCs w:val="20"/>
                <w:color w:val="auto"/>
              </w:rPr>
            </w:pPr>
            <w:r>
              <w:rPr>
                <w:rFonts w:ascii="Arial" w:cs="Arial" w:eastAsia="Arial" w:hAnsi="Arial"/>
                <w:sz w:val="12"/>
                <w:szCs w:val="12"/>
                <w:color w:val="auto"/>
              </w:rPr>
              <w:t>—</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ACABC0"/>
            </w:tcBorders>
            <w:shd w:val="clear" w:color="auto" w:fill="ACABC0"/>
          </w:tcPr>
          <w:p>
            <w:pPr>
              <w:spacing w:after="0"/>
              <w:rPr>
                <w:sz w:val="19"/>
                <w:szCs w:val="19"/>
                <w:color w:val="auto"/>
              </w:rPr>
            </w:pPr>
          </w:p>
        </w:tc>
        <w:tc>
          <w:tcPr>
            <w:tcW w:w="1140" w:type="dxa"/>
            <w:vAlign w:val="bottom"/>
            <w:tcBorders>
              <w:bottom w:val="single" w:sz="8" w:color="ACABC0"/>
            </w:tcBorders>
            <w:shd w:val="clear" w:color="auto" w:fill="ACABC0"/>
          </w:tcPr>
          <w:p>
            <w:pPr>
              <w:spacing w:after="0"/>
              <w:rPr>
                <w:sz w:val="19"/>
                <w:szCs w:val="19"/>
                <w:color w:val="auto"/>
              </w:rPr>
            </w:pPr>
          </w:p>
        </w:tc>
        <w:tc>
          <w:tcPr>
            <w:tcW w:w="120" w:type="dxa"/>
            <w:vAlign w:val="bottom"/>
            <w:tcBorders>
              <w:bottom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2"/>
                <w:szCs w:val="12"/>
                <w:color w:val="auto"/>
              </w:rPr>
              <w:t>01/31/2021</w:t>
            </w:r>
            <w:r>
              <w:rPr>
                <w:rFonts w:ascii="Times New Roman" w:cs="Times New Roman" w:eastAsia="Times New Roman" w:hAnsi="Times New Roman"/>
                <w:sz w:val="3"/>
                <w:szCs w:val="3"/>
                <w:color w:val="auto"/>
              </w:rPr>
              <w:t>​ ​</w:t>
            </w:r>
          </w:p>
        </w:tc>
        <w:tc>
          <w:tcPr>
            <w:tcW w:w="64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2"/>
                <w:szCs w:val="12"/>
                <w:color w:val="auto"/>
              </w:rPr>
              <w:t>01/26/2021</w:t>
            </w:r>
            <w:r>
              <w:rPr>
                <w:rFonts w:ascii="Times New Roman" w:cs="Times New Roman" w:eastAsia="Times New Roman" w:hAnsi="Times New Roman"/>
                <w:sz w:val="3"/>
                <w:szCs w:val="3"/>
                <w:color w:val="auto"/>
              </w:rPr>
              <w:t>​</w:t>
            </w:r>
          </w:p>
        </w:tc>
        <w:tc>
          <w:tcPr>
            <w:tcW w:w="4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2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60" w:type="dxa"/>
            <w:vAlign w:val="bottom"/>
            <w:tcBorders>
              <w:bottom w:val="single" w:sz="8" w:color="ACABC0"/>
            </w:tcBorders>
            <w:shd w:val="clear" w:color="auto" w:fill="ACABC0"/>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CABC0"/>
            </w:tcBorders>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Borders>
              <w:bottom w:val="single" w:sz="8" w:color="ACABC0"/>
            </w:tcBorders>
            <w:shd w:val="clear" w:color="auto" w:fill="ACABC0"/>
          </w:tcPr>
          <w:p>
            <w:pPr>
              <w:jc w:val="right"/>
              <w:ind w:right="58"/>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CABC0"/>
            </w:tcBorders>
            <w:shd w:val="clear" w:color="auto" w:fill="ACABC0"/>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4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CABC0"/>
            </w:tcBorders>
            <w:shd w:val="clear" w:color="auto" w:fill="ACABC0"/>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60" w:type="dxa"/>
            <w:vAlign w:val="bottom"/>
            <w:tcBorders>
              <w:bottom w:val="single" w:sz="8" w:color="ACABC0"/>
            </w:tcBorders>
            <w:shd w:val="clear" w:color="auto" w:fill="ACABC0"/>
          </w:tcPr>
          <w:p>
            <w:pPr>
              <w:jc w:val="center"/>
              <w:spacing w:after="0"/>
              <w:rPr>
                <w:sz w:val="20"/>
                <w:szCs w:val="20"/>
                <w:color w:val="auto"/>
              </w:rPr>
            </w:pPr>
            <w:r>
              <w:rPr>
                <w:rFonts w:ascii="Arial" w:cs="Arial" w:eastAsia="Arial" w:hAnsi="Arial"/>
                <w:sz w:val="12"/>
                <w:szCs w:val="12"/>
                <w:color w:val="auto"/>
              </w:rPr>
              <w:t>77,000</w:t>
            </w:r>
          </w:p>
        </w:tc>
        <w:tc>
          <w:tcPr>
            <w:tcW w:w="80" w:type="dxa"/>
            <w:vAlign w:val="bottom"/>
            <w:tcBorders>
              <w:bottom w:val="single" w:sz="8" w:color="ACABC0"/>
            </w:tcBorders>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Borders>
              <w:bottom w:val="single" w:sz="8" w:color="ACABC0"/>
            </w:tcBorders>
            <w:shd w:val="clear" w:color="auto" w:fill="ACABC0"/>
          </w:tcPr>
          <w:p>
            <w:pPr>
              <w:jc w:val="right"/>
              <w:ind w:right="138"/>
              <w:spacing w:after="0"/>
              <w:rPr>
                <w:sz w:val="20"/>
                <w:szCs w:val="20"/>
                <w:color w:val="auto"/>
              </w:rPr>
            </w:pPr>
            <w:r>
              <w:rPr>
                <w:rFonts w:ascii="Arial" w:cs="Arial" w:eastAsia="Arial" w:hAnsi="Arial"/>
                <w:sz w:val="12"/>
                <w:szCs w:val="12"/>
                <w:color w:val="auto"/>
              </w:rPr>
              <w:t>187,880</w:t>
            </w:r>
          </w:p>
        </w:tc>
        <w:tc>
          <w:tcPr>
            <w:tcW w:w="12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ACABC0"/>
            </w:tcBorders>
            <w:shd w:val="clear" w:color="auto" w:fill="ACABC0"/>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01/31/2021</w:t>
            </w:r>
            <w:r>
              <w:rPr>
                <w:rFonts w:ascii="Times New Roman" w:cs="Times New Roman" w:eastAsia="Times New Roman" w:hAnsi="Times New Roman"/>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01/26/2021</w:t>
            </w:r>
            <w:r>
              <w:rPr>
                <w:rFonts w:ascii="Times New Roman" w:cs="Times New Roman" w:eastAsia="Times New Roman" w:hAnsi="Times New Roman"/>
                <w:sz w:val="3"/>
                <w:szCs w:val="3"/>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Pr>
          <w:p>
            <w:pPr>
              <w:jc w:val="right"/>
              <w:ind w:right="38"/>
              <w:spacing w:after="0"/>
              <w:rPr>
                <w:sz w:val="20"/>
                <w:szCs w:val="20"/>
                <w:color w:val="auto"/>
              </w:rPr>
            </w:pPr>
            <w:r>
              <w:rPr>
                <w:rFonts w:ascii="Arial" w:cs="Arial" w:eastAsia="Arial" w:hAnsi="Arial"/>
                <w:sz w:val="12"/>
                <w:szCs w:val="12"/>
                <w:color w:val="auto"/>
              </w:rPr>
              <w:t>123,250</w:t>
            </w:r>
          </w:p>
        </w:tc>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493,000 </w:t>
            </w:r>
            <w:r>
              <w:rPr>
                <w:rFonts w:ascii="Times New Roman" w:cs="Times New Roman" w:eastAsia="Times New Roman" w:hAnsi="Times New Roman"/>
                <w:sz w:val="3"/>
                <w:szCs w:val="3"/>
                <w:color w:val="auto"/>
              </w:rPr>
              <w:t>​ ​</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986,000</w:t>
            </w:r>
          </w:p>
        </w:tc>
        <w:tc>
          <w:tcPr>
            <w:tcW w:w="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6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1,927,630</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F1F2F2"/>
          </w:tcPr>
          <w:p>
            <w:pPr>
              <w:spacing w:after="0"/>
              <w:rPr>
                <w:sz w:val="16"/>
                <w:szCs w:val="16"/>
                <w:color w:val="auto"/>
              </w:rPr>
            </w:pPr>
          </w:p>
        </w:tc>
        <w:tc>
          <w:tcPr>
            <w:tcW w:w="1140" w:type="dxa"/>
            <w:vAlign w:val="bottom"/>
            <w:shd w:val="clear" w:color="auto" w:fill="F1F2F2"/>
          </w:tcPr>
          <w:p>
            <w:pPr>
              <w:ind w:left="40"/>
              <w:spacing w:after="0"/>
              <w:rPr>
                <w:sz w:val="20"/>
                <w:szCs w:val="20"/>
                <w:color w:val="auto"/>
              </w:rPr>
            </w:pPr>
            <w:r>
              <w:rPr>
                <w:rFonts w:ascii="Arial" w:cs="Arial" w:eastAsia="Arial" w:hAnsi="Arial"/>
                <w:sz w:val="12"/>
                <w:szCs w:val="12"/>
                <w:color w:val="auto"/>
              </w:rPr>
              <w:t>Richard R. Clark</w:t>
            </w:r>
          </w:p>
        </w:tc>
        <w:tc>
          <w:tcPr>
            <w:tcW w:w="120" w:type="dxa"/>
            <w:vAlign w:val="bottom"/>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shd w:val="clear" w:color="auto" w:fill="F1F2F2"/>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640" w:type="dxa"/>
            <w:vAlign w:val="bottom"/>
            <w:shd w:val="clear" w:color="auto" w:fill="F1F2F2"/>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w:t>
            </w:r>
          </w:p>
        </w:tc>
        <w:tc>
          <w:tcPr>
            <w:tcW w:w="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20" w:type="dxa"/>
            <w:vAlign w:val="bottom"/>
            <w:shd w:val="clear" w:color="auto" w:fill="F1F2F2"/>
          </w:tcPr>
          <w:p>
            <w:pPr>
              <w:jc w:val="right"/>
              <w:spacing w:after="0"/>
              <w:rPr>
                <w:sz w:val="20"/>
                <w:szCs w:val="20"/>
                <w:color w:val="auto"/>
              </w:rPr>
            </w:pPr>
            <w:r>
              <w:rPr>
                <w:rFonts w:ascii="Arial" w:cs="Arial" w:eastAsia="Arial" w:hAnsi="Arial"/>
                <w:sz w:val="12"/>
                <w:szCs w:val="12"/>
                <w:color w:val="auto"/>
              </w:rPr>
              <w:t xml:space="preserve">668,749 </w:t>
            </w:r>
            <w:r>
              <w:rPr>
                <w:rFonts w:ascii="Times New Roman" w:cs="Times New Roman" w:eastAsia="Times New Roman" w:hAnsi="Times New Roman"/>
                <w:sz w:val="3"/>
                <w:szCs w:val="3"/>
                <w:color w:val="auto"/>
              </w:rPr>
              <w:t>​ ​</w:t>
            </w:r>
          </w:p>
        </w:tc>
        <w:tc>
          <w:tcPr>
            <w:tcW w:w="760" w:type="dxa"/>
            <w:vAlign w:val="bottom"/>
            <w:shd w:val="clear" w:color="auto" w:fill="F1F2F2"/>
          </w:tcPr>
          <w:p>
            <w:pPr>
              <w:jc w:val="right"/>
              <w:ind w:right="38"/>
              <w:spacing w:after="0"/>
              <w:rPr>
                <w:sz w:val="20"/>
                <w:szCs w:val="20"/>
                <w:color w:val="auto"/>
              </w:rPr>
            </w:pPr>
            <w:r>
              <w:rPr>
                <w:rFonts w:ascii="Arial" w:cs="Arial" w:eastAsia="Arial" w:hAnsi="Arial"/>
                <w:sz w:val="12"/>
                <w:szCs w:val="12"/>
                <w:color w:val="auto"/>
              </w:rPr>
              <w:t>1,337,498</w:t>
            </w:r>
          </w:p>
        </w:tc>
        <w:tc>
          <w:tcPr>
            <w:tcW w:w="100" w:type="dxa"/>
            <w:vAlign w:val="bottom"/>
            <w:shd w:val="clear" w:color="auto" w:fill="F1F2F2"/>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shd w:val="clear" w:color="auto" w:fill="F1F2F2"/>
          </w:tcPr>
          <w:p>
            <w:pPr>
              <w:jc w:val="right"/>
              <w:ind w:right="58"/>
              <w:spacing w:after="0"/>
              <w:rPr>
                <w:sz w:val="20"/>
                <w:szCs w:val="20"/>
                <w:color w:val="auto"/>
              </w:rPr>
            </w:pPr>
            <w:r>
              <w:rPr>
                <w:rFonts w:ascii="Arial" w:cs="Arial" w:eastAsia="Arial" w:hAnsi="Arial"/>
                <w:sz w:val="12"/>
                <w:szCs w:val="12"/>
                <w:color w:val="auto"/>
              </w:rPr>
              <w:t>—</w:t>
            </w:r>
          </w:p>
        </w:tc>
        <w:tc>
          <w:tcPr>
            <w:tcW w:w="140" w:type="dxa"/>
            <w:vAlign w:val="bottom"/>
            <w:shd w:val="clear" w:color="auto" w:fill="F1F2F2"/>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shd w:val="clear" w:color="auto" w:fill="F1F2F2"/>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40" w:type="dxa"/>
            <w:vAlign w:val="bottom"/>
            <w:shd w:val="clear" w:color="auto" w:fill="F1F2F2"/>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F1F2F2"/>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60" w:type="dxa"/>
            <w:vAlign w:val="bottom"/>
            <w:shd w:val="clear" w:color="auto" w:fill="F1F2F2"/>
          </w:tcPr>
          <w:p>
            <w:pPr>
              <w:jc w:val="right"/>
              <w:ind w:right="58"/>
              <w:spacing w:after="0"/>
              <w:rPr>
                <w:sz w:val="20"/>
                <w:szCs w:val="20"/>
                <w:color w:val="auto"/>
              </w:rPr>
            </w:pPr>
            <w:r>
              <w:rPr>
                <w:rFonts w:ascii="Arial" w:cs="Arial" w:eastAsia="Arial" w:hAnsi="Arial"/>
                <w:sz w:val="12"/>
                <w:szCs w:val="12"/>
                <w:color w:val="auto"/>
              </w:rPr>
              <w:t>—</w:t>
            </w:r>
          </w:p>
        </w:tc>
        <w:tc>
          <w:tcPr>
            <w:tcW w:w="80" w:type="dxa"/>
            <w:vAlign w:val="bottom"/>
            <w:shd w:val="clear" w:color="auto" w:fill="F1F2F2"/>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shd w:val="clear" w:color="auto" w:fill="F1F2F2"/>
          </w:tcPr>
          <w:p>
            <w:pPr>
              <w:jc w:val="right"/>
              <w:ind w:right="138"/>
              <w:spacing w:after="0"/>
              <w:rPr>
                <w:sz w:val="20"/>
                <w:szCs w:val="20"/>
                <w:color w:val="auto"/>
              </w:rPr>
            </w:pPr>
            <w:r>
              <w:rPr>
                <w:rFonts w:ascii="Arial" w:cs="Arial" w:eastAsia="Arial" w:hAnsi="Arial"/>
                <w:sz w:val="12"/>
                <w:szCs w:val="12"/>
                <w:color w:val="auto"/>
              </w:rPr>
              <w:t>—</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F1F2F2"/>
            </w:tcBorders>
            <w:shd w:val="clear" w:color="auto" w:fill="F1F2F2"/>
          </w:tcPr>
          <w:p>
            <w:pPr>
              <w:spacing w:after="0"/>
              <w:rPr>
                <w:sz w:val="19"/>
                <w:szCs w:val="19"/>
                <w:color w:val="auto"/>
              </w:rPr>
            </w:pPr>
          </w:p>
        </w:tc>
        <w:tc>
          <w:tcPr>
            <w:tcW w:w="1140" w:type="dxa"/>
            <w:vAlign w:val="bottom"/>
            <w:tcBorders>
              <w:bottom w:val="single" w:sz="8" w:color="F1F2F2"/>
            </w:tcBorders>
            <w:shd w:val="clear" w:color="auto" w:fill="F1F2F2"/>
          </w:tcPr>
          <w:p>
            <w:pPr>
              <w:spacing w:after="0"/>
              <w:rPr>
                <w:sz w:val="19"/>
                <w:szCs w:val="19"/>
                <w:color w:val="auto"/>
              </w:rPr>
            </w:pPr>
          </w:p>
        </w:tc>
        <w:tc>
          <w:tcPr>
            <w:tcW w:w="120" w:type="dxa"/>
            <w:vAlign w:val="bottom"/>
            <w:tcBorders>
              <w:bottom w:val="single" w:sz="8" w:color="F1F2F2"/>
            </w:tcBorders>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2"/>
                <w:szCs w:val="12"/>
                <w:color w:val="auto"/>
              </w:rPr>
              <w:t>01/31/2021</w:t>
            </w:r>
            <w:r>
              <w:rPr>
                <w:rFonts w:ascii="Times New Roman" w:cs="Times New Roman" w:eastAsia="Times New Roman" w:hAnsi="Times New Roman"/>
                <w:sz w:val="3"/>
                <w:szCs w:val="3"/>
                <w:color w:val="auto"/>
              </w:rPr>
              <w:t>​ ​</w:t>
            </w:r>
          </w:p>
        </w:tc>
        <w:tc>
          <w:tcPr>
            <w:tcW w:w="6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2"/>
                <w:szCs w:val="12"/>
                <w:color w:val="auto"/>
              </w:rPr>
              <w:t>01/26/2021</w:t>
            </w:r>
            <w:r>
              <w:rPr>
                <w:rFonts w:ascii="Times New Roman" w:cs="Times New Roman" w:eastAsia="Times New Roman" w:hAnsi="Times New Roman"/>
                <w:sz w:val="3"/>
                <w:szCs w:val="3"/>
                <w:color w:val="auto"/>
              </w:rPr>
              <w:t>​</w:t>
            </w:r>
          </w:p>
        </w:tc>
        <w:tc>
          <w:tcPr>
            <w:tcW w:w="4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60" w:type="dxa"/>
            <w:vAlign w:val="bottom"/>
            <w:tcBorders>
              <w:bottom w:val="single" w:sz="8" w:color="F1F2F2"/>
            </w:tcBorders>
            <w:shd w:val="clear" w:color="auto" w:fill="F1F2F2"/>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F1F2F2"/>
            </w:tcBorders>
            <w:shd w:val="clear" w:color="auto" w:fill="F1F2F2"/>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Borders>
              <w:bottom w:val="single" w:sz="8" w:color="F1F2F2"/>
            </w:tcBorders>
            <w:shd w:val="clear" w:color="auto" w:fill="F1F2F2"/>
          </w:tcPr>
          <w:p>
            <w:pPr>
              <w:jc w:val="right"/>
              <w:ind w:right="58"/>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F1F2F2"/>
            </w:tcBorders>
            <w:shd w:val="clear" w:color="auto" w:fill="F1F2F2"/>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F1F2F2"/>
            </w:tcBorders>
            <w:shd w:val="clear" w:color="auto" w:fill="F1F2F2"/>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2"/>
                <w:szCs w:val="12"/>
                <w:color w:val="auto"/>
              </w:rPr>
              <w:t>77,000</w:t>
            </w:r>
          </w:p>
        </w:tc>
        <w:tc>
          <w:tcPr>
            <w:tcW w:w="80" w:type="dxa"/>
            <w:vAlign w:val="bottom"/>
            <w:tcBorders>
              <w:bottom w:val="single" w:sz="8" w:color="F1F2F2"/>
            </w:tcBorders>
            <w:shd w:val="clear" w:color="auto" w:fill="F1F2F2"/>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Borders>
              <w:bottom w:val="single" w:sz="8" w:color="F1F2F2"/>
            </w:tcBorders>
            <w:shd w:val="clear" w:color="auto" w:fill="F1F2F2"/>
          </w:tcPr>
          <w:p>
            <w:pPr>
              <w:jc w:val="right"/>
              <w:ind w:right="138"/>
              <w:spacing w:after="0"/>
              <w:rPr>
                <w:sz w:val="20"/>
                <w:szCs w:val="20"/>
                <w:color w:val="auto"/>
              </w:rPr>
            </w:pPr>
            <w:r>
              <w:rPr>
                <w:rFonts w:ascii="Arial" w:cs="Arial" w:eastAsia="Arial" w:hAnsi="Arial"/>
                <w:sz w:val="12"/>
                <w:szCs w:val="12"/>
                <w:color w:val="auto"/>
              </w:rPr>
              <w:t>187,880</w:t>
            </w:r>
          </w:p>
        </w:tc>
        <w:tc>
          <w:tcPr>
            <w:tcW w:w="12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F1F2F2"/>
            </w:tcBorders>
            <w:shd w:val="clear" w:color="auto" w:fill="F1F2F2"/>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01/31/2021</w:t>
            </w:r>
            <w:r>
              <w:rPr>
                <w:rFonts w:ascii="Times New Roman" w:cs="Times New Roman" w:eastAsia="Times New Roman" w:hAnsi="Times New Roman"/>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01/26/2021</w:t>
            </w:r>
            <w:r>
              <w:rPr>
                <w:rFonts w:ascii="Times New Roman" w:cs="Times New Roman" w:eastAsia="Times New Roman" w:hAnsi="Times New Roman"/>
                <w:sz w:val="3"/>
                <w:szCs w:val="3"/>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Pr>
          <w:p>
            <w:pPr>
              <w:jc w:val="right"/>
              <w:ind w:right="38"/>
              <w:spacing w:after="0"/>
              <w:rPr>
                <w:sz w:val="20"/>
                <w:szCs w:val="20"/>
                <w:color w:val="auto"/>
              </w:rPr>
            </w:pPr>
            <w:r>
              <w:rPr>
                <w:rFonts w:ascii="Arial" w:cs="Arial" w:eastAsia="Arial" w:hAnsi="Arial"/>
                <w:sz w:val="12"/>
                <w:szCs w:val="12"/>
                <w:color w:val="auto"/>
              </w:rPr>
              <w:t>123,250</w:t>
            </w:r>
          </w:p>
        </w:tc>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493,000 </w:t>
            </w:r>
            <w:r>
              <w:rPr>
                <w:rFonts w:ascii="Times New Roman" w:cs="Times New Roman" w:eastAsia="Times New Roman" w:hAnsi="Times New Roman"/>
                <w:sz w:val="3"/>
                <w:szCs w:val="3"/>
                <w:color w:val="auto"/>
              </w:rPr>
              <w:t>​ ​</w:t>
            </w: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986,000</w:t>
            </w:r>
          </w:p>
        </w:tc>
        <w:tc>
          <w:tcPr>
            <w:tcW w:w="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6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1,927,630</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spacing w:after="0"/>
              <w:rPr>
                <w:sz w:val="16"/>
                <w:szCs w:val="16"/>
                <w:color w:val="auto"/>
              </w:rPr>
            </w:pPr>
          </w:p>
        </w:tc>
        <w:tc>
          <w:tcPr>
            <w:tcW w:w="1140" w:type="dxa"/>
            <w:vAlign w:val="bottom"/>
            <w:shd w:val="clear" w:color="auto" w:fill="ACABC0"/>
          </w:tcPr>
          <w:p>
            <w:pPr>
              <w:ind w:left="40"/>
              <w:spacing w:after="0"/>
              <w:rPr>
                <w:sz w:val="20"/>
                <w:szCs w:val="20"/>
                <w:color w:val="auto"/>
              </w:rPr>
            </w:pPr>
            <w:r>
              <w:rPr>
                <w:rFonts w:ascii="Arial" w:cs="Arial" w:eastAsia="Arial" w:hAnsi="Arial"/>
                <w:sz w:val="12"/>
                <w:szCs w:val="12"/>
                <w:color w:val="auto"/>
              </w:rPr>
              <w:t>Jason E. Doughty</w:t>
            </w:r>
          </w:p>
        </w:tc>
        <w:tc>
          <w:tcPr>
            <w:tcW w:w="120" w:type="dxa"/>
            <w:vAlign w:val="bottom"/>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shd w:val="clear" w:color="auto" w:fill="ACABC0"/>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640" w:type="dxa"/>
            <w:vAlign w:val="bottom"/>
            <w:shd w:val="clear" w:color="auto" w:fill="ACABC0"/>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20" w:type="dxa"/>
            <w:vAlign w:val="bottom"/>
            <w:shd w:val="clear" w:color="auto" w:fill="ACABC0"/>
          </w:tcPr>
          <w:p>
            <w:pPr>
              <w:jc w:val="right"/>
              <w:spacing w:after="0"/>
              <w:rPr>
                <w:sz w:val="20"/>
                <w:szCs w:val="20"/>
                <w:color w:val="auto"/>
              </w:rPr>
            </w:pPr>
            <w:r>
              <w:rPr>
                <w:rFonts w:ascii="Arial" w:cs="Arial" w:eastAsia="Arial" w:hAnsi="Arial"/>
                <w:sz w:val="12"/>
                <w:szCs w:val="12"/>
                <w:color w:val="auto"/>
              </w:rPr>
              <w:t xml:space="preserve">349,965 </w:t>
            </w:r>
            <w:r>
              <w:rPr>
                <w:rFonts w:ascii="Times New Roman" w:cs="Times New Roman" w:eastAsia="Times New Roman" w:hAnsi="Times New Roman"/>
                <w:sz w:val="3"/>
                <w:szCs w:val="3"/>
                <w:color w:val="auto"/>
              </w:rPr>
              <w:t>​ ​</w:t>
            </w:r>
          </w:p>
        </w:tc>
        <w:tc>
          <w:tcPr>
            <w:tcW w:w="760" w:type="dxa"/>
            <w:vAlign w:val="bottom"/>
            <w:shd w:val="clear" w:color="auto" w:fill="ACABC0"/>
          </w:tcPr>
          <w:p>
            <w:pPr>
              <w:jc w:val="right"/>
              <w:ind w:right="18"/>
              <w:spacing w:after="0"/>
              <w:rPr>
                <w:sz w:val="20"/>
                <w:szCs w:val="20"/>
                <w:color w:val="auto"/>
              </w:rPr>
            </w:pPr>
            <w:r>
              <w:rPr>
                <w:rFonts w:ascii="Arial" w:cs="Arial" w:eastAsia="Arial" w:hAnsi="Arial"/>
                <w:sz w:val="12"/>
                <w:szCs w:val="12"/>
                <w:color w:val="auto"/>
              </w:rPr>
              <w:t>699,930</w:t>
            </w:r>
          </w:p>
        </w:tc>
        <w:tc>
          <w:tcPr>
            <w:tcW w:w="100" w:type="dxa"/>
            <w:vAlign w:val="bottom"/>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shd w:val="clear" w:color="auto" w:fill="ACABC0"/>
          </w:tcPr>
          <w:p>
            <w:pPr>
              <w:jc w:val="right"/>
              <w:ind w:right="58"/>
              <w:spacing w:after="0"/>
              <w:rPr>
                <w:sz w:val="20"/>
                <w:szCs w:val="20"/>
                <w:color w:val="auto"/>
              </w:rPr>
            </w:pPr>
            <w:r>
              <w:rPr>
                <w:rFonts w:ascii="Arial" w:cs="Arial" w:eastAsia="Arial" w:hAnsi="Arial"/>
                <w:sz w:val="12"/>
                <w:szCs w:val="12"/>
                <w:color w:val="auto"/>
              </w:rPr>
              <w:t>—</w:t>
            </w:r>
          </w:p>
        </w:tc>
        <w:tc>
          <w:tcPr>
            <w:tcW w:w="140" w:type="dxa"/>
            <w:vAlign w:val="bottom"/>
            <w:shd w:val="clear" w:color="auto" w:fill="ACABC0"/>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shd w:val="clear" w:color="auto" w:fill="ACABC0"/>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40" w:type="dxa"/>
            <w:vAlign w:val="bottom"/>
            <w:shd w:val="clear" w:color="auto" w:fill="ACABC0"/>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ACABC0"/>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60" w:type="dxa"/>
            <w:vAlign w:val="bottom"/>
            <w:shd w:val="clear" w:color="auto" w:fill="ACABC0"/>
          </w:tcPr>
          <w:p>
            <w:pPr>
              <w:jc w:val="right"/>
              <w:ind w:right="58"/>
              <w:spacing w:after="0"/>
              <w:rPr>
                <w:sz w:val="20"/>
                <w:szCs w:val="20"/>
                <w:color w:val="auto"/>
              </w:rPr>
            </w:pPr>
            <w:r>
              <w:rPr>
                <w:rFonts w:ascii="Arial" w:cs="Arial" w:eastAsia="Arial" w:hAnsi="Arial"/>
                <w:sz w:val="12"/>
                <w:szCs w:val="12"/>
                <w:color w:val="auto"/>
              </w:rPr>
              <w:t>—</w:t>
            </w:r>
          </w:p>
        </w:tc>
        <w:tc>
          <w:tcPr>
            <w:tcW w:w="80" w:type="dxa"/>
            <w:vAlign w:val="bottom"/>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shd w:val="clear" w:color="auto" w:fill="ACABC0"/>
          </w:tcPr>
          <w:p>
            <w:pPr>
              <w:jc w:val="right"/>
              <w:ind w:right="138"/>
              <w:spacing w:after="0"/>
              <w:rPr>
                <w:sz w:val="20"/>
                <w:szCs w:val="20"/>
                <w:color w:val="auto"/>
              </w:rPr>
            </w:pPr>
            <w:r>
              <w:rPr>
                <w:rFonts w:ascii="Arial" w:cs="Arial" w:eastAsia="Arial" w:hAnsi="Arial"/>
                <w:sz w:val="12"/>
                <w:szCs w:val="12"/>
                <w:color w:val="auto"/>
              </w:rPr>
              <w:t>—</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ACABC0"/>
            </w:tcBorders>
            <w:shd w:val="clear" w:color="auto" w:fill="ACABC0"/>
          </w:tcPr>
          <w:p>
            <w:pPr>
              <w:spacing w:after="0"/>
              <w:rPr>
                <w:sz w:val="19"/>
                <w:szCs w:val="19"/>
                <w:color w:val="auto"/>
              </w:rPr>
            </w:pPr>
          </w:p>
        </w:tc>
        <w:tc>
          <w:tcPr>
            <w:tcW w:w="1140" w:type="dxa"/>
            <w:vAlign w:val="bottom"/>
            <w:tcBorders>
              <w:bottom w:val="single" w:sz="8" w:color="ACABC0"/>
            </w:tcBorders>
            <w:shd w:val="clear" w:color="auto" w:fill="ACABC0"/>
          </w:tcPr>
          <w:p>
            <w:pPr>
              <w:spacing w:after="0"/>
              <w:rPr>
                <w:sz w:val="19"/>
                <w:szCs w:val="19"/>
                <w:color w:val="auto"/>
              </w:rPr>
            </w:pPr>
          </w:p>
        </w:tc>
        <w:tc>
          <w:tcPr>
            <w:tcW w:w="120" w:type="dxa"/>
            <w:vAlign w:val="bottom"/>
            <w:tcBorders>
              <w:bottom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2"/>
                <w:szCs w:val="12"/>
                <w:color w:val="auto"/>
              </w:rPr>
              <w:t>01/31/2021</w:t>
            </w:r>
            <w:r>
              <w:rPr>
                <w:rFonts w:ascii="Times New Roman" w:cs="Times New Roman" w:eastAsia="Times New Roman" w:hAnsi="Times New Roman"/>
                <w:sz w:val="3"/>
                <w:szCs w:val="3"/>
                <w:color w:val="auto"/>
              </w:rPr>
              <w:t>​ ​</w:t>
            </w:r>
          </w:p>
        </w:tc>
        <w:tc>
          <w:tcPr>
            <w:tcW w:w="64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2"/>
                <w:szCs w:val="12"/>
                <w:color w:val="auto"/>
              </w:rPr>
              <w:t>01/26/2021</w:t>
            </w:r>
            <w:r>
              <w:rPr>
                <w:rFonts w:ascii="Times New Roman" w:cs="Times New Roman" w:eastAsia="Times New Roman" w:hAnsi="Times New Roman"/>
                <w:sz w:val="3"/>
                <w:szCs w:val="3"/>
                <w:color w:val="auto"/>
              </w:rPr>
              <w:t>​</w:t>
            </w:r>
          </w:p>
        </w:tc>
        <w:tc>
          <w:tcPr>
            <w:tcW w:w="4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2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60" w:type="dxa"/>
            <w:vAlign w:val="bottom"/>
            <w:tcBorders>
              <w:bottom w:val="single" w:sz="8" w:color="ACABC0"/>
            </w:tcBorders>
            <w:shd w:val="clear" w:color="auto" w:fill="ACABC0"/>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CABC0"/>
            </w:tcBorders>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Borders>
              <w:bottom w:val="single" w:sz="8" w:color="ACABC0"/>
            </w:tcBorders>
            <w:shd w:val="clear" w:color="auto" w:fill="ACABC0"/>
          </w:tcPr>
          <w:p>
            <w:pPr>
              <w:jc w:val="right"/>
              <w:ind w:right="58"/>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CABC0"/>
            </w:tcBorders>
            <w:shd w:val="clear" w:color="auto" w:fill="ACABC0"/>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40" w:type="dxa"/>
            <w:vAlign w:val="bottom"/>
            <w:tcBorders>
              <w:bottom w:val="single" w:sz="8" w:color="ACABC0"/>
            </w:tcBorders>
            <w:shd w:val="clear" w:color="auto" w:fill="ACABC0"/>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CABC0"/>
            </w:tcBorders>
            <w:shd w:val="clear" w:color="auto" w:fill="ACABC0"/>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60" w:type="dxa"/>
            <w:vAlign w:val="bottom"/>
            <w:tcBorders>
              <w:bottom w:val="single" w:sz="8" w:color="ACABC0"/>
            </w:tcBorders>
            <w:shd w:val="clear" w:color="auto" w:fill="ACABC0"/>
          </w:tcPr>
          <w:p>
            <w:pPr>
              <w:jc w:val="right"/>
              <w:ind w:right="58"/>
              <w:spacing w:after="0"/>
              <w:rPr>
                <w:sz w:val="20"/>
                <w:szCs w:val="20"/>
                <w:color w:val="auto"/>
              </w:rPr>
            </w:pPr>
            <w:r>
              <w:rPr>
                <w:rFonts w:ascii="Arial" w:cs="Arial" w:eastAsia="Arial" w:hAnsi="Arial"/>
                <w:sz w:val="12"/>
                <w:szCs w:val="12"/>
                <w:color w:val="auto"/>
              </w:rPr>
              <w:t>55,353</w:t>
            </w:r>
          </w:p>
        </w:tc>
        <w:tc>
          <w:tcPr>
            <w:tcW w:w="80" w:type="dxa"/>
            <w:vAlign w:val="bottom"/>
            <w:tcBorders>
              <w:bottom w:val="single" w:sz="8" w:color="ACABC0"/>
            </w:tcBorders>
            <w:shd w:val="clear" w:color="auto" w:fill="ACABC0"/>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Borders>
              <w:bottom w:val="single" w:sz="8" w:color="ACABC0"/>
            </w:tcBorders>
            <w:shd w:val="clear" w:color="auto" w:fill="ACABC0"/>
          </w:tcPr>
          <w:p>
            <w:pPr>
              <w:jc w:val="right"/>
              <w:ind w:right="158"/>
              <w:spacing w:after="0"/>
              <w:rPr>
                <w:sz w:val="20"/>
                <w:szCs w:val="20"/>
                <w:color w:val="auto"/>
              </w:rPr>
            </w:pPr>
            <w:r>
              <w:rPr>
                <w:rFonts w:ascii="Arial" w:cs="Arial" w:eastAsia="Arial" w:hAnsi="Arial"/>
                <w:sz w:val="12"/>
                <w:szCs w:val="12"/>
                <w:color w:val="auto"/>
              </w:rPr>
              <w:t>135,061</w:t>
            </w:r>
          </w:p>
        </w:tc>
        <w:tc>
          <w:tcPr>
            <w:tcW w:w="12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01/31/2021</w:t>
            </w:r>
            <w:r>
              <w:rPr>
                <w:rFonts w:ascii="Times New Roman" w:cs="Times New Roman" w:eastAsia="Times New Roman" w:hAnsi="Times New Roman"/>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01/26/2021</w:t>
            </w:r>
            <w:r>
              <w:rPr>
                <w:rFonts w:ascii="Times New Roman" w:cs="Times New Roman" w:eastAsia="Times New Roman" w:hAnsi="Times New Roman"/>
                <w:sz w:val="3"/>
                <w:szCs w:val="3"/>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 </w:t>
            </w:r>
            <w:r>
              <w:rPr>
                <w:rFonts w:ascii="Times New Roman" w:cs="Times New Roman" w:eastAsia="Times New Roman" w:hAnsi="Times New Roman"/>
                <w:sz w:val="3"/>
                <w:szCs w:val="3"/>
                <w:color w:val="auto"/>
              </w:rPr>
              <w:t>​ ​</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Pr>
          <w:p>
            <w:pPr>
              <w:jc w:val="right"/>
              <w:ind w:right="38"/>
              <w:spacing w:after="0"/>
              <w:rPr>
                <w:sz w:val="20"/>
                <w:szCs w:val="20"/>
                <w:color w:val="auto"/>
              </w:rPr>
            </w:pPr>
            <w:r>
              <w:rPr>
                <w:rFonts w:ascii="Arial" w:cs="Arial" w:eastAsia="Arial" w:hAnsi="Arial"/>
                <w:sz w:val="12"/>
                <w:szCs w:val="12"/>
                <w:color w:val="auto"/>
              </w:rPr>
              <w:t>86,162</w:t>
            </w:r>
          </w:p>
        </w:tc>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344,647 </w:t>
            </w:r>
            <w:r>
              <w:rPr>
                <w:rFonts w:ascii="Times New Roman" w:cs="Times New Roman" w:eastAsia="Times New Roman" w:hAnsi="Times New Roman"/>
                <w:sz w:val="3"/>
                <w:szCs w:val="3"/>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689,294</w:t>
            </w:r>
          </w:p>
        </w:tc>
        <w:tc>
          <w:tcPr>
            <w:tcW w:w="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66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1,347,570</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-1895475</wp:posOffset>
            </wp:positionV>
            <wp:extent cx="5237480" cy="2717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37480" cy="27178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-1487170</wp:posOffset>
            </wp:positionV>
            <wp:extent cx="5237480" cy="2717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37480" cy="27178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-1078865</wp:posOffset>
            </wp:positionV>
            <wp:extent cx="5237480" cy="2717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37480" cy="27178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-671195</wp:posOffset>
            </wp:positionV>
            <wp:extent cx="5237480" cy="2717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37480" cy="27178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-262890</wp:posOffset>
            </wp:positionV>
            <wp:extent cx="5237480" cy="2635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37480" cy="263525"/>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118745</wp:posOffset>
            </wp:positionV>
            <wp:extent cx="8159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217" w:lineRule="exact"/>
        <w:rPr>
          <w:sz w:val="20"/>
          <w:szCs w:val="20"/>
          <w:color w:val="auto"/>
        </w:rPr>
      </w:pPr>
    </w:p>
    <w:p>
      <w:pPr>
        <w:ind w:left="680" w:right="419" w:hanging="354"/>
        <w:spacing w:after="0" w:line="237" w:lineRule="auto"/>
        <w:tabs>
          <w:tab w:leader="none" w:pos="6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amounts reported are the target and maximum annual bonuses that our named executive officers were eligible to receive for performance in respect of 2021 pursuant to our annual cash bonus plan. For additional information, see “Compensation Discussion and Analysis—Analysis of 2021 Executive Compensation Decisions—Annual Cash Bonus” above.</w:t>
      </w:r>
    </w:p>
    <w:p>
      <w:pPr>
        <w:spacing w:after="0" w:line="14" w:lineRule="exact"/>
        <w:rPr>
          <w:rFonts w:ascii="Arial" w:cs="Arial" w:eastAsia="Arial" w:hAnsi="Arial"/>
          <w:sz w:val="15"/>
          <w:szCs w:val="15"/>
          <w:color w:val="auto"/>
        </w:rPr>
      </w:pPr>
    </w:p>
    <w:p>
      <w:pPr>
        <w:ind w:left="680" w:right="359" w:hanging="354"/>
        <w:spacing w:after="0" w:line="228" w:lineRule="auto"/>
        <w:tabs>
          <w:tab w:leader="none" w:pos="6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These amounts reflect PSUs, which are scheduled to vest between 0% and 200% of the number of shares shown in the “Target” sub-column based on attainment of both a service condition that will lapse one-third each year over three years and the specified relative TSR performance condition that will be measured on January 4, 2024. The amounts in the “Threshold” sub-column reflect the 25% of the shares shown in the “Target” sub-column that will vest on attainment of the service condition and the threshold performance level. If either the service condition or the threshold performance level is not attained, the awards will be forfeited. The amounts in the “Target” sub-column reflect the 100% of the shares that will vest on attainment of the service condition and the target performance level. The amounts in the “Maximum” sub-column reflect the 200% of the shares that will vest on attainment of the service condition and the maximum performance level. For more on the terms of these awards, see “Compensation Discussion and Analysis— Analysis of 2021 Executive Compensation Decisions—Equity Awards” above.</w:t>
      </w:r>
    </w:p>
    <w:p>
      <w:pPr>
        <w:spacing w:after="0" w:line="21" w:lineRule="exact"/>
        <w:rPr>
          <w:rFonts w:ascii="Arial" w:cs="Arial" w:eastAsia="Arial" w:hAnsi="Arial"/>
          <w:sz w:val="15"/>
          <w:szCs w:val="15"/>
          <w:color w:val="auto"/>
        </w:rPr>
      </w:pPr>
    </w:p>
    <w:p>
      <w:pPr>
        <w:ind w:left="680" w:hanging="354"/>
        <w:spacing w:after="0"/>
        <w:tabs>
          <w:tab w:leader="none" w:pos="6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These amounts reflect RSUs that are scheduled to vest one-third each year over three years, based solely on service.</w:t>
      </w:r>
    </w:p>
    <w:p>
      <w:pPr>
        <w:spacing w:after="0" w:line="41" w:lineRule="exact"/>
        <w:rPr>
          <w:rFonts w:ascii="Arial" w:cs="Arial" w:eastAsia="Arial" w:hAnsi="Arial"/>
          <w:sz w:val="15"/>
          <w:szCs w:val="15"/>
          <w:color w:val="auto"/>
        </w:rPr>
      </w:pPr>
    </w:p>
    <w:p>
      <w:pPr>
        <w:ind w:left="680" w:right="539" w:hanging="354"/>
        <w:spacing w:after="0" w:line="260" w:lineRule="auto"/>
        <w:tabs>
          <w:tab w:leader="none" w:pos="6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amounts in this column for the RSUs reflect their aggregate grant date fair values, calculated in accordance with FASB ASC Topic 718, excluding the effect of estimated forfeitures.</w:t>
      </w:r>
    </w:p>
    <w:p>
      <w:pPr>
        <w:spacing w:after="0" w:line="1" w:lineRule="exact"/>
        <w:rPr>
          <w:rFonts w:ascii="Arial" w:cs="Arial" w:eastAsia="Arial" w:hAnsi="Arial"/>
          <w:sz w:val="15"/>
          <w:szCs w:val="15"/>
          <w:color w:val="auto"/>
        </w:rPr>
      </w:pPr>
    </w:p>
    <w:p>
      <w:pPr>
        <w:ind w:left="680" w:right="339"/>
        <w:spacing w:after="0" w:line="242" w:lineRule="auto"/>
        <w:rPr>
          <w:rFonts w:ascii="Arial" w:cs="Arial" w:eastAsia="Arial" w:hAnsi="Arial"/>
          <w:sz w:val="15"/>
          <w:szCs w:val="15"/>
          <w:color w:val="auto"/>
        </w:rPr>
      </w:pPr>
      <w:r>
        <w:rPr>
          <w:rFonts w:ascii="Arial" w:cs="Arial" w:eastAsia="Arial" w:hAnsi="Arial"/>
          <w:sz w:val="15"/>
          <w:szCs w:val="15"/>
          <w:color w:val="auto"/>
        </w:rPr>
        <w:t>The amounts in this column for the PSUs were calculated based on the probable outcome of the performance condition as of the grant date, consistent with the estimate of aggregate compensation cost to be recognized over the service period determined as of the grant date under FASB ASC Topic 718, excluding the effect of</w:t>
      </w:r>
    </w:p>
    <w:p>
      <w:pPr>
        <w:spacing w:after="0" w:line="91"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50</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920" w:type="dxa"/>
            <w:vAlign w:val="bottom"/>
            <w:vMerge w:val="continue"/>
          </w:tcPr>
          <w:p>
            <w:pPr>
              <w:spacing w:after="0"/>
              <w:rPr>
                <w:sz w:val="23"/>
                <w:szCs w:val="23"/>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5" w:name="page56"/>
    <w:bookmarkEnd w:id="55"/>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176" w:lineRule="exact"/>
        <w:rPr>
          <w:sz w:val="20"/>
          <w:szCs w:val="20"/>
          <w:color w:val="auto"/>
        </w:rPr>
      </w:pPr>
    </w:p>
    <w:p>
      <w:pPr>
        <w:ind w:left="680" w:right="459"/>
        <w:spacing w:after="0" w:line="242" w:lineRule="auto"/>
        <w:rPr>
          <w:sz w:val="20"/>
          <w:szCs w:val="20"/>
          <w:color w:val="auto"/>
        </w:rPr>
      </w:pPr>
      <w:r>
        <w:rPr>
          <w:rFonts w:ascii="Arial" w:cs="Arial" w:eastAsia="Arial" w:hAnsi="Arial"/>
          <w:sz w:val="15"/>
          <w:szCs w:val="15"/>
          <w:color w:val="auto"/>
        </w:rPr>
        <w:t>estimated forfeitures. For the values of these awards, assuming attainment of the maximum level of performance, see Footnote 3 to the “2021 Summary Compensation Table” above. The actual value, if any, that each named executive officer will realize for these PSUs is a function of the value of the shares if and when the awards vest.</w:t>
      </w:r>
    </w:p>
    <w:p>
      <w:pPr>
        <w:spacing w:after="0" w:line="14" w:lineRule="exact"/>
        <w:rPr>
          <w:sz w:val="20"/>
          <w:szCs w:val="20"/>
          <w:color w:val="auto"/>
        </w:rPr>
      </w:pPr>
    </w:p>
    <w:p>
      <w:pPr>
        <w:ind w:left="680" w:right="339"/>
        <w:spacing w:after="0" w:line="260" w:lineRule="auto"/>
        <w:rPr>
          <w:sz w:val="20"/>
          <w:szCs w:val="20"/>
          <w:color w:val="auto"/>
        </w:rPr>
      </w:pPr>
      <w:r>
        <w:rPr>
          <w:rFonts w:ascii="Arial" w:cs="Arial" w:eastAsia="Arial" w:hAnsi="Arial"/>
          <w:sz w:val="15"/>
          <w:szCs w:val="15"/>
          <w:color w:val="auto"/>
        </w:rPr>
        <w:t>For additional information on how we account for equity-based compensation, see Note 12 to our consolidated financial statements in our Annual Report on Form 10-K for the year ended December 31, 2021.</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Outstanding Equity Awards at 2021 Fiscal Year-End</w:t>
      </w:r>
    </w:p>
    <w:p>
      <w:pPr>
        <w:spacing w:after="0" w:line="129" w:lineRule="exact"/>
        <w:rPr>
          <w:sz w:val="20"/>
          <w:szCs w:val="20"/>
          <w:color w:val="auto"/>
        </w:rPr>
      </w:pPr>
    </w:p>
    <w:p>
      <w:pPr>
        <w:ind w:left="320" w:right="399"/>
        <w:spacing w:after="0" w:line="282" w:lineRule="auto"/>
        <w:rPr>
          <w:sz w:val="20"/>
          <w:szCs w:val="20"/>
          <w:color w:val="auto"/>
        </w:rPr>
      </w:pPr>
      <w:r>
        <w:rPr>
          <w:rFonts w:ascii="Arial" w:cs="Arial" w:eastAsia="Arial" w:hAnsi="Arial"/>
          <w:sz w:val="16"/>
          <w:szCs w:val="16"/>
          <w:color w:val="auto"/>
        </w:rPr>
        <w:t>The following table provides information on the outstanding equity awards held by our named executive officers as of December 31, 2021.</w:t>
      </w:r>
    </w:p>
    <w:p>
      <w:pPr>
        <w:spacing w:after="0" w:line="24" w:lineRule="exact"/>
        <w:rPr>
          <w:sz w:val="20"/>
          <w:szCs w:val="20"/>
          <w:color w:val="auto"/>
        </w:rPr>
      </w:pPr>
    </w:p>
    <w:tbl>
      <w:tblPr>
        <w:tblLayout w:type="fixed"/>
        <w:tblInd w:w="32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2060" w:type="dxa"/>
            <w:vAlign w:val="bottom"/>
            <w:shd w:val="clear" w:color="auto" w:fill="717295"/>
          </w:tcPr>
          <w:p>
            <w:pPr>
              <w:spacing w:after="0"/>
              <w:rPr>
                <w:sz w:val="22"/>
                <w:szCs w:val="22"/>
                <w:color w:val="auto"/>
              </w:rPr>
            </w:pPr>
          </w:p>
        </w:tc>
        <w:tc>
          <w:tcPr>
            <w:tcW w:w="720" w:type="dxa"/>
            <w:vAlign w:val="bottom"/>
            <w:shd w:val="clear" w:color="auto" w:fill="717295"/>
          </w:tcPr>
          <w:p>
            <w:pPr>
              <w:spacing w:after="0"/>
              <w:rPr>
                <w:sz w:val="22"/>
                <w:szCs w:val="22"/>
                <w:color w:val="auto"/>
              </w:rPr>
            </w:pPr>
          </w:p>
        </w:tc>
        <w:tc>
          <w:tcPr>
            <w:tcW w:w="1240" w:type="dxa"/>
            <w:vAlign w:val="bottom"/>
            <w:shd w:val="clear" w:color="auto" w:fill="717295"/>
          </w:tcPr>
          <w:p>
            <w:pPr>
              <w:spacing w:after="0"/>
              <w:rPr>
                <w:sz w:val="22"/>
                <w:szCs w:val="22"/>
                <w:color w:val="auto"/>
              </w:rPr>
            </w:pPr>
          </w:p>
        </w:tc>
        <w:tc>
          <w:tcPr>
            <w:tcW w:w="120" w:type="dxa"/>
            <w:vAlign w:val="bottom"/>
            <w:shd w:val="clear" w:color="auto" w:fill="717295"/>
          </w:tcPr>
          <w:p>
            <w:pPr>
              <w:spacing w:after="0"/>
              <w:rPr>
                <w:sz w:val="22"/>
                <w:szCs w:val="22"/>
                <w:color w:val="auto"/>
              </w:rPr>
            </w:pPr>
          </w:p>
        </w:tc>
        <w:tc>
          <w:tcPr>
            <w:tcW w:w="360" w:type="dxa"/>
            <w:vAlign w:val="bottom"/>
            <w:shd w:val="clear" w:color="auto" w:fill="717295"/>
          </w:tcPr>
          <w:p>
            <w:pPr>
              <w:spacing w:after="0"/>
              <w:rPr>
                <w:sz w:val="22"/>
                <w:szCs w:val="22"/>
                <w:color w:val="auto"/>
              </w:rPr>
            </w:pPr>
          </w:p>
        </w:tc>
        <w:tc>
          <w:tcPr>
            <w:tcW w:w="920" w:type="dxa"/>
            <w:vAlign w:val="bottom"/>
            <w:shd w:val="clear" w:color="auto" w:fill="717295"/>
          </w:tcPr>
          <w:p>
            <w:pPr>
              <w:spacing w:after="0"/>
              <w:rPr>
                <w:sz w:val="22"/>
                <w:szCs w:val="22"/>
                <w:color w:val="auto"/>
              </w:rPr>
            </w:pPr>
          </w:p>
        </w:tc>
        <w:tc>
          <w:tcPr>
            <w:tcW w:w="120" w:type="dxa"/>
            <w:vAlign w:val="bottom"/>
            <w:shd w:val="clear" w:color="auto" w:fill="717295"/>
          </w:tcPr>
          <w:p>
            <w:pPr>
              <w:spacing w:after="0"/>
              <w:rPr>
                <w:sz w:val="22"/>
                <w:szCs w:val="22"/>
                <w:color w:val="auto"/>
              </w:rPr>
            </w:pPr>
          </w:p>
        </w:tc>
        <w:tc>
          <w:tcPr>
            <w:tcW w:w="1220" w:type="dxa"/>
            <w:vAlign w:val="bottom"/>
            <w:gridSpan w:val="2"/>
            <w:shd w:val="clear" w:color="auto" w:fill="717295"/>
          </w:tcPr>
          <w:p>
            <w:pPr>
              <w:jc w:val="center"/>
              <w:spacing w:after="0"/>
              <w:rPr>
                <w:sz w:val="20"/>
                <w:szCs w:val="20"/>
                <w:color w:val="auto"/>
              </w:rPr>
            </w:pPr>
            <w:r>
              <w:rPr>
                <w:rFonts w:ascii="Arial" w:cs="Arial" w:eastAsia="Arial" w:hAnsi="Arial"/>
                <w:sz w:val="14"/>
                <w:szCs w:val="14"/>
                <w:b w:val="1"/>
                <w:bCs w:val="1"/>
                <w:color w:val="FFFFFF"/>
              </w:rPr>
              <w:t>Equity Incentive</w:t>
            </w:r>
          </w:p>
        </w:tc>
        <w:tc>
          <w:tcPr>
            <w:tcW w:w="120" w:type="dxa"/>
            <w:vAlign w:val="bottom"/>
            <w:shd w:val="clear" w:color="auto" w:fill="717295"/>
          </w:tcPr>
          <w:p>
            <w:pPr>
              <w:spacing w:after="0"/>
              <w:rPr>
                <w:sz w:val="22"/>
                <w:szCs w:val="22"/>
                <w:color w:val="auto"/>
              </w:rPr>
            </w:pPr>
          </w:p>
        </w:tc>
        <w:tc>
          <w:tcPr>
            <w:tcW w:w="150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Equity Incentive Plan</w:t>
            </w:r>
          </w:p>
        </w:tc>
        <w:tc>
          <w:tcPr>
            <w:tcW w:w="120" w:type="dxa"/>
            <w:vAlign w:val="bottom"/>
            <w:shd w:val="clear" w:color="auto" w:fill="717295"/>
          </w:tcPr>
          <w:p>
            <w:pPr>
              <w:spacing w:after="0"/>
              <w:rPr>
                <w:sz w:val="22"/>
                <w:szCs w:val="22"/>
                <w:color w:val="auto"/>
              </w:rPr>
            </w:pPr>
          </w:p>
        </w:tc>
      </w:tr>
      <w:tr>
        <w:trPr>
          <w:trHeight w:val="161"/>
        </w:trPr>
        <w:tc>
          <w:tcPr>
            <w:tcW w:w="20" w:type="dxa"/>
            <w:vAlign w:val="bottom"/>
          </w:tcPr>
          <w:p>
            <w:pPr>
              <w:spacing w:after="0"/>
              <w:rPr>
                <w:sz w:val="13"/>
                <w:szCs w:val="13"/>
                <w:color w:val="auto"/>
              </w:rPr>
            </w:pPr>
          </w:p>
        </w:tc>
        <w:tc>
          <w:tcPr>
            <w:tcW w:w="2060" w:type="dxa"/>
            <w:vAlign w:val="bottom"/>
            <w:shd w:val="clear" w:color="auto" w:fill="717295"/>
          </w:tcPr>
          <w:p>
            <w:pPr>
              <w:spacing w:after="0"/>
              <w:rPr>
                <w:sz w:val="13"/>
                <w:szCs w:val="13"/>
                <w:color w:val="auto"/>
              </w:rPr>
            </w:pPr>
          </w:p>
        </w:tc>
        <w:tc>
          <w:tcPr>
            <w:tcW w:w="720" w:type="dxa"/>
            <w:vAlign w:val="bottom"/>
            <w:shd w:val="clear" w:color="auto" w:fill="717295"/>
          </w:tcPr>
          <w:p>
            <w:pPr>
              <w:spacing w:after="0"/>
              <w:rPr>
                <w:sz w:val="13"/>
                <w:szCs w:val="13"/>
                <w:color w:val="auto"/>
              </w:rPr>
            </w:pPr>
          </w:p>
        </w:tc>
        <w:tc>
          <w:tcPr>
            <w:tcW w:w="1240" w:type="dxa"/>
            <w:vAlign w:val="bottom"/>
            <w:shd w:val="clear" w:color="auto" w:fill="717295"/>
          </w:tcPr>
          <w:p>
            <w:pPr>
              <w:spacing w:after="0"/>
              <w:rPr>
                <w:sz w:val="13"/>
                <w:szCs w:val="13"/>
                <w:color w:val="auto"/>
              </w:rPr>
            </w:pPr>
          </w:p>
        </w:tc>
        <w:tc>
          <w:tcPr>
            <w:tcW w:w="120" w:type="dxa"/>
            <w:vAlign w:val="bottom"/>
            <w:shd w:val="clear" w:color="auto" w:fill="717295"/>
          </w:tcPr>
          <w:p>
            <w:pPr>
              <w:spacing w:after="0"/>
              <w:rPr>
                <w:sz w:val="13"/>
                <w:szCs w:val="13"/>
                <w:color w:val="auto"/>
              </w:rPr>
            </w:pPr>
          </w:p>
        </w:tc>
        <w:tc>
          <w:tcPr>
            <w:tcW w:w="360" w:type="dxa"/>
            <w:vAlign w:val="bottom"/>
            <w:shd w:val="clear" w:color="auto" w:fill="717295"/>
          </w:tcPr>
          <w:p>
            <w:pPr>
              <w:spacing w:after="0"/>
              <w:rPr>
                <w:sz w:val="13"/>
                <w:szCs w:val="13"/>
                <w:color w:val="auto"/>
              </w:rPr>
            </w:pPr>
          </w:p>
        </w:tc>
        <w:tc>
          <w:tcPr>
            <w:tcW w:w="920" w:type="dxa"/>
            <w:vAlign w:val="bottom"/>
            <w:shd w:val="clear" w:color="auto" w:fill="717295"/>
          </w:tcPr>
          <w:p>
            <w:pPr>
              <w:spacing w:after="0"/>
              <w:rPr>
                <w:sz w:val="13"/>
                <w:szCs w:val="13"/>
                <w:color w:val="auto"/>
              </w:rPr>
            </w:pPr>
          </w:p>
        </w:tc>
        <w:tc>
          <w:tcPr>
            <w:tcW w:w="120" w:type="dxa"/>
            <w:vAlign w:val="bottom"/>
            <w:shd w:val="clear" w:color="auto" w:fill="717295"/>
          </w:tcPr>
          <w:p>
            <w:pPr>
              <w:spacing w:after="0"/>
              <w:rPr>
                <w:sz w:val="13"/>
                <w:szCs w:val="13"/>
                <w:color w:val="auto"/>
              </w:rPr>
            </w:pPr>
          </w:p>
        </w:tc>
        <w:tc>
          <w:tcPr>
            <w:tcW w:w="1220" w:type="dxa"/>
            <w:vAlign w:val="bottom"/>
            <w:gridSpan w:val="2"/>
            <w:shd w:val="clear" w:color="auto" w:fill="717295"/>
          </w:tcPr>
          <w:p>
            <w:pPr>
              <w:jc w:val="center"/>
              <w:spacing w:after="0"/>
              <w:rPr>
                <w:sz w:val="20"/>
                <w:szCs w:val="20"/>
                <w:color w:val="auto"/>
              </w:rPr>
            </w:pPr>
            <w:r>
              <w:rPr>
                <w:rFonts w:ascii="Arial" w:cs="Arial" w:eastAsia="Arial" w:hAnsi="Arial"/>
                <w:sz w:val="14"/>
                <w:szCs w:val="14"/>
                <w:b w:val="1"/>
                <w:bCs w:val="1"/>
                <w:color w:val="FFFFFF"/>
              </w:rPr>
              <w:t>Plan Awards:</w:t>
            </w:r>
          </w:p>
        </w:tc>
        <w:tc>
          <w:tcPr>
            <w:tcW w:w="120" w:type="dxa"/>
            <w:vAlign w:val="bottom"/>
            <w:shd w:val="clear" w:color="auto" w:fill="717295"/>
          </w:tcPr>
          <w:p>
            <w:pPr>
              <w:spacing w:after="0"/>
              <w:rPr>
                <w:sz w:val="13"/>
                <w:szCs w:val="13"/>
                <w:color w:val="auto"/>
              </w:rPr>
            </w:pPr>
          </w:p>
        </w:tc>
        <w:tc>
          <w:tcPr>
            <w:tcW w:w="150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Awards:</w:t>
            </w:r>
          </w:p>
        </w:tc>
        <w:tc>
          <w:tcPr>
            <w:tcW w:w="120" w:type="dxa"/>
            <w:vAlign w:val="bottom"/>
            <w:shd w:val="clear" w:color="auto" w:fill="717295"/>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2060" w:type="dxa"/>
            <w:vAlign w:val="bottom"/>
            <w:shd w:val="clear" w:color="auto" w:fill="717295"/>
          </w:tcPr>
          <w:p>
            <w:pPr>
              <w:spacing w:after="0"/>
              <w:rPr>
                <w:sz w:val="13"/>
                <w:szCs w:val="13"/>
                <w:color w:val="auto"/>
              </w:rPr>
            </w:pPr>
          </w:p>
        </w:tc>
        <w:tc>
          <w:tcPr>
            <w:tcW w:w="720" w:type="dxa"/>
            <w:vAlign w:val="bottom"/>
            <w:shd w:val="clear" w:color="auto" w:fill="717295"/>
          </w:tcPr>
          <w:p>
            <w:pPr>
              <w:spacing w:after="0"/>
              <w:rPr>
                <w:sz w:val="13"/>
                <w:szCs w:val="13"/>
                <w:color w:val="auto"/>
              </w:rPr>
            </w:pPr>
          </w:p>
        </w:tc>
        <w:tc>
          <w:tcPr>
            <w:tcW w:w="1240" w:type="dxa"/>
            <w:vAlign w:val="bottom"/>
            <w:shd w:val="clear" w:color="auto" w:fill="717295"/>
          </w:tcPr>
          <w:p>
            <w:pPr>
              <w:spacing w:after="0"/>
              <w:rPr>
                <w:sz w:val="13"/>
                <w:szCs w:val="13"/>
                <w:color w:val="auto"/>
              </w:rPr>
            </w:pPr>
          </w:p>
        </w:tc>
        <w:tc>
          <w:tcPr>
            <w:tcW w:w="120" w:type="dxa"/>
            <w:vAlign w:val="bottom"/>
            <w:shd w:val="clear" w:color="auto" w:fill="717295"/>
          </w:tcPr>
          <w:p>
            <w:pPr>
              <w:spacing w:after="0"/>
              <w:rPr>
                <w:sz w:val="13"/>
                <w:szCs w:val="13"/>
                <w:color w:val="auto"/>
              </w:rPr>
            </w:pPr>
          </w:p>
        </w:tc>
        <w:tc>
          <w:tcPr>
            <w:tcW w:w="360" w:type="dxa"/>
            <w:vAlign w:val="bottom"/>
            <w:shd w:val="clear" w:color="auto" w:fill="717295"/>
          </w:tcPr>
          <w:p>
            <w:pPr>
              <w:spacing w:after="0"/>
              <w:rPr>
                <w:sz w:val="13"/>
                <w:szCs w:val="13"/>
                <w:color w:val="auto"/>
              </w:rPr>
            </w:pPr>
          </w:p>
        </w:tc>
        <w:tc>
          <w:tcPr>
            <w:tcW w:w="920" w:type="dxa"/>
            <w:vAlign w:val="bottom"/>
            <w:shd w:val="clear" w:color="auto" w:fill="717295"/>
          </w:tcPr>
          <w:p>
            <w:pPr>
              <w:spacing w:after="0"/>
              <w:rPr>
                <w:sz w:val="13"/>
                <w:szCs w:val="13"/>
                <w:color w:val="auto"/>
              </w:rPr>
            </w:pPr>
          </w:p>
        </w:tc>
        <w:tc>
          <w:tcPr>
            <w:tcW w:w="120" w:type="dxa"/>
            <w:vAlign w:val="bottom"/>
            <w:shd w:val="clear" w:color="auto" w:fill="717295"/>
          </w:tcPr>
          <w:p>
            <w:pPr>
              <w:spacing w:after="0"/>
              <w:rPr>
                <w:sz w:val="13"/>
                <w:szCs w:val="13"/>
                <w:color w:val="auto"/>
              </w:rPr>
            </w:pPr>
          </w:p>
        </w:tc>
        <w:tc>
          <w:tcPr>
            <w:tcW w:w="1220" w:type="dxa"/>
            <w:vAlign w:val="bottom"/>
            <w:gridSpan w:val="2"/>
            <w:shd w:val="clear" w:color="auto" w:fill="717295"/>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20" w:type="dxa"/>
            <w:vAlign w:val="bottom"/>
            <w:shd w:val="clear" w:color="auto" w:fill="717295"/>
          </w:tcPr>
          <w:p>
            <w:pPr>
              <w:spacing w:after="0"/>
              <w:rPr>
                <w:sz w:val="13"/>
                <w:szCs w:val="13"/>
                <w:color w:val="auto"/>
              </w:rPr>
            </w:pPr>
          </w:p>
        </w:tc>
        <w:tc>
          <w:tcPr>
            <w:tcW w:w="150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Market or Payout</w:t>
            </w:r>
          </w:p>
        </w:tc>
        <w:tc>
          <w:tcPr>
            <w:tcW w:w="120" w:type="dxa"/>
            <w:vAlign w:val="bottom"/>
            <w:shd w:val="clear" w:color="auto" w:fill="717295"/>
          </w:tcPr>
          <w:p>
            <w:pPr>
              <w:spacing w:after="0"/>
              <w:rPr>
                <w:sz w:val="13"/>
                <w:szCs w:val="13"/>
                <w:color w:val="auto"/>
              </w:rPr>
            </w:pPr>
          </w:p>
        </w:tc>
      </w:tr>
      <w:tr>
        <w:trPr>
          <w:trHeight w:val="170"/>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60" w:type="dxa"/>
            <w:vAlign w:val="bottom"/>
            <w:shd w:val="clear" w:color="auto" w:fill="717295"/>
          </w:tcPr>
          <w:p>
            <w:pPr>
              <w:spacing w:after="0"/>
              <w:rPr>
                <w:sz w:val="14"/>
                <w:szCs w:val="14"/>
                <w:color w:val="auto"/>
              </w:rPr>
            </w:pPr>
          </w:p>
        </w:tc>
        <w:tc>
          <w:tcPr>
            <w:tcW w:w="2080" w:type="dxa"/>
            <w:vAlign w:val="bottom"/>
            <w:gridSpan w:val="3"/>
            <w:shd w:val="clear" w:color="auto" w:fill="717295"/>
          </w:tcPr>
          <w:p>
            <w:pPr>
              <w:ind w:left="620"/>
              <w:spacing w:after="0"/>
              <w:rPr>
                <w:sz w:val="20"/>
                <w:szCs w:val="20"/>
                <w:color w:val="auto"/>
              </w:rPr>
            </w:pPr>
            <w:r>
              <w:rPr>
                <w:rFonts w:ascii="Times New Roman" w:cs="Times New Roman" w:eastAsia="Times New Roman" w:hAnsi="Times New Roman"/>
                <w:sz w:val="7"/>
                <w:szCs w:val="7"/>
                <w:color w:val="000000"/>
                <w:vertAlign w:val="subscript"/>
              </w:rPr>
              <w:t>​   ​</w:t>
            </w:r>
            <w:r>
              <w:rPr>
                <w:rFonts w:ascii="Arial" w:cs="Arial" w:eastAsia="Arial" w:hAnsi="Arial"/>
                <w:sz w:val="14"/>
                <w:szCs w:val="14"/>
                <w:b w:val="1"/>
                <w:bCs w:val="1"/>
                <w:color w:val="FFFFFF"/>
              </w:rPr>
              <w:t xml:space="preserve">   Number of Shares </w:t>
            </w:r>
            <w:r>
              <w:rPr>
                <w:rFonts w:ascii="Times New Roman" w:cs="Times New Roman" w:eastAsia="Times New Roman" w:hAnsi="Times New Roman"/>
                <w:sz w:val="7"/>
                <w:szCs w:val="7"/>
                <w:color w:val="000000"/>
                <w:vertAlign w:val="subscript"/>
              </w:rPr>
              <w:t>​   ​</w:t>
            </w:r>
          </w:p>
        </w:tc>
        <w:tc>
          <w:tcPr>
            <w:tcW w:w="1280" w:type="dxa"/>
            <w:vAlign w:val="bottom"/>
            <w:gridSpan w:val="2"/>
            <w:shd w:val="clear" w:color="auto" w:fill="717295"/>
          </w:tcPr>
          <w:p>
            <w:pPr>
              <w:jc w:val="center"/>
              <w:spacing w:after="0"/>
              <w:rPr>
                <w:sz w:val="20"/>
                <w:szCs w:val="20"/>
                <w:color w:val="auto"/>
              </w:rPr>
            </w:pPr>
            <w:r>
              <w:rPr>
                <w:rFonts w:ascii="Arial" w:cs="Arial" w:eastAsia="Arial" w:hAnsi="Arial"/>
                <w:sz w:val="14"/>
                <w:szCs w:val="14"/>
                <w:b w:val="1"/>
                <w:bCs w:val="1"/>
                <w:color w:val="FFFFFF"/>
              </w:rPr>
              <w:t>Market Value of</w:t>
            </w:r>
          </w:p>
        </w:tc>
        <w:tc>
          <w:tcPr>
            <w:tcW w:w="1460" w:type="dxa"/>
            <w:vAlign w:val="bottom"/>
            <w:gridSpan w:val="4"/>
            <w:shd w:val="clear" w:color="auto" w:fill="717295"/>
          </w:tcPr>
          <w:p>
            <w:pPr>
              <w:ind w:left="20"/>
              <w:spacing w:after="0"/>
              <w:rPr>
                <w:sz w:val="20"/>
                <w:szCs w:val="20"/>
                <w:color w:val="auto"/>
              </w:rPr>
            </w:pPr>
            <w:r>
              <w:rPr>
                <w:rFonts w:ascii="Times New Roman" w:cs="Times New Roman" w:eastAsia="Times New Roman" w:hAnsi="Times New Roman"/>
                <w:sz w:val="7"/>
                <w:szCs w:val="7"/>
                <w:color w:val="000000"/>
                <w:vertAlign w:val="subscript"/>
              </w:rPr>
              <w:t>​   ​</w:t>
            </w:r>
            <w:r>
              <w:rPr>
                <w:rFonts w:ascii="Arial" w:cs="Arial" w:eastAsia="Arial" w:hAnsi="Arial"/>
                <w:sz w:val="14"/>
                <w:szCs w:val="14"/>
                <w:b w:val="1"/>
                <w:bCs w:val="1"/>
                <w:color w:val="FFFFFF"/>
              </w:rPr>
              <w:t xml:space="preserve">   Unearned Shares, </w:t>
            </w:r>
            <w:r>
              <w:rPr>
                <w:rFonts w:ascii="Times New Roman" w:cs="Times New Roman" w:eastAsia="Times New Roman" w:hAnsi="Times New Roman"/>
                <w:sz w:val="7"/>
                <w:szCs w:val="7"/>
                <w:color w:val="000000"/>
                <w:vertAlign w:val="subscript"/>
              </w:rPr>
              <w:t>​   ​</w:t>
            </w:r>
          </w:p>
        </w:tc>
        <w:tc>
          <w:tcPr>
            <w:tcW w:w="150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Value of Unearned</w:t>
            </w:r>
          </w:p>
        </w:tc>
        <w:tc>
          <w:tcPr>
            <w:tcW w:w="120" w:type="dxa"/>
            <w:vAlign w:val="bottom"/>
            <w:shd w:val="clear" w:color="auto" w:fill="717295"/>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151"/>
        </w:trPr>
        <w:tc>
          <w:tcPr>
            <w:tcW w:w="20" w:type="dxa"/>
            <w:vAlign w:val="bottom"/>
          </w:tcPr>
          <w:p>
            <w:pPr>
              <w:spacing w:after="0"/>
              <w:rPr>
                <w:sz w:val="13"/>
                <w:szCs w:val="13"/>
                <w:color w:val="auto"/>
              </w:rPr>
            </w:pPr>
          </w:p>
        </w:tc>
        <w:tc>
          <w:tcPr>
            <w:tcW w:w="2060" w:type="dxa"/>
            <w:vAlign w:val="bottom"/>
            <w:shd w:val="clear" w:color="auto" w:fill="717295"/>
          </w:tcPr>
          <w:p>
            <w:pPr>
              <w:spacing w:after="0"/>
              <w:rPr>
                <w:sz w:val="13"/>
                <w:szCs w:val="13"/>
                <w:color w:val="auto"/>
              </w:rPr>
            </w:pPr>
          </w:p>
        </w:tc>
        <w:tc>
          <w:tcPr>
            <w:tcW w:w="720" w:type="dxa"/>
            <w:vAlign w:val="bottom"/>
            <w:shd w:val="clear" w:color="auto" w:fill="717295"/>
          </w:tcPr>
          <w:p>
            <w:pPr>
              <w:spacing w:after="0"/>
              <w:rPr>
                <w:sz w:val="13"/>
                <w:szCs w:val="13"/>
                <w:color w:val="auto"/>
              </w:rPr>
            </w:pPr>
          </w:p>
        </w:tc>
        <w:tc>
          <w:tcPr>
            <w:tcW w:w="1240" w:type="dxa"/>
            <w:vAlign w:val="bottom"/>
            <w:shd w:val="clear" w:color="auto" w:fill="717295"/>
          </w:tcPr>
          <w:p>
            <w:pPr>
              <w:jc w:val="center"/>
              <w:spacing w:after="0" w:line="151" w:lineRule="exact"/>
              <w:rPr>
                <w:sz w:val="20"/>
                <w:szCs w:val="20"/>
                <w:color w:val="auto"/>
              </w:rPr>
            </w:pPr>
            <w:r>
              <w:rPr>
                <w:rFonts w:ascii="Arial" w:cs="Arial" w:eastAsia="Arial" w:hAnsi="Arial"/>
                <w:sz w:val="14"/>
                <w:szCs w:val="14"/>
                <w:b w:val="1"/>
                <w:bCs w:val="1"/>
                <w:color w:val="FFFFFF"/>
              </w:rPr>
              <w:t>or Units of Stock</w:t>
            </w:r>
          </w:p>
        </w:tc>
        <w:tc>
          <w:tcPr>
            <w:tcW w:w="120" w:type="dxa"/>
            <w:vAlign w:val="bottom"/>
            <w:shd w:val="clear" w:color="auto" w:fill="717295"/>
          </w:tcPr>
          <w:p>
            <w:pPr>
              <w:spacing w:after="0"/>
              <w:rPr>
                <w:sz w:val="13"/>
                <w:szCs w:val="13"/>
                <w:color w:val="auto"/>
              </w:rPr>
            </w:pPr>
          </w:p>
        </w:tc>
        <w:tc>
          <w:tcPr>
            <w:tcW w:w="1280" w:type="dxa"/>
            <w:vAlign w:val="bottom"/>
            <w:gridSpan w:val="2"/>
            <w:shd w:val="clear" w:color="auto" w:fill="717295"/>
          </w:tcPr>
          <w:p>
            <w:pPr>
              <w:jc w:val="center"/>
              <w:spacing w:after="0" w:line="151" w:lineRule="exact"/>
              <w:rPr>
                <w:sz w:val="20"/>
                <w:szCs w:val="20"/>
                <w:color w:val="auto"/>
              </w:rPr>
            </w:pPr>
            <w:r>
              <w:rPr>
                <w:rFonts w:ascii="Arial" w:cs="Arial" w:eastAsia="Arial" w:hAnsi="Arial"/>
                <w:sz w:val="14"/>
                <w:szCs w:val="14"/>
                <w:b w:val="1"/>
                <w:bCs w:val="1"/>
                <w:color w:val="FFFFFF"/>
              </w:rPr>
              <w:t>Shares or Units of</w:t>
            </w:r>
          </w:p>
        </w:tc>
        <w:tc>
          <w:tcPr>
            <w:tcW w:w="120" w:type="dxa"/>
            <w:vAlign w:val="bottom"/>
            <w:shd w:val="clear" w:color="auto" w:fill="717295"/>
          </w:tcPr>
          <w:p>
            <w:pPr>
              <w:spacing w:after="0"/>
              <w:rPr>
                <w:sz w:val="13"/>
                <w:szCs w:val="13"/>
                <w:color w:val="auto"/>
              </w:rPr>
            </w:pPr>
          </w:p>
        </w:tc>
        <w:tc>
          <w:tcPr>
            <w:tcW w:w="1220" w:type="dxa"/>
            <w:vAlign w:val="bottom"/>
            <w:gridSpan w:val="2"/>
            <w:shd w:val="clear" w:color="auto" w:fill="717295"/>
          </w:tcPr>
          <w:p>
            <w:pPr>
              <w:jc w:val="center"/>
              <w:spacing w:after="0" w:line="151" w:lineRule="exact"/>
              <w:rPr>
                <w:sz w:val="20"/>
                <w:szCs w:val="20"/>
                <w:color w:val="auto"/>
              </w:rPr>
            </w:pPr>
            <w:r>
              <w:rPr>
                <w:rFonts w:ascii="Arial" w:cs="Arial" w:eastAsia="Arial" w:hAnsi="Arial"/>
                <w:sz w:val="14"/>
                <w:szCs w:val="14"/>
                <w:b w:val="1"/>
                <w:bCs w:val="1"/>
                <w:color w:val="FFFFFF"/>
              </w:rPr>
              <w:t>Units or Other</w:t>
            </w:r>
          </w:p>
        </w:tc>
        <w:tc>
          <w:tcPr>
            <w:tcW w:w="120" w:type="dxa"/>
            <w:vAlign w:val="bottom"/>
            <w:shd w:val="clear" w:color="auto" w:fill="717295"/>
          </w:tcPr>
          <w:p>
            <w:pPr>
              <w:spacing w:after="0"/>
              <w:rPr>
                <w:sz w:val="13"/>
                <w:szCs w:val="13"/>
                <w:color w:val="auto"/>
              </w:rPr>
            </w:pPr>
          </w:p>
        </w:tc>
        <w:tc>
          <w:tcPr>
            <w:tcW w:w="1500" w:type="dxa"/>
            <w:vAlign w:val="bottom"/>
            <w:shd w:val="clear" w:color="auto" w:fill="717295"/>
          </w:tcPr>
          <w:p>
            <w:pPr>
              <w:jc w:val="center"/>
              <w:spacing w:after="0" w:line="151" w:lineRule="exact"/>
              <w:rPr>
                <w:sz w:val="20"/>
                <w:szCs w:val="20"/>
                <w:color w:val="auto"/>
              </w:rPr>
            </w:pPr>
            <w:r>
              <w:rPr>
                <w:rFonts w:ascii="Arial" w:cs="Arial" w:eastAsia="Arial" w:hAnsi="Arial"/>
                <w:sz w:val="14"/>
                <w:szCs w:val="14"/>
                <w:b w:val="1"/>
                <w:bCs w:val="1"/>
                <w:color w:val="FFFFFF"/>
              </w:rPr>
              <w:t>Shares, Units or</w:t>
            </w:r>
          </w:p>
        </w:tc>
        <w:tc>
          <w:tcPr>
            <w:tcW w:w="120" w:type="dxa"/>
            <w:vAlign w:val="bottom"/>
            <w:shd w:val="clear" w:color="auto" w:fill="717295"/>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2060" w:type="dxa"/>
            <w:vAlign w:val="bottom"/>
            <w:shd w:val="clear" w:color="auto" w:fill="717295"/>
          </w:tcPr>
          <w:p>
            <w:pPr>
              <w:spacing w:after="0"/>
              <w:rPr>
                <w:sz w:val="13"/>
                <w:szCs w:val="13"/>
                <w:color w:val="auto"/>
              </w:rPr>
            </w:pPr>
          </w:p>
        </w:tc>
        <w:tc>
          <w:tcPr>
            <w:tcW w:w="720" w:type="dxa"/>
            <w:vAlign w:val="bottom"/>
            <w:shd w:val="clear" w:color="auto" w:fill="717295"/>
          </w:tcPr>
          <w:p>
            <w:pPr>
              <w:spacing w:after="0"/>
              <w:rPr>
                <w:sz w:val="13"/>
                <w:szCs w:val="13"/>
                <w:color w:val="auto"/>
              </w:rPr>
            </w:pPr>
          </w:p>
        </w:tc>
        <w:tc>
          <w:tcPr>
            <w:tcW w:w="124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That Have Not</w:t>
            </w:r>
          </w:p>
        </w:tc>
        <w:tc>
          <w:tcPr>
            <w:tcW w:w="120" w:type="dxa"/>
            <w:vAlign w:val="bottom"/>
            <w:shd w:val="clear" w:color="auto" w:fill="717295"/>
          </w:tcPr>
          <w:p>
            <w:pPr>
              <w:spacing w:after="0"/>
              <w:rPr>
                <w:sz w:val="13"/>
                <w:szCs w:val="13"/>
                <w:color w:val="auto"/>
              </w:rPr>
            </w:pPr>
          </w:p>
        </w:tc>
        <w:tc>
          <w:tcPr>
            <w:tcW w:w="1280" w:type="dxa"/>
            <w:vAlign w:val="bottom"/>
            <w:gridSpan w:val="2"/>
            <w:shd w:val="clear" w:color="auto" w:fill="717295"/>
          </w:tcPr>
          <w:p>
            <w:pPr>
              <w:jc w:val="center"/>
              <w:spacing w:after="0"/>
              <w:rPr>
                <w:sz w:val="20"/>
                <w:szCs w:val="20"/>
                <w:color w:val="auto"/>
              </w:rPr>
            </w:pPr>
            <w:r>
              <w:rPr>
                <w:rFonts w:ascii="Arial" w:cs="Arial" w:eastAsia="Arial" w:hAnsi="Arial"/>
                <w:sz w:val="14"/>
                <w:szCs w:val="14"/>
                <w:b w:val="1"/>
                <w:bCs w:val="1"/>
                <w:color w:val="FFFFFF"/>
              </w:rPr>
              <w:t>Stock That Have</w:t>
            </w:r>
          </w:p>
        </w:tc>
        <w:tc>
          <w:tcPr>
            <w:tcW w:w="120" w:type="dxa"/>
            <w:vAlign w:val="bottom"/>
            <w:shd w:val="clear" w:color="auto" w:fill="717295"/>
          </w:tcPr>
          <w:p>
            <w:pPr>
              <w:spacing w:after="0"/>
              <w:rPr>
                <w:sz w:val="13"/>
                <w:szCs w:val="13"/>
                <w:color w:val="auto"/>
              </w:rPr>
            </w:pPr>
          </w:p>
        </w:tc>
        <w:tc>
          <w:tcPr>
            <w:tcW w:w="1220" w:type="dxa"/>
            <w:vAlign w:val="bottom"/>
            <w:gridSpan w:val="2"/>
            <w:shd w:val="clear" w:color="auto" w:fill="717295"/>
          </w:tcPr>
          <w:p>
            <w:pPr>
              <w:jc w:val="center"/>
              <w:spacing w:after="0"/>
              <w:rPr>
                <w:sz w:val="20"/>
                <w:szCs w:val="20"/>
                <w:color w:val="auto"/>
              </w:rPr>
            </w:pPr>
            <w:r>
              <w:rPr>
                <w:rFonts w:ascii="Arial" w:cs="Arial" w:eastAsia="Arial" w:hAnsi="Arial"/>
                <w:sz w:val="14"/>
                <w:szCs w:val="14"/>
                <w:b w:val="1"/>
                <w:bCs w:val="1"/>
                <w:color w:val="FFFFFF"/>
              </w:rPr>
              <w:t>Rights That Have</w:t>
            </w:r>
          </w:p>
        </w:tc>
        <w:tc>
          <w:tcPr>
            <w:tcW w:w="120" w:type="dxa"/>
            <w:vAlign w:val="bottom"/>
            <w:shd w:val="clear" w:color="auto" w:fill="717295"/>
          </w:tcPr>
          <w:p>
            <w:pPr>
              <w:spacing w:after="0"/>
              <w:rPr>
                <w:sz w:val="13"/>
                <w:szCs w:val="13"/>
                <w:color w:val="auto"/>
              </w:rPr>
            </w:pPr>
          </w:p>
        </w:tc>
        <w:tc>
          <w:tcPr>
            <w:tcW w:w="150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Other Rights That</w:t>
            </w:r>
          </w:p>
        </w:tc>
        <w:tc>
          <w:tcPr>
            <w:tcW w:w="120" w:type="dxa"/>
            <w:vAlign w:val="bottom"/>
            <w:shd w:val="clear" w:color="auto" w:fill="717295"/>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060" w:type="dxa"/>
            <w:vAlign w:val="bottom"/>
            <w:shd w:val="clear" w:color="auto" w:fill="717295"/>
          </w:tcPr>
          <w:p>
            <w:pPr>
              <w:spacing w:after="0"/>
              <w:rPr>
                <w:sz w:val="12"/>
                <w:szCs w:val="12"/>
                <w:color w:val="auto"/>
              </w:rPr>
            </w:pPr>
          </w:p>
        </w:tc>
        <w:tc>
          <w:tcPr>
            <w:tcW w:w="720" w:type="dxa"/>
            <w:vAlign w:val="bottom"/>
            <w:shd w:val="clear" w:color="auto" w:fill="717295"/>
          </w:tcPr>
          <w:p>
            <w:pPr>
              <w:spacing w:after="0"/>
              <w:rPr>
                <w:sz w:val="12"/>
                <w:szCs w:val="12"/>
                <w:color w:val="auto"/>
              </w:rPr>
            </w:pPr>
          </w:p>
        </w:tc>
        <w:tc>
          <w:tcPr>
            <w:tcW w:w="1240" w:type="dxa"/>
            <w:vAlign w:val="bottom"/>
            <w:shd w:val="clear" w:color="auto" w:fill="717295"/>
          </w:tcPr>
          <w:p>
            <w:pPr>
              <w:jc w:val="center"/>
              <w:spacing w:after="0" w:line="144" w:lineRule="exact"/>
              <w:rPr>
                <w:sz w:val="20"/>
                <w:szCs w:val="20"/>
                <w:color w:val="auto"/>
              </w:rPr>
            </w:pPr>
            <w:r>
              <w:rPr>
                <w:rFonts w:ascii="Arial" w:cs="Arial" w:eastAsia="Arial" w:hAnsi="Arial"/>
                <w:sz w:val="14"/>
                <w:szCs w:val="14"/>
                <w:b w:val="1"/>
                <w:bCs w:val="1"/>
                <w:color w:val="FFFFFF"/>
              </w:rPr>
              <w:t>Vested</w:t>
            </w:r>
          </w:p>
        </w:tc>
        <w:tc>
          <w:tcPr>
            <w:tcW w:w="120" w:type="dxa"/>
            <w:vAlign w:val="bottom"/>
            <w:shd w:val="clear" w:color="auto" w:fill="717295"/>
          </w:tcPr>
          <w:p>
            <w:pPr>
              <w:spacing w:after="0"/>
              <w:rPr>
                <w:sz w:val="12"/>
                <w:szCs w:val="12"/>
                <w:color w:val="auto"/>
              </w:rPr>
            </w:pPr>
          </w:p>
        </w:tc>
        <w:tc>
          <w:tcPr>
            <w:tcW w:w="1280" w:type="dxa"/>
            <w:vAlign w:val="bottom"/>
            <w:gridSpan w:val="2"/>
            <w:shd w:val="clear" w:color="auto" w:fill="717295"/>
          </w:tcPr>
          <w:p>
            <w:pPr>
              <w:ind w:left="280"/>
              <w:spacing w:after="0" w:line="144" w:lineRule="exact"/>
              <w:rPr>
                <w:sz w:val="20"/>
                <w:szCs w:val="20"/>
                <w:color w:val="auto"/>
              </w:rPr>
            </w:pPr>
            <w:r>
              <w:rPr>
                <w:rFonts w:ascii="Arial" w:cs="Arial" w:eastAsia="Arial" w:hAnsi="Arial"/>
                <w:sz w:val="14"/>
                <w:szCs w:val="14"/>
                <w:b w:val="1"/>
                <w:bCs w:val="1"/>
                <w:color w:val="FFFFFF"/>
              </w:rPr>
              <w:t>Not Vested</w:t>
            </w:r>
          </w:p>
        </w:tc>
        <w:tc>
          <w:tcPr>
            <w:tcW w:w="120" w:type="dxa"/>
            <w:vAlign w:val="bottom"/>
            <w:shd w:val="clear" w:color="auto" w:fill="717295"/>
          </w:tcPr>
          <w:p>
            <w:pPr>
              <w:spacing w:after="0"/>
              <w:rPr>
                <w:sz w:val="12"/>
                <w:szCs w:val="12"/>
                <w:color w:val="auto"/>
              </w:rPr>
            </w:pPr>
          </w:p>
        </w:tc>
        <w:tc>
          <w:tcPr>
            <w:tcW w:w="1220" w:type="dxa"/>
            <w:vAlign w:val="bottom"/>
            <w:gridSpan w:val="2"/>
            <w:shd w:val="clear" w:color="auto" w:fill="717295"/>
          </w:tcPr>
          <w:p>
            <w:pPr>
              <w:jc w:val="center"/>
              <w:spacing w:after="0" w:line="144" w:lineRule="exact"/>
              <w:rPr>
                <w:sz w:val="20"/>
                <w:szCs w:val="20"/>
                <w:color w:val="auto"/>
              </w:rPr>
            </w:pPr>
            <w:r>
              <w:rPr>
                <w:rFonts w:ascii="Arial" w:cs="Arial" w:eastAsia="Arial" w:hAnsi="Arial"/>
                <w:sz w:val="14"/>
                <w:szCs w:val="14"/>
                <w:b w:val="1"/>
                <w:bCs w:val="1"/>
                <w:color w:val="FFFFFF"/>
              </w:rPr>
              <w:t>Not Vested</w:t>
            </w:r>
          </w:p>
        </w:tc>
        <w:tc>
          <w:tcPr>
            <w:tcW w:w="120" w:type="dxa"/>
            <w:vAlign w:val="bottom"/>
            <w:shd w:val="clear" w:color="auto" w:fill="717295"/>
          </w:tcPr>
          <w:p>
            <w:pPr>
              <w:spacing w:after="0"/>
              <w:rPr>
                <w:sz w:val="12"/>
                <w:szCs w:val="12"/>
                <w:color w:val="auto"/>
              </w:rPr>
            </w:pPr>
          </w:p>
        </w:tc>
        <w:tc>
          <w:tcPr>
            <w:tcW w:w="1500" w:type="dxa"/>
            <w:vAlign w:val="bottom"/>
            <w:shd w:val="clear" w:color="auto" w:fill="717295"/>
          </w:tcPr>
          <w:p>
            <w:pPr>
              <w:jc w:val="center"/>
              <w:spacing w:after="0" w:line="144" w:lineRule="exact"/>
              <w:rPr>
                <w:sz w:val="20"/>
                <w:szCs w:val="20"/>
                <w:color w:val="auto"/>
              </w:rPr>
            </w:pPr>
            <w:r>
              <w:rPr>
                <w:rFonts w:ascii="Arial" w:cs="Arial" w:eastAsia="Arial" w:hAnsi="Arial"/>
                <w:sz w:val="14"/>
                <w:szCs w:val="14"/>
                <w:b w:val="1"/>
                <w:bCs w:val="1"/>
                <w:color w:val="FFFFFF"/>
              </w:rPr>
              <w:t>Have Not Vested</w:t>
            </w:r>
          </w:p>
        </w:tc>
        <w:tc>
          <w:tcPr>
            <w:tcW w:w="120" w:type="dxa"/>
            <w:vAlign w:val="bottom"/>
            <w:shd w:val="clear" w:color="auto" w:fill="717295"/>
          </w:tcPr>
          <w:p>
            <w:pPr>
              <w:spacing w:after="0"/>
              <w:rPr>
                <w:sz w:val="12"/>
                <w:szCs w:val="12"/>
                <w:color w:val="auto"/>
              </w:rPr>
            </w:pPr>
          </w:p>
        </w:tc>
      </w:tr>
      <w:tr>
        <w:trPr>
          <w:trHeight w:val="240"/>
        </w:trPr>
        <w:tc>
          <w:tcPr>
            <w:tcW w:w="20" w:type="dxa"/>
            <w:vAlign w:val="bottom"/>
          </w:tcPr>
          <w:p>
            <w:pPr>
              <w:spacing w:after="0"/>
              <w:rPr>
                <w:sz w:val="20"/>
                <w:szCs w:val="20"/>
                <w:color w:val="auto"/>
              </w:rPr>
            </w:pPr>
          </w:p>
        </w:tc>
        <w:tc>
          <w:tcPr>
            <w:tcW w:w="2060" w:type="dxa"/>
            <w:vAlign w:val="bottom"/>
            <w:shd w:val="clear" w:color="auto" w:fill="717295"/>
          </w:tcPr>
          <w:p>
            <w:pPr>
              <w:ind w:left="140"/>
              <w:spacing w:after="0"/>
              <w:rPr>
                <w:sz w:val="20"/>
                <w:szCs w:val="20"/>
                <w:color w:val="auto"/>
              </w:rPr>
            </w:pPr>
            <w:r>
              <w:rPr>
                <w:rFonts w:ascii="Arial" w:cs="Arial" w:eastAsia="Arial" w:hAnsi="Arial"/>
                <w:sz w:val="14"/>
                <w:szCs w:val="14"/>
                <w:b w:val="1"/>
                <w:bCs w:val="1"/>
                <w:color w:val="FFFFFF"/>
              </w:rPr>
              <w:t>Name</w:t>
            </w:r>
          </w:p>
        </w:tc>
        <w:tc>
          <w:tcPr>
            <w:tcW w:w="720" w:type="dxa"/>
            <w:vAlign w:val="bottom"/>
            <w:shd w:val="clear" w:color="auto" w:fill="717295"/>
          </w:tcPr>
          <w:p>
            <w:pPr>
              <w:spacing w:after="0"/>
              <w:rPr>
                <w:sz w:val="20"/>
                <w:szCs w:val="20"/>
                <w:color w:val="auto"/>
              </w:rPr>
            </w:pPr>
          </w:p>
        </w:tc>
        <w:tc>
          <w:tcPr>
            <w:tcW w:w="124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w w:val="93"/>
              </w:rPr>
              <w:t>(#)</w:t>
            </w:r>
          </w:p>
        </w:tc>
        <w:tc>
          <w:tcPr>
            <w:tcW w:w="120" w:type="dxa"/>
            <w:vAlign w:val="bottom"/>
            <w:shd w:val="clear" w:color="auto" w:fill="717295"/>
          </w:tcPr>
          <w:p>
            <w:pPr>
              <w:spacing w:after="0"/>
              <w:rPr>
                <w:sz w:val="20"/>
                <w:szCs w:val="20"/>
                <w:color w:val="auto"/>
              </w:rPr>
            </w:pPr>
          </w:p>
        </w:tc>
        <w:tc>
          <w:tcPr>
            <w:tcW w:w="360" w:type="dxa"/>
            <w:vAlign w:val="bottom"/>
            <w:shd w:val="clear" w:color="auto" w:fill="717295"/>
          </w:tcPr>
          <w:p>
            <w:pPr>
              <w:spacing w:after="0"/>
              <w:rPr>
                <w:sz w:val="20"/>
                <w:szCs w:val="20"/>
                <w:color w:val="auto"/>
              </w:rPr>
            </w:pPr>
          </w:p>
        </w:tc>
        <w:tc>
          <w:tcPr>
            <w:tcW w:w="920" w:type="dxa"/>
            <w:vAlign w:val="bottom"/>
            <w:shd w:val="clear" w:color="auto" w:fill="717295"/>
          </w:tcPr>
          <w:p>
            <w:pPr>
              <w:jc w:val="center"/>
              <w:ind w:right="241"/>
              <w:spacing w:after="0" w:line="240"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(1)</w:t>
            </w:r>
          </w:p>
        </w:tc>
        <w:tc>
          <w:tcPr>
            <w:tcW w:w="120" w:type="dxa"/>
            <w:vAlign w:val="bottom"/>
            <w:shd w:val="clear" w:color="auto" w:fill="717295"/>
          </w:tcPr>
          <w:p>
            <w:pPr>
              <w:spacing w:after="0"/>
              <w:rPr>
                <w:sz w:val="20"/>
                <w:szCs w:val="20"/>
                <w:color w:val="auto"/>
              </w:rPr>
            </w:pPr>
          </w:p>
        </w:tc>
        <w:tc>
          <w:tcPr>
            <w:tcW w:w="900" w:type="dxa"/>
            <w:vAlign w:val="bottom"/>
            <w:shd w:val="clear" w:color="auto" w:fill="717295"/>
          </w:tcPr>
          <w:p>
            <w:pPr>
              <w:jc w:val="center"/>
              <w:ind w:left="305"/>
              <w:spacing w:after="0" w:line="240"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(2)</w:t>
            </w:r>
          </w:p>
        </w:tc>
        <w:tc>
          <w:tcPr>
            <w:tcW w:w="320" w:type="dxa"/>
            <w:vAlign w:val="bottom"/>
            <w:shd w:val="clear" w:color="auto" w:fill="717295"/>
          </w:tcPr>
          <w:p>
            <w:pPr>
              <w:spacing w:after="0"/>
              <w:rPr>
                <w:sz w:val="20"/>
                <w:szCs w:val="20"/>
                <w:color w:val="auto"/>
              </w:rPr>
            </w:pPr>
          </w:p>
        </w:tc>
        <w:tc>
          <w:tcPr>
            <w:tcW w:w="120" w:type="dxa"/>
            <w:vAlign w:val="bottom"/>
            <w:shd w:val="clear" w:color="auto" w:fill="717295"/>
          </w:tcPr>
          <w:p>
            <w:pPr>
              <w:spacing w:after="0"/>
              <w:rPr>
                <w:sz w:val="20"/>
                <w:szCs w:val="20"/>
                <w:color w:val="auto"/>
              </w:rPr>
            </w:pPr>
          </w:p>
        </w:tc>
        <w:tc>
          <w:tcPr>
            <w:tcW w:w="1500" w:type="dxa"/>
            <w:vAlign w:val="bottom"/>
            <w:shd w:val="clear" w:color="auto" w:fill="717295"/>
          </w:tcPr>
          <w:p>
            <w:pPr>
              <w:jc w:val="center"/>
              <w:spacing w:after="0" w:line="240" w:lineRule="exact"/>
              <w:rPr>
                <w:sz w:val="20"/>
                <w:szCs w:val="20"/>
                <w:color w:val="auto"/>
              </w:rPr>
            </w:pPr>
            <w:r>
              <w:rPr>
                <w:rFonts w:ascii="Arial" w:cs="Arial" w:eastAsia="Arial" w:hAnsi="Arial"/>
                <w:sz w:val="27"/>
                <w:szCs w:val="27"/>
                <w:b w:val="1"/>
                <w:bCs w:val="1"/>
                <w:color w:val="FFFFFF"/>
                <w:w w:val="89"/>
                <w:vertAlign w:val="subscript"/>
              </w:rPr>
              <w:t>($)</w:t>
            </w:r>
            <w:r>
              <w:rPr>
                <w:rFonts w:ascii="Arial" w:cs="Arial" w:eastAsia="Arial" w:hAnsi="Arial"/>
                <w:sz w:val="12"/>
                <w:szCs w:val="12"/>
                <w:b w:val="1"/>
                <w:bCs w:val="1"/>
                <w:color w:val="FFFFFF"/>
                <w:w w:val="89"/>
              </w:rPr>
              <w:t>(1)(2)</w:t>
            </w:r>
          </w:p>
        </w:tc>
        <w:tc>
          <w:tcPr>
            <w:tcW w:w="120" w:type="dxa"/>
            <w:vAlign w:val="bottom"/>
            <w:shd w:val="clear" w:color="auto" w:fill="717295"/>
          </w:tcPr>
          <w:p>
            <w:pPr>
              <w:spacing w:after="0"/>
              <w:rPr>
                <w:sz w:val="20"/>
                <w:szCs w:val="20"/>
                <w:color w:val="auto"/>
              </w:rPr>
            </w:pPr>
          </w:p>
        </w:tc>
      </w:tr>
      <w:tr>
        <w:trPr>
          <w:trHeight w:val="29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60" w:type="dxa"/>
            <w:vAlign w:val="bottom"/>
            <w:shd w:val="clear" w:color="auto" w:fill="ACABC0"/>
          </w:tcPr>
          <w:p>
            <w:pPr>
              <w:ind w:left="140"/>
              <w:spacing w:after="0"/>
              <w:rPr>
                <w:sz w:val="20"/>
                <w:szCs w:val="20"/>
                <w:color w:val="auto"/>
              </w:rPr>
            </w:pPr>
            <w:r>
              <w:rPr>
                <w:rFonts w:ascii="Arial" w:cs="Arial" w:eastAsia="Arial" w:hAnsi="Arial"/>
                <w:sz w:val="16"/>
                <w:szCs w:val="16"/>
                <w:color w:val="auto"/>
              </w:rPr>
              <w:t>Andrew G. Inglis</w:t>
            </w:r>
          </w:p>
        </w:tc>
        <w:tc>
          <w:tcPr>
            <w:tcW w:w="720" w:type="dxa"/>
            <w:vAlign w:val="bottom"/>
            <w:shd w:val="clear" w:color="auto" w:fill="ACABC0"/>
          </w:tcPr>
          <w:p>
            <w:pPr>
              <w:ind w:left="620"/>
              <w:spacing w:after="0"/>
              <w:rPr>
                <w:sz w:val="20"/>
                <w:szCs w:val="20"/>
                <w:color w:val="auto"/>
              </w:rPr>
            </w:pPr>
            <w:r>
              <w:rPr>
                <w:rFonts w:ascii="Times New Roman" w:cs="Times New Roman" w:eastAsia="Times New Roman" w:hAnsi="Times New Roman"/>
                <w:sz w:val="4"/>
                <w:szCs w:val="4"/>
                <w:color w:val="auto"/>
              </w:rPr>
              <w:t>​   ​</w:t>
            </w:r>
          </w:p>
        </w:tc>
        <w:tc>
          <w:tcPr>
            <w:tcW w:w="1240" w:type="dxa"/>
            <w:vAlign w:val="bottom"/>
            <w:shd w:val="clear" w:color="auto" w:fill="ACABC0"/>
          </w:tcPr>
          <w:p>
            <w:pPr>
              <w:jc w:val="center"/>
              <w:spacing w:after="0" w:line="295" w:lineRule="exact"/>
              <w:rPr>
                <w:sz w:val="20"/>
                <w:szCs w:val="20"/>
                <w:color w:val="auto"/>
              </w:rPr>
            </w:pPr>
            <w:r>
              <w:rPr>
                <w:rFonts w:ascii="Arial" w:cs="Arial" w:eastAsia="Arial" w:hAnsi="Arial"/>
                <w:sz w:val="16"/>
                <w:szCs w:val="16"/>
                <w:color w:val="auto"/>
                <w:w w:val="93"/>
              </w:rPr>
              <w:t>297,773</w:t>
            </w:r>
            <w:r>
              <w:rPr>
                <w:rFonts w:ascii="Arial" w:cs="Arial" w:eastAsia="Arial" w:hAnsi="Arial"/>
                <w:sz w:val="26"/>
                <w:szCs w:val="26"/>
                <w:color w:val="auto"/>
                <w:w w:val="93"/>
                <w:vertAlign w:val="superscript"/>
              </w:rPr>
              <w:t>(3)</w:t>
            </w:r>
          </w:p>
        </w:tc>
        <w:tc>
          <w:tcPr>
            <w:tcW w:w="12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gridSpan w:val="2"/>
            <w:shd w:val="clear" w:color="auto" w:fill="ACABC0"/>
          </w:tcPr>
          <w:p>
            <w:pPr>
              <w:jc w:val="right"/>
              <w:ind w:right="201"/>
              <w:spacing w:after="0"/>
              <w:rPr>
                <w:sz w:val="20"/>
                <w:szCs w:val="20"/>
                <w:color w:val="auto"/>
              </w:rPr>
            </w:pPr>
            <w:r>
              <w:rPr>
                <w:rFonts w:ascii="Arial" w:cs="Arial" w:eastAsia="Arial" w:hAnsi="Arial"/>
                <w:sz w:val="16"/>
                <w:szCs w:val="16"/>
                <w:color w:val="auto"/>
              </w:rPr>
              <w:t>1,030,295​</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shd w:val="clear" w:color="auto" w:fill="ACABC0"/>
          </w:tcPr>
          <w:p>
            <w:pPr>
              <w:jc w:val="right"/>
              <w:spacing w:after="0"/>
              <w:rPr>
                <w:sz w:val="20"/>
                <w:szCs w:val="20"/>
                <w:color w:val="auto"/>
              </w:rPr>
            </w:pPr>
            <w:r>
              <w:rPr>
                <w:rFonts w:ascii="Arial" w:cs="Arial" w:eastAsia="Arial" w:hAnsi="Arial"/>
                <w:sz w:val="16"/>
                <w:szCs w:val="16"/>
                <w:color w:val="auto"/>
              </w:rPr>
              <w:t>1,427,925​</w:t>
            </w:r>
          </w:p>
        </w:tc>
        <w:tc>
          <w:tcPr>
            <w:tcW w:w="320" w:type="dxa"/>
            <w:vAlign w:val="bottom"/>
            <w:shd w:val="clear" w:color="auto" w:fill="ACABC0"/>
          </w:tcPr>
          <w:p>
            <w:pPr>
              <w:jc w:val="right"/>
              <w:ind w:right="73"/>
              <w:spacing w:after="0"/>
              <w:rPr>
                <w:sz w:val="20"/>
                <w:szCs w:val="20"/>
                <w:color w:val="auto"/>
              </w:rPr>
            </w:pPr>
            <w:r>
              <w:rPr>
                <w:rFonts w:ascii="Arial" w:cs="Arial" w:eastAsia="Arial" w:hAnsi="Arial"/>
                <w:sz w:val="13"/>
                <w:szCs w:val="13"/>
                <w:color w:val="auto"/>
              </w:rPr>
              <w:t>(3)</w:t>
            </w:r>
          </w:p>
        </w:tc>
        <w:tc>
          <w:tcPr>
            <w:tcW w:w="12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1500" w:type="dxa"/>
            <w:vAlign w:val="bottom"/>
            <w:shd w:val="clear" w:color="auto" w:fill="ACABC0"/>
          </w:tcPr>
          <w:p>
            <w:pPr>
              <w:ind w:left="380"/>
              <w:spacing w:after="0"/>
              <w:rPr>
                <w:sz w:val="20"/>
                <w:szCs w:val="20"/>
                <w:color w:val="auto"/>
              </w:rPr>
            </w:pPr>
            <w:r>
              <w:rPr>
                <w:rFonts w:ascii="Arial" w:cs="Arial" w:eastAsia="Arial" w:hAnsi="Arial"/>
                <w:sz w:val="16"/>
                <w:szCs w:val="16"/>
                <w:color w:val="auto"/>
              </w:rPr>
              <w:t>4,940,620​</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9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60" w:type="dxa"/>
            <w:vAlign w:val="bottom"/>
            <w:shd w:val="clear" w:color="auto" w:fill="F1F2F2"/>
          </w:tcPr>
          <w:p>
            <w:pPr>
              <w:ind w:left="140"/>
              <w:spacing w:after="0"/>
              <w:rPr>
                <w:sz w:val="20"/>
                <w:szCs w:val="20"/>
                <w:color w:val="auto"/>
              </w:rPr>
            </w:pPr>
            <w:r>
              <w:rPr>
                <w:rFonts w:ascii="Arial" w:cs="Arial" w:eastAsia="Arial" w:hAnsi="Arial"/>
                <w:sz w:val="16"/>
                <w:szCs w:val="16"/>
                <w:color w:val="auto"/>
              </w:rPr>
              <w:t>Neal D. Shah</w:t>
            </w:r>
          </w:p>
        </w:tc>
        <w:tc>
          <w:tcPr>
            <w:tcW w:w="720" w:type="dxa"/>
            <w:vAlign w:val="bottom"/>
            <w:shd w:val="clear" w:color="auto" w:fill="F1F2F2"/>
          </w:tcPr>
          <w:p>
            <w:pPr>
              <w:ind w:left="620"/>
              <w:spacing w:after="0"/>
              <w:rPr>
                <w:sz w:val="20"/>
                <w:szCs w:val="20"/>
                <w:color w:val="auto"/>
              </w:rPr>
            </w:pPr>
            <w:r>
              <w:rPr>
                <w:rFonts w:ascii="Times New Roman" w:cs="Times New Roman" w:eastAsia="Times New Roman" w:hAnsi="Times New Roman"/>
                <w:sz w:val="4"/>
                <w:szCs w:val="4"/>
                <w:color w:val="auto"/>
              </w:rPr>
              <w:t>​   ​</w:t>
            </w:r>
          </w:p>
        </w:tc>
        <w:tc>
          <w:tcPr>
            <w:tcW w:w="1240" w:type="dxa"/>
            <w:vAlign w:val="bottom"/>
            <w:shd w:val="clear" w:color="auto" w:fill="F1F2F2"/>
          </w:tcPr>
          <w:p>
            <w:pPr>
              <w:jc w:val="center"/>
              <w:spacing w:after="0" w:line="295" w:lineRule="exact"/>
              <w:rPr>
                <w:sz w:val="20"/>
                <w:szCs w:val="20"/>
                <w:color w:val="auto"/>
              </w:rPr>
            </w:pPr>
            <w:r>
              <w:rPr>
                <w:rFonts w:ascii="Arial" w:cs="Arial" w:eastAsia="Arial" w:hAnsi="Arial"/>
                <w:sz w:val="16"/>
                <w:szCs w:val="16"/>
                <w:color w:val="auto"/>
                <w:w w:val="93"/>
              </w:rPr>
              <w:t>124,165</w:t>
            </w:r>
            <w:r>
              <w:rPr>
                <w:rFonts w:ascii="Arial" w:cs="Arial" w:eastAsia="Arial" w:hAnsi="Arial"/>
                <w:sz w:val="26"/>
                <w:szCs w:val="26"/>
                <w:color w:val="auto"/>
                <w:w w:val="93"/>
                <w:vertAlign w:val="superscript"/>
              </w:rPr>
              <w:t>(4)</w:t>
            </w:r>
          </w:p>
        </w:tc>
        <w:tc>
          <w:tcPr>
            <w:tcW w:w="12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shd w:val="clear" w:color="auto" w:fill="F1F2F2"/>
          </w:tcPr>
          <w:p>
            <w:pPr>
              <w:ind w:lef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F1F2F2"/>
          </w:tcPr>
          <w:p>
            <w:pPr>
              <w:jc w:val="right"/>
              <w:ind w:right="201"/>
              <w:spacing w:after="0"/>
              <w:rPr>
                <w:sz w:val="20"/>
                <w:szCs w:val="20"/>
                <w:color w:val="auto"/>
              </w:rPr>
            </w:pPr>
            <w:r>
              <w:rPr>
                <w:rFonts w:ascii="Arial" w:cs="Arial" w:eastAsia="Arial" w:hAnsi="Arial"/>
                <w:sz w:val="16"/>
                <w:szCs w:val="16"/>
                <w:color w:val="auto"/>
              </w:rPr>
              <w:t>429,611</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220" w:type="dxa"/>
            <w:vAlign w:val="bottom"/>
            <w:gridSpan w:val="2"/>
            <w:shd w:val="clear" w:color="auto" w:fill="F1F2F2"/>
          </w:tcPr>
          <w:p>
            <w:pPr>
              <w:jc w:val="right"/>
              <w:ind w:right="93"/>
              <w:spacing w:after="0" w:line="295" w:lineRule="exact"/>
              <w:rPr>
                <w:sz w:val="20"/>
                <w:szCs w:val="20"/>
                <w:color w:val="auto"/>
              </w:rPr>
            </w:pPr>
            <w:r>
              <w:rPr>
                <w:rFonts w:ascii="Arial" w:cs="Arial" w:eastAsia="Arial" w:hAnsi="Arial"/>
                <w:sz w:val="16"/>
                <w:szCs w:val="16"/>
                <w:color w:val="auto"/>
              </w:rPr>
              <w:t>611,000</w:t>
            </w:r>
            <w:r>
              <w:rPr>
                <w:rFonts w:ascii="Arial" w:cs="Arial" w:eastAsia="Arial" w:hAnsi="Arial"/>
                <w:sz w:val="26"/>
                <w:szCs w:val="26"/>
                <w:color w:val="auto"/>
                <w:vertAlign w:val="superscript"/>
              </w:rPr>
              <w:t>(4)</w:t>
            </w:r>
          </w:p>
        </w:tc>
        <w:tc>
          <w:tcPr>
            <w:tcW w:w="12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1500" w:type="dxa"/>
            <w:vAlign w:val="bottom"/>
            <w:shd w:val="clear" w:color="auto" w:fill="F1F2F2"/>
          </w:tcPr>
          <w:p>
            <w:pPr>
              <w:ind w:left="380"/>
              <w:spacing w:after="0"/>
              <w:rPr>
                <w:sz w:val="20"/>
                <w:szCs w:val="20"/>
                <w:color w:val="auto"/>
              </w:rPr>
            </w:pPr>
            <w:r>
              <w:rPr>
                <w:rFonts w:ascii="Arial" w:cs="Arial" w:eastAsia="Arial" w:hAnsi="Arial"/>
                <w:sz w:val="16"/>
                <w:szCs w:val="16"/>
                <w:color w:val="auto"/>
              </w:rPr>
              <w:t>​2,114,060</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9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60" w:type="dxa"/>
            <w:vAlign w:val="bottom"/>
            <w:shd w:val="clear" w:color="auto" w:fill="ACABC0"/>
          </w:tcPr>
          <w:p>
            <w:pPr>
              <w:ind w:left="140"/>
              <w:spacing w:after="0"/>
              <w:rPr>
                <w:sz w:val="20"/>
                <w:szCs w:val="20"/>
                <w:color w:val="auto"/>
              </w:rPr>
            </w:pPr>
            <w:r>
              <w:rPr>
                <w:rFonts w:ascii="Arial" w:cs="Arial" w:eastAsia="Arial" w:hAnsi="Arial"/>
                <w:sz w:val="16"/>
                <w:szCs w:val="16"/>
                <w:color w:val="auto"/>
              </w:rPr>
              <w:t>Christopher J. Ball</w:t>
            </w:r>
          </w:p>
        </w:tc>
        <w:tc>
          <w:tcPr>
            <w:tcW w:w="720" w:type="dxa"/>
            <w:vAlign w:val="bottom"/>
            <w:shd w:val="clear" w:color="auto" w:fill="ACABC0"/>
          </w:tcPr>
          <w:p>
            <w:pPr>
              <w:ind w:left="620"/>
              <w:spacing w:after="0"/>
              <w:rPr>
                <w:sz w:val="20"/>
                <w:szCs w:val="20"/>
                <w:color w:val="auto"/>
              </w:rPr>
            </w:pPr>
            <w:r>
              <w:rPr>
                <w:rFonts w:ascii="Times New Roman" w:cs="Times New Roman" w:eastAsia="Times New Roman" w:hAnsi="Times New Roman"/>
                <w:sz w:val="4"/>
                <w:szCs w:val="4"/>
                <w:color w:val="auto"/>
              </w:rPr>
              <w:t>​   ​</w:t>
            </w:r>
          </w:p>
        </w:tc>
        <w:tc>
          <w:tcPr>
            <w:tcW w:w="1240" w:type="dxa"/>
            <w:vAlign w:val="bottom"/>
            <w:shd w:val="clear" w:color="auto" w:fill="ACABC0"/>
          </w:tcPr>
          <w:p>
            <w:pPr>
              <w:jc w:val="center"/>
              <w:spacing w:after="0" w:line="295" w:lineRule="exact"/>
              <w:rPr>
                <w:sz w:val="20"/>
                <w:szCs w:val="20"/>
                <w:color w:val="auto"/>
              </w:rPr>
            </w:pPr>
            <w:r>
              <w:rPr>
                <w:rFonts w:ascii="Arial" w:cs="Arial" w:eastAsia="Arial" w:hAnsi="Arial"/>
                <w:sz w:val="16"/>
                <w:szCs w:val="16"/>
                <w:color w:val="auto"/>
                <w:w w:val="93"/>
              </w:rPr>
              <w:t>150,123</w:t>
            </w:r>
            <w:r>
              <w:rPr>
                <w:rFonts w:ascii="Arial" w:cs="Arial" w:eastAsia="Arial" w:hAnsi="Arial"/>
                <w:sz w:val="26"/>
                <w:szCs w:val="26"/>
                <w:color w:val="auto"/>
                <w:w w:val="93"/>
                <w:vertAlign w:val="superscript"/>
              </w:rPr>
              <w:t>(5)</w:t>
            </w:r>
          </w:p>
        </w:tc>
        <w:tc>
          <w:tcPr>
            <w:tcW w:w="12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shd w:val="clear" w:color="auto" w:fill="ACABC0"/>
          </w:tcPr>
          <w:p>
            <w:pPr>
              <w:ind w:lef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ACABC0"/>
          </w:tcPr>
          <w:p>
            <w:pPr>
              <w:jc w:val="right"/>
              <w:ind w:right="201"/>
              <w:spacing w:after="0"/>
              <w:rPr>
                <w:sz w:val="20"/>
                <w:szCs w:val="20"/>
                <w:color w:val="auto"/>
              </w:rPr>
            </w:pPr>
            <w:r>
              <w:rPr>
                <w:rFonts w:ascii="Arial" w:cs="Arial" w:eastAsia="Arial" w:hAnsi="Arial"/>
                <w:sz w:val="16"/>
                <w:szCs w:val="16"/>
                <w:color w:val="auto"/>
              </w:rPr>
              <w:t>519,426</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220" w:type="dxa"/>
            <w:vAlign w:val="bottom"/>
            <w:gridSpan w:val="2"/>
            <w:shd w:val="clear" w:color="auto" w:fill="ACABC0"/>
          </w:tcPr>
          <w:p>
            <w:pPr>
              <w:jc w:val="right"/>
              <w:ind w:right="93"/>
              <w:spacing w:after="0" w:line="295" w:lineRule="exact"/>
              <w:rPr>
                <w:sz w:val="20"/>
                <w:szCs w:val="20"/>
                <w:color w:val="auto"/>
              </w:rPr>
            </w:pPr>
            <w:r>
              <w:rPr>
                <w:rFonts w:ascii="Arial" w:cs="Arial" w:eastAsia="Arial" w:hAnsi="Arial"/>
                <w:sz w:val="16"/>
                <w:szCs w:val="16"/>
                <w:color w:val="auto"/>
              </w:rPr>
              <w:t>786,750</w:t>
            </w:r>
            <w:r>
              <w:rPr>
                <w:rFonts w:ascii="Arial" w:cs="Arial" w:eastAsia="Arial" w:hAnsi="Arial"/>
                <w:sz w:val="26"/>
                <w:szCs w:val="26"/>
                <w:color w:val="auto"/>
                <w:vertAlign w:val="superscript"/>
              </w:rPr>
              <w:t>(5)</w:t>
            </w:r>
          </w:p>
        </w:tc>
        <w:tc>
          <w:tcPr>
            <w:tcW w:w="12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1500" w:type="dxa"/>
            <w:vAlign w:val="bottom"/>
            <w:shd w:val="clear" w:color="auto" w:fill="ACABC0"/>
          </w:tcPr>
          <w:p>
            <w:pPr>
              <w:ind w:left="380"/>
              <w:spacing w:after="0"/>
              <w:rPr>
                <w:sz w:val="20"/>
                <w:szCs w:val="20"/>
                <w:color w:val="auto"/>
              </w:rPr>
            </w:pPr>
            <w:r>
              <w:rPr>
                <w:rFonts w:ascii="Arial" w:cs="Arial" w:eastAsia="Arial" w:hAnsi="Arial"/>
                <w:sz w:val="16"/>
                <w:szCs w:val="16"/>
                <w:color w:val="auto"/>
              </w:rPr>
              <w:t>2,722,156​</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9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60" w:type="dxa"/>
            <w:vAlign w:val="bottom"/>
            <w:shd w:val="clear" w:color="auto" w:fill="F1F2F2"/>
          </w:tcPr>
          <w:p>
            <w:pPr>
              <w:ind w:left="140"/>
              <w:spacing w:after="0"/>
              <w:rPr>
                <w:sz w:val="20"/>
                <w:szCs w:val="20"/>
                <w:color w:val="auto"/>
              </w:rPr>
            </w:pPr>
            <w:r>
              <w:rPr>
                <w:rFonts w:ascii="Arial" w:cs="Arial" w:eastAsia="Arial" w:hAnsi="Arial"/>
                <w:sz w:val="16"/>
                <w:szCs w:val="16"/>
                <w:color w:val="auto"/>
              </w:rPr>
              <w:t>Richard R. Clark</w:t>
            </w:r>
          </w:p>
        </w:tc>
        <w:tc>
          <w:tcPr>
            <w:tcW w:w="720" w:type="dxa"/>
            <w:vAlign w:val="bottom"/>
            <w:shd w:val="clear" w:color="auto" w:fill="F1F2F2"/>
          </w:tcPr>
          <w:p>
            <w:pPr>
              <w:ind w:left="620"/>
              <w:spacing w:after="0"/>
              <w:rPr>
                <w:sz w:val="20"/>
                <w:szCs w:val="20"/>
                <w:color w:val="auto"/>
              </w:rPr>
            </w:pPr>
            <w:r>
              <w:rPr>
                <w:rFonts w:ascii="Times New Roman" w:cs="Times New Roman" w:eastAsia="Times New Roman" w:hAnsi="Times New Roman"/>
                <w:sz w:val="4"/>
                <w:szCs w:val="4"/>
                <w:color w:val="auto"/>
              </w:rPr>
              <w:t>​   ​</w:t>
            </w:r>
          </w:p>
        </w:tc>
        <w:tc>
          <w:tcPr>
            <w:tcW w:w="1240" w:type="dxa"/>
            <w:vAlign w:val="bottom"/>
            <w:shd w:val="clear" w:color="auto" w:fill="F1F2F2"/>
          </w:tcPr>
          <w:p>
            <w:pPr>
              <w:jc w:val="center"/>
              <w:spacing w:after="0" w:line="295" w:lineRule="exact"/>
              <w:rPr>
                <w:sz w:val="20"/>
                <w:szCs w:val="20"/>
                <w:color w:val="auto"/>
              </w:rPr>
            </w:pPr>
            <w:r>
              <w:rPr>
                <w:rFonts w:ascii="Arial" w:cs="Arial" w:eastAsia="Arial" w:hAnsi="Arial"/>
                <w:sz w:val="16"/>
                <w:szCs w:val="16"/>
                <w:color w:val="auto"/>
                <w:w w:val="93"/>
              </w:rPr>
              <w:t>150,123</w:t>
            </w:r>
            <w:r>
              <w:rPr>
                <w:rFonts w:ascii="Arial" w:cs="Arial" w:eastAsia="Arial" w:hAnsi="Arial"/>
                <w:sz w:val="26"/>
                <w:szCs w:val="26"/>
                <w:color w:val="auto"/>
                <w:w w:val="93"/>
                <w:vertAlign w:val="superscript"/>
              </w:rPr>
              <w:t>(6)</w:t>
            </w:r>
          </w:p>
        </w:tc>
        <w:tc>
          <w:tcPr>
            <w:tcW w:w="12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shd w:val="clear" w:color="auto" w:fill="F1F2F2"/>
          </w:tcPr>
          <w:p>
            <w:pPr>
              <w:ind w:lef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F1F2F2"/>
          </w:tcPr>
          <w:p>
            <w:pPr>
              <w:jc w:val="right"/>
              <w:ind w:right="201"/>
              <w:spacing w:after="0"/>
              <w:rPr>
                <w:sz w:val="20"/>
                <w:szCs w:val="20"/>
                <w:color w:val="auto"/>
              </w:rPr>
            </w:pPr>
            <w:r>
              <w:rPr>
                <w:rFonts w:ascii="Arial" w:cs="Arial" w:eastAsia="Arial" w:hAnsi="Arial"/>
                <w:sz w:val="16"/>
                <w:szCs w:val="16"/>
                <w:color w:val="auto"/>
              </w:rPr>
              <w:t>519,426</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220" w:type="dxa"/>
            <w:vAlign w:val="bottom"/>
            <w:gridSpan w:val="2"/>
            <w:shd w:val="clear" w:color="auto" w:fill="F1F2F2"/>
          </w:tcPr>
          <w:p>
            <w:pPr>
              <w:jc w:val="right"/>
              <w:ind w:right="93"/>
              <w:spacing w:after="0" w:line="295" w:lineRule="exact"/>
              <w:rPr>
                <w:sz w:val="20"/>
                <w:szCs w:val="20"/>
                <w:color w:val="auto"/>
              </w:rPr>
            </w:pPr>
            <w:r>
              <w:rPr>
                <w:rFonts w:ascii="Arial" w:cs="Arial" w:eastAsia="Arial" w:hAnsi="Arial"/>
                <w:sz w:val="16"/>
                <w:szCs w:val="16"/>
                <w:color w:val="auto"/>
              </w:rPr>
              <w:t>786,750</w:t>
            </w:r>
            <w:r>
              <w:rPr>
                <w:rFonts w:ascii="Arial" w:cs="Arial" w:eastAsia="Arial" w:hAnsi="Arial"/>
                <w:sz w:val="26"/>
                <w:szCs w:val="26"/>
                <w:color w:val="auto"/>
                <w:vertAlign w:val="superscript"/>
              </w:rPr>
              <w:t>(6)</w:t>
            </w:r>
          </w:p>
        </w:tc>
        <w:tc>
          <w:tcPr>
            <w:tcW w:w="12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1500" w:type="dxa"/>
            <w:vAlign w:val="bottom"/>
            <w:shd w:val="clear" w:color="auto" w:fill="F1F2F2"/>
          </w:tcPr>
          <w:p>
            <w:pPr>
              <w:ind w:left="380"/>
              <w:spacing w:after="0"/>
              <w:rPr>
                <w:sz w:val="20"/>
                <w:szCs w:val="20"/>
                <w:color w:val="auto"/>
              </w:rPr>
            </w:pPr>
            <w:r>
              <w:rPr>
                <w:rFonts w:ascii="Arial" w:cs="Arial" w:eastAsia="Arial" w:hAnsi="Arial"/>
                <w:sz w:val="16"/>
                <w:szCs w:val="16"/>
                <w:color w:val="auto"/>
              </w:rPr>
              <w:t>2,722,156​</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r>
      <w:tr>
        <w:trPr>
          <w:trHeight w:val="26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60" w:type="dxa"/>
            <w:vAlign w:val="bottom"/>
            <w:shd w:val="clear" w:color="auto" w:fill="ACABC0"/>
          </w:tcPr>
          <w:p>
            <w:pPr>
              <w:ind w:left="140"/>
              <w:spacing w:after="0"/>
              <w:rPr>
                <w:sz w:val="20"/>
                <w:szCs w:val="20"/>
                <w:color w:val="auto"/>
              </w:rPr>
            </w:pPr>
            <w:r>
              <w:rPr>
                <w:rFonts w:ascii="Arial" w:cs="Arial" w:eastAsia="Arial" w:hAnsi="Arial"/>
                <w:sz w:val="16"/>
                <w:szCs w:val="16"/>
                <w:color w:val="auto"/>
              </w:rPr>
              <w:t>Jason E. Doughty</w:t>
            </w:r>
          </w:p>
        </w:tc>
        <w:tc>
          <w:tcPr>
            <w:tcW w:w="720" w:type="dxa"/>
            <w:vAlign w:val="bottom"/>
            <w:shd w:val="clear" w:color="auto" w:fill="ACABC0"/>
          </w:tcPr>
          <w:p>
            <w:pPr>
              <w:ind w:left="620"/>
              <w:spacing w:after="0"/>
              <w:rPr>
                <w:sz w:val="20"/>
                <w:szCs w:val="20"/>
                <w:color w:val="auto"/>
              </w:rPr>
            </w:pPr>
            <w:r>
              <w:rPr>
                <w:rFonts w:ascii="Times New Roman" w:cs="Times New Roman" w:eastAsia="Times New Roman" w:hAnsi="Times New Roman"/>
                <w:sz w:val="4"/>
                <w:szCs w:val="4"/>
                <w:color w:val="auto"/>
              </w:rPr>
              <w:t>​   ​</w:t>
            </w:r>
          </w:p>
        </w:tc>
        <w:tc>
          <w:tcPr>
            <w:tcW w:w="1240" w:type="dxa"/>
            <w:vAlign w:val="bottom"/>
            <w:shd w:val="clear" w:color="auto" w:fill="ACABC0"/>
          </w:tcPr>
          <w:p>
            <w:pPr>
              <w:jc w:val="center"/>
              <w:spacing w:after="0" w:line="267" w:lineRule="exact"/>
              <w:rPr>
                <w:sz w:val="20"/>
                <w:szCs w:val="20"/>
                <w:color w:val="auto"/>
              </w:rPr>
            </w:pPr>
            <w:r>
              <w:rPr>
                <w:rFonts w:ascii="Arial" w:cs="Arial" w:eastAsia="Arial" w:hAnsi="Arial"/>
                <w:sz w:val="16"/>
                <w:szCs w:val="16"/>
                <w:color w:val="auto"/>
                <w:w w:val="93"/>
              </w:rPr>
              <w:t>107,503</w:t>
            </w:r>
            <w:r>
              <w:rPr>
                <w:rFonts w:ascii="Arial" w:cs="Arial" w:eastAsia="Arial" w:hAnsi="Arial"/>
                <w:sz w:val="26"/>
                <w:szCs w:val="26"/>
                <w:color w:val="auto"/>
                <w:w w:val="93"/>
                <w:vertAlign w:val="superscript"/>
              </w:rPr>
              <w:t>(7)</w:t>
            </w:r>
          </w:p>
        </w:tc>
        <w:tc>
          <w:tcPr>
            <w:tcW w:w="12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shd w:val="clear" w:color="auto" w:fill="ACABC0"/>
          </w:tcPr>
          <w:p>
            <w:pPr>
              <w:ind w:lef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ACABC0"/>
          </w:tcPr>
          <w:p>
            <w:pPr>
              <w:jc w:val="right"/>
              <w:ind w:right="201"/>
              <w:spacing w:after="0"/>
              <w:rPr>
                <w:sz w:val="20"/>
                <w:szCs w:val="20"/>
                <w:color w:val="auto"/>
              </w:rPr>
            </w:pPr>
            <w:r>
              <w:rPr>
                <w:rFonts w:ascii="Arial" w:cs="Arial" w:eastAsia="Arial" w:hAnsi="Arial"/>
                <w:sz w:val="16"/>
                <w:szCs w:val="16"/>
                <w:color w:val="auto"/>
              </w:rPr>
              <w:t>371,960</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220" w:type="dxa"/>
            <w:vAlign w:val="bottom"/>
            <w:gridSpan w:val="2"/>
            <w:shd w:val="clear" w:color="auto" w:fill="ACABC0"/>
          </w:tcPr>
          <w:p>
            <w:pPr>
              <w:jc w:val="right"/>
              <w:ind w:right="93"/>
              <w:spacing w:after="0" w:line="267" w:lineRule="exact"/>
              <w:rPr>
                <w:sz w:val="20"/>
                <w:szCs w:val="20"/>
                <w:color w:val="auto"/>
              </w:rPr>
            </w:pPr>
            <w:r>
              <w:rPr>
                <w:rFonts w:ascii="Arial" w:cs="Arial" w:eastAsia="Arial" w:hAnsi="Arial"/>
                <w:sz w:val="16"/>
                <w:szCs w:val="16"/>
                <w:color w:val="auto"/>
              </w:rPr>
              <w:t>556,647</w:t>
            </w:r>
            <w:r>
              <w:rPr>
                <w:rFonts w:ascii="Arial" w:cs="Arial" w:eastAsia="Arial" w:hAnsi="Arial"/>
                <w:sz w:val="26"/>
                <w:szCs w:val="26"/>
                <w:color w:val="auto"/>
                <w:vertAlign w:val="superscript"/>
              </w:rPr>
              <w:t>(7)</w:t>
            </w:r>
          </w:p>
        </w:tc>
        <w:tc>
          <w:tcPr>
            <w:tcW w:w="12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1500" w:type="dxa"/>
            <w:vAlign w:val="bottom"/>
            <w:shd w:val="clear" w:color="auto" w:fill="ACABC0"/>
          </w:tcPr>
          <w:p>
            <w:pPr>
              <w:ind w:left="380"/>
              <w:spacing w:after="0"/>
              <w:rPr>
                <w:sz w:val="20"/>
                <w:szCs w:val="20"/>
                <w:color w:val="auto"/>
              </w:rPr>
            </w:pPr>
            <w:r>
              <w:rPr>
                <w:rFonts w:ascii="Arial" w:cs="Arial" w:eastAsia="Arial" w:hAnsi="Arial"/>
                <w:sz w:val="16"/>
                <w:szCs w:val="16"/>
                <w:color w:val="auto"/>
              </w:rPr>
              <w:t>1,925,999​</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118745</wp:posOffset>
            </wp:positionV>
            <wp:extent cx="8159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217" w:lineRule="exact"/>
        <w:rPr>
          <w:sz w:val="20"/>
          <w:szCs w:val="20"/>
          <w:color w:val="auto"/>
        </w:rPr>
      </w:pPr>
    </w:p>
    <w:p>
      <w:pPr>
        <w:ind w:left="680" w:right="419" w:hanging="354"/>
        <w:spacing w:after="0" w:line="260" w:lineRule="auto"/>
        <w:tabs>
          <w:tab w:leader="none" w:pos="6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market values of the awards were calculated by multiplying the number of shares underlying the awards by $3.46, which was the closing price of a common share on December 31, 2021.</w:t>
      </w:r>
    </w:p>
    <w:p>
      <w:pPr>
        <w:spacing w:after="0" w:line="1" w:lineRule="exact"/>
        <w:rPr>
          <w:rFonts w:ascii="Arial" w:cs="Arial" w:eastAsia="Arial" w:hAnsi="Arial"/>
          <w:sz w:val="15"/>
          <w:szCs w:val="15"/>
          <w:color w:val="auto"/>
        </w:rPr>
      </w:pPr>
    </w:p>
    <w:p>
      <w:pPr>
        <w:ind w:left="680" w:right="379" w:hanging="354"/>
        <w:spacing w:after="0" w:line="229" w:lineRule="auto"/>
        <w:tabs>
          <w:tab w:leader="none" w:pos="6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number of shares underlying PSU awards reflected in this table assumes attainment of the applicable specified relative TSR goal at the target performance level for PSU awards granted in 2019, 2020 and 2021. The actual number of shares, if any, that will vest will be based on (i) the level of achievement of the relative TSR goal as of the actual end of the performance period and (ii) satisfaction of the applicable service condition, in each case, as indicated in the footnotes below, plus the amount of any dividends or distributions that are declared on the shares during the applicable performance period. Following the end of 2021, the PSUs granted in 2019 achieved the specified relative TSR goal with a payout at 86.6% of the target number of shares. For more on the terms of outstanding equity awards granted in 2021, see “Compensation Discussion and Analysis—Analysis of 2021 Executive Compensation Decisions—Equity Awards” above.</w:t>
      </w:r>
    </w:p>
    <w:p>
      <w:pPr>
        <w:spacing w:after="0" w:line="18" w:lineRule="exact"/>
        <w:rPr>
          <w:rFonts w:ascii="Arial" w:cs="Arial" w:eastAsia="Arial" w:hAnsi="Arial"/>
          <w:sz w:val="15"/>
          <w:szCs w:val="15"/>
          <w:color w:val="auto"/>
        </w:rPr>
      </w:pPr>
    </w:p>
    <w:p>
      <w:pPr>
        <w:ind w:left="680" w:right="339" w:hanging="354"/>
        <w:spacing w:after="0" w:line="229" w:lineRule="auto"/>
        <w:tabs>
          <w:tab w:leader="none" w:pos="6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For Mr. Inglis, consists of: (a) 41,274 shares underlying RSU awards that are scheduled to vest on January 2, 2022; (b) 98,999 shares underlying RSU awards that are scheduled to vest ratably on January 31 of each of 2022 and 2023; (c) 157,500 shares underlying RSU awards that are scheduled to vest ratably on January 31 of each of 2022, 2023 and 2024; (d) 288,925 shares underlying PSU awards (with a performance period scheduled to end on January 2, 2022 and a service condition that is scheduled to be met on January 31, 2022); (e) 301,500 shares underlying PSU awards (with a performance period scheduled to end on January 2, 2023 and a service condition that is scheduled to be met ratably on January 31 of each of 2022 and 2023); and (f) 837,500 shares underlying PSU awards (with a performance period scheduled to end on January 4, 2024 and a service condition that is scheduled to be met ratably on January 31 of each of 2022, 2023 and 2024).</w:t>
      </w:r>
    </w:p>
    <w:p>
      <w:pPr>
        <w:spacing w:after="0" w:line="18" w:lineRule="exact"/>
        <w:rPr>
          <w:rFonts w:ascii="Arial" w:cs="Arial" w:eastAsia="Arial" w:hAnsi="Arial"/>
          <w:sz w:val="15"/>
          <w:szCs w:val="15"/>
          <w:color w:val="auto"/>
        </w:rPr>
      </w:pPr>
    </w:p>
    <w:p>
      <w:pPr>
        <w:ind w:left="680" w:hanging="354"/>
        <w:spacing w:after="0"/>
        <w:tabs>
          <w:tab w:leader="none" w:pos="6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For Mr. Shah, consists of: (a) 14,166 shares underlying RSU awards that are scheduled to vest on January 31, 2022;</w:t>
      </w:r>
    </w:p>
    <w:p>
      <w:pPr>
        <w:spacing w:after="0" w:line="2" w:lineRule="exact"/>
        <w:rPr>
          <w:rFonts w:ascii="Arial" w:cs="Arial" w:eastAsia="Arial" w:hAnsi="Arial"/>
          <w:sz w:val="15"/>
          <w:szCs w:val="15"/>
          <w:color w:val="auto"/>
        </w:rPr>
      </w:pPr>
    </w:p>
    <w:p>
      <w:pPr>
        <w:ind w:left="900" w:hanging="225"/>
        <w:spacing w:after="0" w:line="223" w:lineRule="auto"/>
        <w:tabs>
          <w:tab w:leader="none" w:pos="900" w:val="left"/>
        </w:tabs>
        <w:numPr>
          <w:ilvl w:val="1"/>
          <w:numId w:val="69"/>
        </w:numPr>
        <w:rPr>
          <w:rFonts w:ascii="Arial" w:cs="Arial" w:eastAsia="Arial" w:hAnsi="Arial"/>
          <w:sz w:val="15"/>
          <w:szCs w:val="15"/>
          <w:color w:val="auto"/>
        </w:rPr>
      </w:pPr>
      <w:r>
        <w:rPr>
          <w:rFonts w:ascii="Arial" w:cs="Arial" w:eastAsia="Arial" w:hAnsi="Arial"/>
          <w:sz w:val="15"/>
          <w:szCs w:val="15"/>
          <w:color w:val="auto"/>
        </w:rPr>
        <w:t>32,999 shares underlying RSU awards that are scheduled to vest ratably on January 31 of each of 2022 and 2023;</w:t>
      </w:r>
    </w:p>
    <w:p>
      <w:pPr>
        <w:ind w:left="680" w:right="359" w:hanging="5"/>
        <w:spacing w:after="0" w:line="228" w:lineRule="auto"/>
        <w:tabs>
          <w:tab w:leader="none" w:pos="899" w:val="left"/>
        </w:tabs>
        <w:numPr>
          <w:ilvl w:val="1"/>
          <w:numId w:val="69"/>
        </w:numPr>
        <w:rPr>
          <w:rFonts w:ascii="Arial" w:cs="Arial" w:eastAsia="Arial" w:hAnsi="Arial"/>
          <w:sz w:val="15"/>
          <w:szCs w:val="15"/>
          <w:color w:val="auto"/>
        </w:rPr>
      </w:pPr>
      <w:r>
        <w:rPr>
          <w:rFonts w:ascii="Arial" w:cs="Arial" w:eastAsia="Arial" w:hAnsi="Arial"/>
          <w:sz w:val="15"/>
          <w:szCs w:val="15"/>
          <w:color w:val="auto"/>
        </w:rPr>
        <w:t>77,000 shares underlying RSU awards that are scheduled to vest ratably on January 31 of each of 2022, 2023 and 2024; (d) 87,500 shares underlying PSU awards (with a performance period scheduled to end on January 2, 2022 and a service condition that is scheduled to be met on January 31, 2022); (e) 100,500 shares underlying PSU awards (with a performance period scheduled to end on January 2, 2023 and a service condition that is scheduled to be met ratably on January 31 of each of 2022 and 2023); and (f) 423,000 shares underlying PSU awards (with a performance period scheduled to end on January 4, 2024 and a service condition that is scheduled to be met ratably on January 31 of each of 2022, 2023 and 2024).</w:t>
      </w:r>
    </w:p>
    <w:p>
      <w:pPr>
        <w:spacing w:after="0" w:line="17" w:lineRule="exact"/>
        <w:rPr>
          <w:rFonts w:ascii="Arial" w:cs="Arial" w:eastAsia="Arial" w:hAnsi="Arial"/>
          <w:sz w:val="15"/>
          <w:szCs w:val="15"/>
          <w:color w:val="auto"/>
        </w:rPr>
      </w:pPr>
    </w:p>
    <w:p>
      <w:pPr>
        <w:ind w:left="680" w:right="339" w:hanging="354"/>
        <w:spacing w:after="0" w:line="234" w:lineRule="auto"/>
        <w:tabs>
          <w:tab w:leader="none" w:pos="6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For Mr. Ball, consists of: (a) 24,374 shares underlying RSU awards that are scheduled to vest on January 31, 2022; (b) 48,749 shares underlying RSU awards that are scheduled to vest ratably on January 31 of each of 2022 and 2023; (c) 77,000 shares underlying RSU awards that are scheduled to vest ratably on January 31 of each of 2022, 2023 and 2024; (d) 146,875 shares underlying PSU awards (with a performance period scheduled to end on January 2, 2022 and a service condition that is scheduled to be met on January 31, 2022); (e) 146,875 shares</w:t>
      </w:r>
    </w:p>
    <w:p>
      <w:pPr>
        <w:spacing w:after="0" w:line="65" w:lineRule="exact"/>
        <w:rPr>
          <w:sz w:val="20"/>
          <w:szCs w:val="20"/>
          <w:color w:val="auto"/>
        </w:rPr>
      </w:pPr>
    </w:p>
    <w:p>
      <w:pPr>
        <w:ind w:left="640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121285</wp:posOffset>
            </wp:positionV>
            <wp:extent cx="693801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-158750</wp:posOffset>
            </wp:positionV>
            <wp:extent cx="594995" cy="1701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6" w:name="page57"/>
    <w:bookmarkEnd w:id="56"/>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176" w:lineRule="exact"/>
        <w:rPr>
          <w:sz w:val="20"/>
          <w:szCs w:val="20"/>
          <w:color w:val="auto"/>
        </w:rPr>
      </w:pPr>
    </w:p>
    <w:p>
      <w:pPr>
        <w:ind w:left="680" w:right="479"/>
        <w:spacing w:after="0" w:line="237" w:lineRule="auto"/>
        <w:rPr>
          <w:sz w:val="20"/>
          <w:szCs w:val="20"/>
          <w:color w:val="auto"/>
        </w:rPr>
      </w:pPr>
      <w:r>
        <w:rPr>
          <w:rFonts w:ascii="Arial" w:cs="Arial" w:eastAsia="Arial" w:hAnsi="Arial"/>
          <w:sz w:val="15"/>
          <w:szCs w:val="15"/>
          <w:color w:val="auto"/>
        </w:rPr>
        <w:t>underlying PSU awards (with a performance period scheduled to end on January 2, 2023 and a service condition that is scheduled to be met ratably on January 31 of each of 2022 and 2023); and (f) 493,000 shares underlying PSU awards (with a performance period scheduled to end on January 4, 2024 and a service condition that is scheduled to be met ratably on January 31 of each of 2022, 2023 and 2024).</w:t>
      </w:r>
    </w:p>
    <w:p>
      <w:pPr>
        <w:spacing w:after="0" w:line="15" w:lineRule="exact"/>
        <w:rPr>
          <w:sz w:val="20"/>
          <w:szCs w:val="20"/>
          <w:color w:val="auto"/>
        </w:rPr>
      </w:pPr>
    </w:p>
    <w:p>
      <w:pPr>
        <w:ind w:left="680" w:right="439" w:hanging="354"/>
        <w:spacing w:after="0" w:line="229" w:lineRule="auto"/>
        <w:tabs>
          <w:tab w:leader="none" w:pos="6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For Mr. Clark, consists of: (a) 24,374 shares underlying RSU awards that are scheduled vest on January 31, 2022; (b) 48,749 shares underlying RSU awards that are scheduled to vest ratably on January 31 of each of 2022 and 2023; (c) 77,000 shares underlying RSU awards that are scheduled to vest ratably on January 31 of each of 2022, 2023 and 2024; (d) 146,875 shares underlying PSU awards (with a performance period that is scheduled to end on January 2, 2022 and a service condition that is scheduled to be met ratably on January 31, 2022); and (e) 146,875 shares underlying PSU awards (with a performance period that is scheduled to end on January 2, 2023 and a service condition that is scheduled to be met ratably on January 31 of each of 2022 and 2023); and (f) 493,000 shares underlying PSU awards (with a performance period scheduled to end on January 4, 2024 and a service condition that is scheduled to be met ratably on January 31 of each of 2022, 2023 and 2024).</w:t>
      </w:r>
    </w:p>
    <w:p>
      <w:pPr>
        <w:spacing w:after="0" w:line="18" w:lineRule="exact"/>
        <w:rPr>
          <w:rFonts w:ascii="Arial" w:cs="Arial" w:eastAsia="Arial" w:hAnsi="Arial"/>
          <w:sz w:val="15"/>
          <w:szCs w:val="15"/>
          <w:color w:val="auto"/>
        </w:rPr>
      </w:pPr>
    </w:p>
    <w:p>
      <w:pPr>
        <w:ind w:left="680" w:right="439" w:hanging="354"/>
        <w:spacing w:after="0" w:line="230" w:lineRule="auto"/>
        <w:tabs>
          <w:tab w:leader="none" w:pos="6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For Mr. Doughty, consists of: (a) 17,383 shares underlying RSU awards that are scheduled to vest on January 31, 2022; (b) 34,767 shares underlying RSU awards that are scheduled to vest ratably on January 31 of each of 2022 and 2023; (c) 55,353 shares underlying RSU awards that are scheduled to vest ratably on January 31 of each of 2022,</w:t>
      </w:r>
    </w:p>
    <w:p>
      <w:pPr>
        <w:ind w:left="680" w:right="339"/>
        <w:spacing w:after="0" w:line="229" w:lineRule="auto"/>
        <w:rPr>
          <w:rFonts w:ascii="Arial" w:cs="Arial" w:eastAsia="Arial" w:hAnsi="Arial"/>
          <w:sz w:val="15"/>
          <w:szCs w:val="15"/>
          <w:color w:val="auto"/>
        </w:rPr>
      </w:pPr>
      <w:r>
        <w:rPr>
          <w:rFonts w:ascii="Arial" w:cs="Arial" w:eastAsia="Arial" w:hAnsi="Arial"/>
          <w:sz w:val="15"/>
          <w:szCs w:val="15"/>
          <w:color w:val="auto"/>
        </w:rPr>
        <w:t>2023 and 2024; (d) 106,000 shares underlying PSU awards (with a performance period scheduled to end on January 2, 2022 and a service condition that is scheduled to be met on January 31, 2022); (e) 106,000 shares underlying PSU awards (with a performance period scheduled to end on January 2, 2023 and a service condition that is scheduled to be met ratably on January 31 of each of 2022 and 2023); and (f) 344,647 shares underlying PSU awards (with a performance period scheduled to end on January 4, 2024 and a service condition that is scheduled to be met ratably on January 31 of each of 2022, 2023 and 2024).</w:t>
      </w:r>
    </w:p>
    <w:p>
      <w:pPr>
        <w:spacing w:after="0" w:line="322"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Option Exercises and Stock Vested During 2021</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provides information on our named executive officers’ RSU and PSU awards that vested in 2021.</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not granted share options to our named executive officers or other employees.</w:t>
      </w:r>
    </w:p>
    <w:p>
      <w:pPr>
        <w:spacing w:after="0" w:line="69" w:lineRule="exact"/>
        <w:rPr>
          <w:sz w:val="20"/>
          <w:szCs w:val="20"/>
          <w:color w:val="auto"/>
        </w:rPr>
      </w:pPr>
    </w:p>
    <w:tbl>
      <w:tblPr>
        <w:tblLayout w:type="fixed"/>
        <w:tblInd w:w="32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3500" w:type="dxa"/>
            <w:vAlign w:val="bottom"/>
            <w:shd w:val="clear" w:color="auto" w:fill="717295"/>
          </w:tcPr>
          <w:p>
            <w:pPr>
              <w:spacing w:after="0"/>
              <w:rPr>
                <w:sz w:val="22"/>
                <w:szCs w:val="22"/>
                <w:color w:val="auto"/>
              </w:rPr>
            </w:pPr>
          </w:p>
        </w:tc>
        <w:tc>
          <w:tcPr>
            <w:tcW w:w="2160" w:type="dxa"/>
            <w:vAlign w:val="bottom"/>
            <w:shd w:val="clear" w:color="auto" w:fill="717295"/>
          </w:tcPr>
          <w:p>
            <w:pPr>
              <w:spacing w:after="0"/>
              <w:rPr>
                <w:sz w:val="22"/>
                <w:szCs w:val="22"/>
                <w:color w:val="auto"/>
              </w:rPr>
            </w:pPr>
          </w:p>
        </w:tc>
        <w:tc>
          <w:tcPr>
            <w:tcW w:w="128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260" w:type="dxa"/>
            <w:vAlign w:val="bottom"/>
            <w:shd w:val="clear" w:color="auto" w:fill="717295"/>
          </w:tcPr>
          <w:p>
            <w:pPr>
              <w:spacing w:after="0"/>
              <w:rPr>
                <w:sz w:val="22"/>
                <w:szCs w:val="22"/>
                <w:color w:val="auto"/>
              </w:rPr>
            </w:pPr>
          </w:p>
        </w:tc>
        <w:tc>
          <w:tcPr>
            <w:tcW w:w="940" w:type="dxa"/>
            <w:vAlign w:val="bottom"/>
            <w:shd w:val="clear" w:color="auto" w:fill="717295"/>
          </w:tcPr>
          <w:p>
            <w:pPr>
              <w:spacing w:after="0"/>
              <w:rPr>
                <w:sz w:val="22"/>
                <w:szCs w:val="22"/>
                <w:color w:val="auto"/>
              </w:rPr>
            </w:pPr>
          </w:p>
        </w:tc>
        <w:tc>
          <w:tcPr>
            <w:tcW w:w="280" w:type="dxa"/>
            <w:vAlign w:val="bottom"/>
            <w:shd w:val="clear" w:color="auto" w:fill="717295"/>
          </w:tcPr>
          <w:p>
            <w:pPr>
              <w:spacing w:after="0"/>
              <w:rPr>
                <w:sz w:val="22"/>
                <w:szCs w:val="22"/>
                <w:color w:val="auto"/>
              </w:rPr>
            </w:pPr>
          </w:p>
        </w:tc>
      </w:tr>
      <w:tr>
        <w:trPr>
          <w:trHeight w:val="170"/>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500" w:type="dxa"/>
            <w:vAlign w:val="bottom"/>
            <w:shd w:val="clear" w:color="auto" w:fill="717295"/>
          </w:tcPr>
          <w:p>
            <w:pPr>
              <w:spacing w:after="0"/>
              <w:rPr>
                <w:sz w:val="14"/>
                <w:szCs w:val="14"/>
                <w:color w:val="auto"/>
              </w:rPr>
            </w:pPr>
          </w:p>
        </w:tc>
        <w:tc>
          <w:tcPr>
            <w:tcW w:w="2160" w:type="dxa"/>
            <w:vAlign w:val="bottom"/>
            <w:shd w:val="clear" w:color="auto" w:fill="717295"/>
          </w:tcPr>
          <w:p>
            <w:pPr>
              <w:ind w:left="2080"/>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Acquired on</w:t>
            </w:r>
          </w:p>
        </w:tc>
        <w:tc>
          <w:tcPr>
            <w:tcW w:w="1480" w:type="dxa"/>
            <w:vAlign w:val="bottom"/>
            <w:gridSpan w:val="3"/>
            <w:shd w:val="clear" w:color="auto" w:fill="717295"/>
          </w:tcPr>
          <w:p>
            <w:pPr>
              <w:ind w:left="20"/>
              <w:spacing w:after="0"/>
              <w:rPr>
                <w:sz w:val="20"/>
                <w:szCs w:val="20"/>
                <w:color w:val="auto"/>
              </w:rPr>
            </w:pPr>
            <w:r>
              <w:rPr>
                <w:rFonts w:ascii="Times New Roman" w:cs="Times New Roman" w:eastAsia="Times New Roman" w:hAnsi="Times New Roman"/>
                <w:sz w:val="7"/>
                <w:szCs w:val="7"/>
                <w:color w:val="000000"/>
                <w:vertAlign w:val="subscript"/>
              </w:rPr>
              <w:t>​   ​</w:t>
            </w:r>
            <w:r>
              <w:rPr>
                <w:rFonts w:ascii="Arial" w:cs="Arial" w:eastAsia="Arial" w:hAnsi="Arial"/>
                <w:sz w:val="14"/>
                <w:szCs w:val="14"/>
                <w:b w:val="1"/>
                <w:bCs w:val="1"/>
                <w:color w:val="FFFFFF"/>
              </w:rPr>
              <w:t xml:space="preserve">   Value Realized on </w:t>
            </w:r>
            <w:r>
              <w:rPr>
                <w:rFonts w:ascii="Times New Roman" w:cs="Times New Roman" w:eastAsia="Times New Roman" w:hAnsi="Times New Roman"/>
                <w:sz w:val="7"/>
                <w:szCs w:val="7"/>
                <w:color w:val="000000"/>
                <w:vertAlign w:val="subscript"/>
              </w:rPr>
              <w:t>​</w:t>
            </w:r>
          </w:p>
        </w:tc>
      </w:tr>
      <w:tr>
        <w:trPr>
          <w:trHeight w:val="135"/>
        </w:trPr>
        <w:tc>
          <w:tcPr>
            <w:tcW w:w="20" w:type="dxa"/>
            <w:vAlign w:val="bottom"/>
          </w:tcPr>
          <w:p>
            <w:pPr>
              <w:spacing w:after="0"/>
              <w:rPr>
                <w:sz w:val="11"/>
                <w:szCs w:val="11"/>
                <w:color w:val="auto"/>
              </w:rPr>
            </w:pPr>
          </w:p>
        </w:tc>
        <w:tc>
          <w:tcPr>
            <w:tcW w:w="3500" w:type="dxa"/>
            <w:vAlign w:val="bottom"/>
            <w:shd w:val="clear" w:color="auto" w:fill="717295"/>
          </w:tcPr>
          <w:p>
            <w:pPr>
              <w:spacing w:after="0"/>
              <w:rPr>
                <w:sz w:val="11"/>
                <w:szCs w:val="11"/>
                <w:color w:val="auto"/>
              </w:rPr>
            </w:pPr>
          </w:p>
        </w:tc>
        <w:tc>
          <w:tcPr>
            <w:tcW w:w="2160" w:type="dxa"/>
            <w:vAlign w:val="bottom"/>
            <w:shd w:val="clear" w:color="auto" w:fill="717295"/>
          </w:tcPr>
          <w:p>
            <w:pPr>
              <w:spacing w:after="0"/>
              <w:rPr>
                <w:sz w:val="11"/>
                <w:szCs w:val="11"/>
                <w:color w:val="auto"/>
              </w:rPr>
            </w:pPr>
          </w:p>
        </w:tc>
        <w:tc>
          <w:tcPr>
            <w:tcW w:w="1280" w:type="dxa"/>
            <w:vAlign w:val="bottom"/>
            <w:shd w:val="clear" w:color="auto" w:fill="717295"/>
          </w:tcPr>
          <w:p>
            <w:pPr>
              <w:jc w:val="center"/>
              <w:spacing w:after="0" w:line="135" w:lineRule="exact"/>
              <w:rPr>
                <w:sz w:val="20"/>
                <w:szCs w:val="20"/>
                <w:color w:val="auto"/>
              </w:rPr>
            </w:pPr>
            <w:r>
              <w:rPr>
                <w:rFonts w:ascii="Arial" w:cs="Arial" w:eastAsia="Arial" w:hAnsi="Arial"/>
                <w:sz w:val="14"/>
                <w:szCs w:val="14"/>
                <w:b w:val="1"/>
                <w:bCs w:val="1"/>
                <w:color w:val="FFFFFF"/>
                <w:w w:val="98"/>
              </w:rPr>
              <w:t>Vesting</w:t>
            </w:r>
          </w:p>
        </w:tc>
        <w:tc>
          <w:tcPr>
            <w:tcW w:w="260" w:type="dxa"/>
            <w:vAlign w:val="bottom"/>
            <w:shd w:val="clear" w:color="auto" w:fill="717295"/>
          </w:tcPr>
          <w:p>
            <w:pPr>
              <w:spacing w:after="0"/>
              <w:rPr>
                <w:sz w:val="11"/>
                <w:szCs w:val="11"/>
                <w:color w:val="auto"/>
              </w:rPr>
            </w:pPr>
          </w:p>
        </w:tc>
        <w:tc>
          <w:tcPr>
            <w:tcW w:w="940" w:type="dxa"/>
            <w:vAlign w:val="bottom"/>
            <w:shd w:val="clear" w:color="auto" w:fill="717295"/>
          </w:tcPr>
          <w:p>
            <w:pPr>
              <w:jc w:val="right"/>
              <w:ind w:right="124"/>
              <w:spacing w:after="0" w:line="135" w:lineRule="exact"/>
              <w:rPr>
                <w:sz w:val="20"/>
                <w:szCs w:val="20"/>
                <w:color w:val="auto"/>
              </w:rPr>
            </w:pPr>
            <w:r>
              <w:rPr>
                <w:rFonts w:ascii="Arial" w:cs="Arial" w:eastAsia="Arial" w:hAnsi="Arial"/>
                <w:sz w:val="14"/>
                <w:szCs w:val="14"/>
                <w:b w:val="1"/>
                <w:bCs w:val="1"/>
                <w:color w:val="FFFFFF"/>
              </w:rPr>
              <w:t>Vesting</w:t>
            </w:r>
          </w:p>
        </w:tc>
        <w:tc>
          <w:tcPr>
            <w:tcW w:w="280" w:type="dxa"/>
            <w:vAlign w:val="bottom"/>
            <w:shd w:val="clear" w:color="auto" w:fill="717295"/>
          </w:tcPr>
          <w:p>
            <w:pPr>
              <w:spacing w:after="0"/>
              <w:rPr>
                <w:sz w:val="11"/>
                <w:szCs w:val="11"/>
                <w:color w:val="auto"/>
              </w:rPr>
            </w:pPr>
          </w:p>
        </w:tc>
      </w:tr>
      <w:tr>
        <w:trPr>
          <w:trHeight w:val="240"/>
        </w:trPr>
        <w:tc>
          <w:tcPr>
            <w:tcW w:w="20" w:type="dxa"/>
            <w:vAlign w:val="bottom"/>
          </w:tcPr>
          <w:p>
            <w:pPr>
              <w:spacing w:after="0"/>
              <w:rPr>
                <w:sz w:val="20"/>
                <w:szCs w:val="20"/>
                <w:color w:val="auto"/>
              </w:rPr>
            </w:pPr>
          </w:p>
        </w:tc>
        <w:tc>
          <w:tcPr>
            <w:tcW w:w="3500" w:type="dxa"/>
            <w:vAlign w:val="bottom"/>
            <w:shd w:val="clear" w:color="auto" w:fill="717295"/>
          </w:tcPr>
          <w:p>
            <w:pPr>
              <w:ind w:left="120"/>
              <w:spacing w:after="0"/>
              <w:rPr>
                <w:sz w:val="20"/>
                <w:szCs w:val="20"/>
                <w:color w:val="auto"/>
              </w:rPr>
            </w:pPr>
            <w:r>
              <w:rPr>
                <w:rFonts w:ascii="Arial" w:cs="Arial" w:eastAsia="Arial" w:hAnsi="Arial"/>
                <w:sz w:val="14"/>
                <w:szCs w:val="14"/>
                <w:b w:val="1"/>
                <w:bCs w:val="1"/>
                <w:color w:val="FFFFFF"/>
              </w:rPr>
              <w:t>Name</w:t>
            </w:r>
          </w:p>
        </w:tc>
        <w:tc>
          <w:tcPr>
            <w:tcW w:w="2160" w:type="dxa"/>
            <w:vAlign w:val="bottom"/>
            <w:shd w:val="clear" w:color="auto" w:fill="717295"/>
          </w:tcPr>
          <w:p>
            <w:pPr>
              <w:spacing w:after="0"/>
              <w:rPr>
                <w:sz w:val="20"/>
                <w:szCs w:val="20"/>
                <w:color w:val="auto"/>
              </w:rPr>
            </w:pPr>
          </w:p>
        </w:tc>
        <w:tc>
          <w:tcPr>
            <w:tcW w:w="1280" w:type="dxa"/>
            <w:vAlign w:val="bottom"/>
            <w:shd w:val="clear" w:color="auto" w:fill="717295"/>
          </w:tcPr>
          <w:p>
            <w:pPr>
              <w:jc w:val="right"/>
              <w:ind w:right="444"/>
              <w:spacing w:after="0"/>
              <w:rPr>
                <w:sz w:val="20"/>
                <w:szCs w:val="20"/>
                <w:color w:val="auto"/>
              </w:rPr>
            </w:pPr>
            <w:r>
              <w:rPr>
                <w:rFonts w:ascii="Arial" w:cs="Arial" w:eastAsia="Arial" w:hAnsi="Arial"/>
                <w:sz w:val="14"/>
                <w:szCs w:val="14"/>
                <w:b w:val="1"/>
                <w:bCs w:val="1"/>
                <w:color w:val="FFFFFF"/>
              </w:rPr>
              <w:t>(#)</w:t>
            </w:r>
          </w:p>
        </w:tc>
        <w:tc>
          <w:tcPr>
            <w:tcW w:w="260" w:type="dxa"/>
            <w:vAlign w:val="bottom"/>
            <w:shd w:val="clear" w:color="auto" w:fill="717295"/>
          </w:tcPr>
          <w:p>
            <w:pPr>
              <w:spacing w:after="0"/>
              <w:rPr>
                <w:sz w:val="20"/>
                <w:szCs w:val="20"/>
                <w:color w:val="auto"/>
              </w:rPr>
            </w:pPr>
          </w:p>
        </w:tc>
        <w:tc>
          <w:tcPr>
            <w:tcW w:w="940" w:type="dxa"/>
            <w:vAlign w:val="bottom"/>
            <w:shd w:val="clear" w:color="auto" w:fill="717295"/>
          </w:tcPr>
          <w:p>
            <w:pPr>
              <w:jc w:val="right"/>
              <w:ind w:right="204"/>
              <w:spacing w:after="0" w:line="240"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12"/>
                <w:szCs w:val="12"/>
                <w:b w:val="1"/>
                <w:bCs w:val="1"/>
                <w:color w:val="FFFFFF"/>
              </w:rPr>
              <w:t>(1)</w:t>
            </w:r>
          </w:p>
        </w:tc>
        <w:tc>
          <w:tcPr>
            <w:tcW w:w="280" w:type="dxa"/>
            <w:vAlign w:val="bottom"/>
            <w:shd w:val="clear" w:color="auto" w:fill="717295"/>
          </w:tcPr>
          <w:p>
            <w:pPr>
              <w:spacing w:after="0"/>
              <w:rPr>
                <w:sz w:val="20"/>
                <w:szCs w:val="20"/>
                <w:color w:val="auto"/>
              </w:rPr>
            </w:pP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500" w:type="dxa"/>
            <w:vAlign w:val="bottom"/>
            <w:tcBorders>
              <w:bottom w:val="single" w:sz="8" w:color="ACABC0"/>
            </w:tcBorders>
            <w:shd w:val="clear" w:color="auto" w:fill="ACABC0"/>
          </w:tcPr>
          <w:p>
            <w:pPr>
              <w:ind w:left="120"/>
              <w:spacing w:after="0"/>
              <w:rPr>
                <w:sz w:val="20"/>
                <w:szCs w:val="20"/>
                <w:color w:val="auto"/>
              </w:rPr>
            </w:pPr>
            <w:r>
              <w:rPr>
                <w:rFonts w:ascii="Arial" w:cs="Arial" w:eastAsia="Arial" w:hAnsi="Arial"/>
                <w:sz w:val="16"/>
                <w:szCs w:val="16"/>
                <w:color w:val="auto"/>
              </w:rPr>
              <w:t>Andrew G. Inglis</w:t>
            </w:r>
          </w:p>
        </w:tc>
        <w:tc>
          <w:tcPr>
            <w:tcW w:w="2160" w:type="dxa"/>
            <w:vAlign w:val="bottom"/>
            <w:tcBorders>
              <w:bottom w:val="single" w:sz="8" w:color="ACABC0"/>
            </w:tcBorders>
            <w:shd w:val="clear" w:color="auto" w:fill="ACABC0"/>
          </w:tcPr>
          <w:p>
            <w:pPr>
              <w:ind w:left="2080"/>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Borders>
              <w:bottom w:val="single" w:sz="8" w:color="ACABC0"/>
            </w:tcBorders>
            <w:shd w:val="clear" w:color="auto" w:fill="ACABC0"/>
          </w:tcPr>
          <w:p>
            <w:pPr>
              <w:jc w:val="right"/>
              <w:ind w:right="244"/>
              <w:spacing w:after="0"/>
              <w:rPr>
                <w:sz w:val="20"/>
                <w:szCs w:val="20"/>
                <w:color w:val="auto"/>
              </w:rPr>
            </w:pPr>
            <w:r>
              <w:rPr>
                <w:rFonts w:ascii="Arial" w:cs="Arial" w:eastAsia="Arial" w:hAnsi="Arial"/>
                <w:sz w:val="16"/>
                <w:szCs w:val="16"/>
                <w:color w:val="auto"/>
              </w:rPr>
              <w:t>276,112</w:t>
            </w:r>
          </w:p>
        </w:tc>
        <w:tc>
          <w:tcPr>
            <w:tcW w:w="26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40" w:type="dxa"/>
            <w:vAlign w:val="bottom"/>
            <w:tcBorders>
              <w:bottom w:val="single" w:sz="8" w:color="ACABC0"/>
            </w:tcBorders>
            <w:shd w:val="clear" w:color="auto" w:fill="ACABC0"/>
          </w:tcPr>
          <w:p>
            <w:pPr>
              <w:jc w:val="right"/>
              <w:ind w:right="104"/>
              <w:spacing w:after="0"/>
              <w:rPr>
                <w:sz w:val="20"/>
                <w:szCs w:val="20"/>
                <w:color w:val="auto"/>
              </w:rPr>
            </w:pPr>
            <w:r>
              <w:rPr>
                <w:rFonts w:ascii="Arial" w:cs="Arial" w:eastAsia="Arial" w:hAnsi="Arial"/>
                <w:sz w:val="16"/>
                <w:szCs w:val="16"/>
                <w:color w:val="auto"/>
              </w:rPr>
              <w:t>644,362</w:t>
            </w:r>
          </w:p>
        </w:tc>
        <w:tc>
          <w:tcPr>
            <w:tcW w:w="280" w:type="dxa"/>
            <w:vAlign w:val="bottom"/>
            <w:tcBorders>
              <w:bottom w:val="single" w:sz="8" w:color="ACABC0"/>
            </w:tcBorders>
            <w:shd w:val="clear" w:color="auto" w:fill="ACABC0"/>
          </w:tcPr>
          <w:p>
            <w:pPr>
              <w:ind w:left="18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500" w:type="dxa"/>
            <w:vAlign w:val="bottom"/>
            <w:tcBorders>
              <w:bottom w:val="single" w:sz="8" w:color="F1F2F2"/>
            </w:tcBorders>
            <w:shd w:val="clear" w:color="auto" w:fill="F1F2F2"/>
          </w:tcPr>
          <w:p>
            <w:pPr>
              <w:ind w:left="120"/>
              <w:spacing w:after="0"/>
              <w:rPr>
                <w:sz w:val="20"/>
                <w:szCs w:val="20"/>
                <w:color w:val="auto"/>
              </w:rPr>
            </w:pPr>
            <w:r>
              <w:rPr>
                <w:rFonts w:ascii="Arial" w:cs="Arial" w:eastAsia="Arial" w:hAnsi="Arial"/>
                <w:sz w:val="16"/>
                <w:szCs w:val="16"/>
                <w:color w:val="auto"/>
              </w:rPr>
              <w:t>Neal D. Shah</w:t>
            </w:r>
          </w:p>
        </w:tc>
        <w:tc>
          <w:tcPr>
            <w:tcW w:w="2160" w:type="dxa"/>
            <w:vAlign w:val="bottom"/>
            <w:tcBorders>
              <w:bottom w:val="single" w:sz="8" w:color="F1F2F2"/>
            </w:tcBorders>
            <w:shd w:val="clear" w:color="auto" w:fill="F1F2F2"/>
          </w:tcPr>
          <w:p>
            <w:pPr>
              <w:ind w:left="2080"/>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Borders>
              <w:bottom w:val="single" w:sz="8" w:color="F1F2F2"/>
            </w:tcBorders>
            <w:shd w:val="clear" w:color="auto" w:fill="F1F2F2"/>
          </w:tcPr>
          <w:p>
            <w:pPr>
              <w:jc w:val="right"/>
              <w:ind w:right="264"/>
              <w:spacing w:after="0"/>
              <w:rPr>
                <w:sz w:val="20"/>
                <w:szCs w:val="20"/>
                <w:color w:val="auto"/>
              </w:rPr>
            </w:pPr>
            <w:r>
              <w:rPr>
                <w:rFonts w:ascii="Arial" w:cs="Arial" w:eastAsia="Arial" w:hAnsi="Arial"/>
                <w:sz w:val="16"/>
                <w:szCs w:val="16"/>
                <w:color w:val="auto"/>
              </w:rPr>
              <w:t>88,911</w:t>
            </w:r>
          </w:p>
        </w:tc>
        <w:tc>
          <w:tcPr>
            <w:tcW w:w="26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40" w:type="dxa"/>
            <w:vAlign w:val="bottom"/>
            <w:tcBorders>
              <w:bottom w:val="single" w:sz="8" w:color="F1F2F2"/>
            </w:tcBorders>
            <w:shd w:val="clear" w:color="auto" w:fill="F1F2F2"/>
          </w:tcPr>
          <w:p>
            <w:pPr>
              <w:jc w:val="right"/>
              <w:ind w:right="104"/>
              <w:spacing w:after="0"/>
              <w:rPr>
                <w:sz w:val="20"/>
                <w:szCs w:val="20"/>
                <w:color w:val="auto"/>
              </w:rPr>
            </w:pPr>
            <w:r>
              <w:rPr>
                <w:rFonts w:ascii="Arial" w:cs="Arial" w:eastAsia="Arial" w:hAnsi="Arial"/>
                <w:sz w:val="16"/>
                <w:szCs w:val="16"/>
                <w:color w:val="auto"/>
              </w:rPr>
              <w:t>207,377</w:t>
            </w:r>
          </w:p>
        </w:tc>
        <w:tc>
          <w:tcPr>
            <w:tcW w:w="280" w:type="dxa"/>
            <w:vAlign w:val="bottom"/>
            <w:tcBorders>
              <w:bottom w:val="single" w:sz="8" w:color="F1F2F2"/>
            </w:tcBorders>
            <w:shd w:val="clear" w:color="auto" w:fill="F1F2F2"/>
          </w:tcPr>
          <w:p>
            <w:pPr>
              <w:ind w:left="18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500" w:type="dxa"/>
            <w:vAlign w:val="bottom"/>
            <w:tcBorders>
              <w:bottom w:val="single" w:sz="8" w:color="ACABC0"/>
            </w:tcBorders>
            <w:shd w:val="clear" w:color="auto" w:fill="ACABC0"/>
          </w:tcPr>
          <w:p>
            <w:pPr>
              <w:ind w:left="120"/>
              <w:spacing w:after="0"/>
              <w:rPr>
                <w:sz w:val="20"/>
                <w:szCs w:val="20"/>
                <w:color w:val="auto"/>
              </w:rPr>
            </w:pPr>
            <w:r>
              <w:rPr>
                <w:rFonts w:ascii="Arial" w:cs="Arial" w:eastAsia="Arial" w:hAnsi="Arial"/>
                <w:sz w:val="16"/>
                <w:szCs w:val="16"/>
                <w:color w:val="auto"/>
              </w:rPr>
              <w:t>Christopher J. Ball</w:t>
            </w:r>
          </w:p>
        </w:tc>
        <w:tc>
          <w:tcPr>
            <w:tcW w:w="2160" w:type="dxa"/>
            <w:vAlign w:val="bottom"/>
            <w:tcBorders>
              <w:bottom w:val="single" w:sz="8" w:color="ACABC0"/>
            </w:tcBorders>
            <w:shd w:val="clear" w:color="auto" w:fill="ACABC0"/>
          </w:tcPr>
          <w:p>
            <w:pPr>
              <w:ind w:left="2080"/>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Borders>
              <w:bottom w:val="single" w:sz="8" w:color="ACABC0"/>
            </w:tcBorders>
            <w:shd w:val="clear" w:color="auto" w:fill="ACABC0"/>
          </w:tcPr>
          <w:p>
            <w:pPr>
              <w:jc w:val="right"/>
              <w:ind w:right="264"/>
              <w:spacing w:after="0"/>
              <w:rPr>
                <w:sz w:val="20"/>
                <w:szCs w:val="20"/>
                <w:color w:val="auto"/>
              </w:rPr>
            </w:pPr>
            <w:r>
              <w:rPr>
                <w:rFonts w:ascii="Arial" w:cs="Arial" w:eastAsia="Arial" w:hAnsi="Arial"/>
                <w:sz w:val="16"/>
                <w:szCs w:val="16"/>
                <w:color w:val="auto"/>
              </w:rPr>
              <w:t>124,783</w:t>
            </w:r>
          </w:p>
        </w:tc>
        <w:tc>
          <w:tcPr>
            <w:tcW w:w="260" w:type="dxa"/>
            <w:vAlign w:val="bottom"/>
            <w:tcBorders>
              <w:bottom w:val="single" w:sz="8" w:color="ACABC0"/>
            </w:tcBorders>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40" w:type="dxa"/>
            <w:vAlign w:val="bottom"/>
            <w:tcBorders>
              <w:bottom w:val="single" w:sz="8" w:color="ACABC0"/>
            </w:tcBorders>
            <w:shd w:val="clear" w:color="auto" w:fill="ACABC0"/>
          </w:tcPr>
          <w:p>
            <w:pPr>
              <w:jc w:val="right"/>
              <w:ind w:right="104"/>
              <w:spacing w:after="0"/>
              <w:rPr>
                <w:sz w:val="20"/>
                <w:szCs w:val="20"/>
                <w:color w:val="auto"/>
              </w:rPr>
            </w:pPr>
            <w:r>
              <w:rPr>
                <w:rFonts w:ascii="Arial" w:cs="Arial" w:eastAsia="Arial" w:hAnsi="Arial"/>
                <w:sz w:val="16"/>
                <w:szCs w:val="16"/>
                <w:color w:val="auto"/>
              </w:rPr>
              <w:t>290,588</w:t>
            </w:r>
          </w:p>
        </w:tc>
        <w:tc>
          <w:tcPr>
            <w:tcW w:w="280" w:type="dxa"/>
            <w:vAlign w:val="bottom"/>
            <w:tcBorders>
              <w:bottom w:val="single" w:sz="8" w:color="ACABC0"/>
            </w:tcBorders>
            <w:shd w:val="clear" w:color="auto" w:fill="ACABC0"/>
          </w:tcPr>
          <w:p>
            <w:pPr>
              <w:ind w:left="180"/>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500" w:type="dxa"/>
            <w:vAlign w:val="bottom"/>
            <w:tcBorders>
              <w:bottom w:val="single" w:sz="8" w:color="F1F2F2"/>
            </w:tcBorders>
            <w:shd w:val="clear" w:color="auto" w:fill="F1F2F2"/>
          </w:tcPr>
          <w:p>
            <w:pPr>
              <w:ind w:left="120"/>
              <w:spacing w:after="0"/>
              <w:rPr>
                <w:sz w:val="20"/>
                <w:szCs w:val="20"/>
                <w:color w:val="auto"/>
              </w:rPr>
            </w:pPr>
            <w:r>
              <w:rPr>
                <w:rFonts w:ascii="Arial" w:cs="Arial" w:eastAsia="Arial" w:hAnsi="Arial"/>
                <w:sz w:val="16"/>
                <w:szCs w:val="16"/>
                <w:color w:val="auto"/>
              </w:rPr>
              <w:t>Richard R. Clark</w:t>
            </w:r>
          </w:p>
        </w:tc>
        <w:tc>
          <w:tcPr>
            <w:tcW w:w="2160" w:type="dxa"/>
            <w:vAlign w:val="bottom"/>
            <w:tcBorders>
              <w:bottom w:val="single" w:sz="8" w:color="F1F2F2"/>
            </w:tcBorders>
            <w:shd w:val="clear" w:color="auto" w:fill="F1F2F2"/>
          </w:tcPr>
          <w:p>
            <w:pPr>
              <w:ind w:left="2080"/>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Borders>
              <w:bottom w:val="single" w:sz="8" w:color="F1F2F2"/>
            </w:tcBorders>
            <w:shd w:val="clear" w:color="auto" w:fill="F1F2F2"/>
          </w:tcPr>
          <w:p>
            <w:pPr>
              <w:jc w:val="right"/>
              <w:ind w:right="264"/>
              <w:spacing w:after="0"/>
              <w:rPr>
                <w:sz w:val="20"/>
                <w:szCs w:val="20"/>
                <w:color w:val="auto"/>
              </w:rPr>
            </w:pPr>
            <w:r>
              <w:rPr>
                <w:rFonts w:ascii="Arial" w:cs="Arial" w:eastAsia="Arial" w:hAnsi="Arial"/>
                <w:sz w:val="16"/>
                <w:szCs w:val="16"/>
                <w:color w:val="auto"/>
              </w:rPr>
              <w:t>118,806</w:t>
            </w:r>
          </w:p>
        </w:tc>
        <w:tc>
          <w:tcPr>
            <w:tcW w:w="260" w:type="dxa"/>
            <w:vAlign w:val="bottom"/>
            <w:tcBorders>
              <w:bottom w:val="single" w:sz="8" w:color="F1F2F2"/>
            </w:tcBorders>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40" w:type="dxa"/>
            <w:vAlign w:val="bottom"/>
            <w:tcBorders>
              <w:bottom w:val="single" w:sz="8" w:color="F1F2F2"/>
            </w:tcBorders>
            <w:shd w:val="clear" w:color="auto" w:fill="F1F2F2"/>
          </w:tcPr>
          <w:p>
            <w:pPr>
              <w:jc w:val="right"/>
              <w:ind w:right="104"/>
              <w:spacing w:after="0"/>
              <w:rPr>
                <w:sz w:val="20"/>
                <w:szCs w:val="20"/>
                <w:color w:val="auto"/>
              </w:rPr>
            </w:pPr>
            <w:r>
              <w:rPr>
                <w:rFonts w:ascii="Arial" w:cs="Arial" w:eastAsia="Arial" w:hAnsi="Arial"/>
                <w:sz w:val="16"/>
                <w:szCs w:val="16"/>
                <w:color w:val="auto"/>
              </w:rPr>
              <w:t>278,584</w:t>
            </w:r>
          </w:p>
        </w:tc>
        <w:tc>
          <w:tcPr>
            <w:tcW w:w="280" w:type="dxa"/>
            <w:vAlign w:val="bottom"/>
            <w:tcBorders>
              <w:bottom w:val="single" w:sz="8" w:color="F1F2F2"/>
            </w:tcBorders>
            <w:shd w:val="clear" w:color="auto" w:fill="F1F2F2"/>
          </w:tcPr>
          <w:p>
            <w:pPr>
              <w:ind w:left="180"/>
              <w:spacing w:after="0"/>
              <w:rPr>
                <w:sz w:val="20"/>
                <w:szCs w:val="20"/>
                <w:color w:val="auto"/>
              </w:rPr>
            </w:pPr>
            <w:r>
              <w:rPr>
                <w:rFonts w:ascii="Times New Roman" w:cs="Times New Roman" w:eastAsia="Times New Roman" w:hAnsi="Times New Roman"/>
                <w:sz w:val="4"/>
                <w:szCs w:val="4"/>
                <w:color w:val="auto"/>
              </w:rPr>
              <w:t>​</w:t>
            </w:r>
          </w:p>
        </w:tc>
      </w:tr>
      <w:tr>
        <w:trPr>
          <w:trHeight w:val="26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500" w:type="dxa"/>
            <w:vAlign w:val="bottom"/>
            <w:shd w:val="clear" w:color="auto" w:fill="ACABC0"/>
          </w:tcPr>
          <w:p>
            <w:pPr>
              <w:ind w:left="120"/>
              <w:spacing w:after="0"/>
              <w:rPr>
                <w:sz w:val="20"/>
                <w:szCs w:val="20"/>
                <w:color w:val="auto"/>
              </w:rPr>
            </w:pPr>
            <w:r>
              <w:rPr>
                <w:rFonts w:ascii="Arial" w:cs="Arial" w:eastAsia="Arial" w:hAnsi="Arial"/>
                <w:sz w:val="16"/>
                <w:szCs w:val="16"/>
                <w:color w:val="auto"/>
              </w:rPr>
              <w:t>Jason E. Doughty</w:t>
            </w:r>
          </w:p>
        </w:tc>
        <w:tc>
          <w:tcPr>
            <w:tcW w:w="2160" w:type="dxa"/>
            <w:vAlign w:val="bottom"/>
            <w:shd w:val="clear" w:color="auto" w:fill="ACABC0"/>
          </w:tcPr>
          <w:p>
            <w:pPr>
              <w:ind w:left="2080"/>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shd w:val="clear" w:color="auto" w:fill="ACABC0"/>
          </w:tcPr>
          <w:p>
            <w:pPr>
              <w:jc w:val="right"/>
              <w:ind w:right="264"/>
              <w:spacing w:after="0"/>
              <w:rPr>
                <w:sz w:val="20"/>
                <w:szCs w:val="20"/>
                <w:color w:val="auto"/>
              </w:rPr>
            </w:pPr>
            <w:r>
              <w:rPr>
                <w:rFonts w:ascii="Arial" w:cs="Arial" w:eastAsia="Arial" w:hAnsi="Arial"/>
                <w:sz w:val="16"/>
                <w:szCs w:val="16"/>
                <w:color w:val="auto"/>
              </w:rPr>
              <w:t>104,313</w:t>
            </w:r>
          </w:p>
        </w:tc>
        <w:tc>
          <w:tcPr>
            <w:tcW w:w="26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40" w:type="dxa"/>
            <w:vAlign w:val="bottom"/>
            <w:shd w:val="clear" w:color="auto" w:fill="ACABC0"/>
          </w:tcPr>
          <w:p>
            <w:pPr>
              <w:jc w:val="right"/>
              <w:ind w:right="104"/>
              <w:spacing w:after="0"/>
              <w:rPr>
                <w:sz w:val="20"/>
                <w:szCs w:val="20"/>
                <w:color w:val="auto"/>
              </w:rPr>
            </w:pPr>
            <w:r>
              <w:rPr>
                <w:rFonts w:ascii="Arial" w:cs="Arial" w:eastAsia="Arial" w:hAnsi="Arial"/>
                <w:sz w:val="16"/>
                <w:szCs w:val="16"/>
                <w:color w:val="auto"/>
              </w:rPr>
              <w:t>243,397</w:t>
            </w:r>
          </w:p>
        </w:tc>
        <w:tc>
          <w:tcPr>
            <w:tcW w:w="280" w:type="dxa"/>
            <w:vAlign w:val="bottom"/>
            <w:shd w:val="clear" w:color="auto" w:fill="ACABC0"/>
          </w:tcPr>
          <w:p>
            <w:pPr>
              <w:ind w:left="180"/>
              <w:spacing w:after="0"/>
              <w:rPr>
                <w:sz w:val="20"/>
                <w:szCs w:val="20"/>
                <w:color w:val="auto"/>
              </w:rPr>
            </w:pPr>
            <w:r>
              <w:rPr>
                <w:rFonts w:ascii="Times New Roman" w:cs="Times New Roman" w:eastAsia="Times New Roman" w:hAnsi="Times New Roman"/>
                <w:sz w:val="4"/>
                <w:szCs w:val="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118745</wp:posOffset>
            </wp:positionV>
            <wp:extent cx="8159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217" w:lineRule="exact"/>
        <w:rPr>
          <w:sz w:val="20"/>
          <w:szCs w:val="20"/>
          <w:color w:val="auto"/>
        </w:rPr>
      </w:pPr>
    </w:p>
    <w:p>
      <w:pPr>
        <w:ind w:left="680" w:right="419" w:hanging="354"/>
        <w:spacing w:after="0" w:line="242" w:lineRule="auto"/>
        <w:tabs>
          <w:tab w:leader="none" w:pos="6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value realized on vesting of the awards was calculated by multiplying the number of shares underlying the awards that vested in 2021 by the closing price of a share on the vesting date (or if the vesting date was not a trading day, on the trading day immediately preceding the vesting date). These closing prices ranged from $2.28 to $2.39.</w:t>
      </w:r>
    </w:p>
    <w:p>
      <w:pPr>
        <w:spacing w:after="0" w:line="91"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52</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920" w:type="dxa"/>
            <w:vAlign w:val="bottom"/>
            <w:vMerge w:val="continue"/>
          </w:tcPr>
          <w:p>
            <w:pPr>
              <w:spacing w:after="0"/>
              <w:rPr>
                <w:sz w:val="23"/>
                <w:szCs w:val="23"/>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102870</wp:posOffset>
            </wp:positionV>
            <wp:extent cx="693801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-176530</wp:posOffset>
            </wp:positionV>
            <wp:extent cx="594995" cy="1701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7" w:name="page58"/>
    <w:bookmarkEnd w:id="57"/>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right"/>
        <w:ind w:right="339"/>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2021 Pension Benefits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do not maintain any defined benefit pension plans.</w:t>
      </w:r>
    </w:p>
    <w:p>
      <w:pPr>
        <w:spacing w:after="0" w:line="373"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2021 Nonqualified Deferred Compensation</w:t>
      </w:r>
    </w:p>
    <w:p>
      <w:pPr>
        <w:spacing w:after="0" w:line="129" w:lineRule="exact"/>
        <w:rPr>
          <w:sz w:val="20"/>
          <w:szCs w:val="20"/>
          <w:color w:val="auto"/>
        </w:rPr>
      </w:pPr>
    </w:p>
    <w:p>
      <w:pPr>
        <w:ind w:left="320" w:right="339"/>
        <w:spacing w:after="0" w:line="263" w:lineRule="auto"/>
        <w:rPr>
          <w:sz w:val="20"/>
          <w:szCs w:val="20"/>
          <w:color w:val="auto"/>
        </w:rPr>
      </w:pPr>
      <w:r>
        <w:rPr>
          <w:rFonts w:ascii="Arial" w:cs="Arial" w:eastAsia="Arial" w:hAnsi="Arial"/>
          <w:sz w:val="16"/>
          <w:szCs w:val="16"/>
          <w:color w:val="auto"/>
        </w:rPr>
        <w:t>The table below provides information on the non-qualified deferred compensation of our named executive officers for 2021. On January 20, 2022, the Compensation Committee approved the termination of the Company’s non-qualified deferred compensation plan, with liquidation of the plan to follow no later than 24 months from the date of termination.</w:t>
      </w:r>
    </w:p>
    <w:p>
      <w:pPr>
        <w:spacing w:after="0" w:line="52" w:lineRule="exact"/>
        <w:rPr>
          <w:sz w:val="20"/>
          <w:szCs w:val="20"/>
          <w:color w:val="auto"/>
        </w:rPr>
      </w:pPr>
    </w:p>
    <w:tbl>
      <w:tblPr>
        <w:tblLayout w:type="fixed"/>
        <w:tblInd w:w="32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1780" w:type="dxa"/>
            <w:vAlign w:val="bottom"/>
            <w:shd w:val="clear" w:color="auto" w:fill="717295"/>
          </w:tcPr>
          <w:p>
            <w:pPr>
              <w:spacing w:after="0"/>
              <w:rPr>
                <w:sz w:val="22"/>
                <w:szCs w:val="22"/>
                <w:color w:val="auto"/>
              </w:rPr>
            </w:pPr>
          </w:p>
        </w:tc>
        <w:tc>
          <w:tcPr>
            <w:tcW w:w="420" w:type="dxa"/>
            <w:vAlign w:val="bottom"/>
            <w:shd w:val="clear" w:color="auto" w:fill="717295"/>
          </w:tcPr>
          <w:p>
            <w:pPr>
              <w:spacing w:after="0"/>
              <w:rPr>
                <w:sz w:val="22"/>
                <w:szCs w:val="22"/>
                <w:color w:val="auto"/>
              </w:rPr>
            </w:pPr>
          </w:p>
        </w:tc>
        <w:tc>
          <w:tcPr>
            <w:tcW w:w="100" w:type="dxa"/>
            <w:vAlign w:val="bottom"/>
            <w:shd w:val="clear" w:color="auto" w:fill="717295"/>
          </w:tcPr>
          <w:p>
            <w:pPr>
              <w:spacing w:after="0"/>
              <w:rPr>
                <w:sz w:val="22"/>
                <w:szCs w:val="22"/>
                <w:color w:val="auto"/>
              </w:rPr>
            </w:pPr>
          </w:p>
        </w:tc>
        <w:tc>
          <w:tcPr>
            <w:tcW w:w="940" w:type="dxa"/>
            <w:vAlign w:val="bottom"/>
            <w:shd w:val="clear" w:color="auto" w:fill="717295"/>
          </w:tcPr>
          <w:p>
            <w:pPr>
              <w:jc w:val="center"/>
              <w:ind w:left="44"/>
              <w:spacing w:after="0"/>
              <w:rPr>
                <w:sz w:val="20"/>
                <w:szCs w:val="20"/>
                <w:color w:val="auto"/>
              </w:rPr>
            </w:pPr>
            <w:r>
              <w:rPr>
                <w:rFonts w:ascii="Arial" w:cs="Arial" w:eastAsia="Arial" w:hAnsi="Arial"/>
                <w:sz w:val="14"/>
                <w:szCs w:val="14"/>
                <w:b w:val="1"/>
                <w:bCs w:val="1"/>
                <w:color w:val="FFFFFF"/>
              </w:rPr>
              <w:t>Executive</w:t>
            </w:r>
          </w:p>
        </w:tc>
        <w:tc>
          <w:tcPr>
            <w:tcW w:w="160" w:type="dxa"/>
            <w:vAlign w:val="bottom"/>
            <w:shd w:val="clear" w:color="auto" w:fill="717295"/>
          </w:tcPr>
          <w:p>
            <w:pPr>
              <w:spacing w:after="0"/>
              <w:rPr>
                <w:sz w:val="22"/>
                <w:szCs w:val="22"/>
                <w:color w:val="auto"/>
              </w:rPr>
            </w:pPr>
          </w:p>
        </w:tc>
        <w:tc>
          <w:tcPr>
            <w:tcW w:w="100" w:type="dxa"/>
            <w:vAlign w:val="bottom"/>
            <w:shd w:val="clear" w:color="auto" w:fill="717295"/>
          </w:tcPr>
          <w:p>
            <w:pPr>
              <w:spacing w:after="0"/>
              <w:rPr>
                <w:sz w:val="22"/>
                <w:szCs w:val="22"/>
                <w:color w:val="auto"/>
              </w:rPr>
            </w:pPr>
          </w:p>
        </w:tc>
        <w:tc>
          <w:tcPr>
            <w:tcW w:w="940" w:type="dxa"/>
            <w:vAlign w:val="bottom"/>
            <w:shd w:val="clear" w:color="auto" w:fill="717295"/>
          </w:tcPr>
          <w:p>
            <w:pPr>
              <w:jc w:val="center"/>
              <w:ind w:left="4"/>
              <w:spacing w:after="0"/>
              <w:rPr>
                <w:sz w:val="20"/>
                <w:szCs w:val="20"/>
                <w:color w:val="auto"/>
              </w:rPr>
            </w:pPr>
            <w:r>
              <w:rPr>
                <w:rFonts w:ascii="Arial" w:cs="Arial" w:eastAsia="Arial" w:hAnsi="Arial"/>
                <w:sz w:val="14"/>
                <w:szCs w:val="14"/>
                <w:b w:val="1"/>
                <w:bCs w:val="1"/>
                <w:color w:val="FFFFFF"/>
              </w:rPr>
              <w:t>Registrant</w:t>
            </w:r>
          </w:p>
        </w:tc>
        <w:tc>
          <w:tcPr>
            <w:tcW w:w="140" w:type="dxa"/>
            <w:vAlign w:val="bottom"/>
            <w:shd w:val="clear" w:color="auto" w:fill="717295"/>
          </w:tcPr>
          <w:p>
            <w:pPr>
              <w:spacing w:after="0"/>
              <w:rPr>
                <w:sz w:val="22"/>
                <w:szCs w:val="22"/>
                <w:color w:val="auto"/>
              </w:rPr>
            </w:pPr>
          </w:p>
        </w:tc>
        <w:tc>
          <w:tcPr>
            <w:tcW w:w="120" w:type="dxa"/>
            <w:vAlign w:val="bottom"/>
            <w:shd w:val="clear" w:color="auto" w:fill="717295"/>
          </w:tcPr>
          <w:p>
            <w:pPr>
              <w:spacing w:after="0"/>
              <w:rPr>
                <w:sz w:val="22"/>
                <w:szCs w:val="22"/>
                <w:color w:val="auto"/>
              </w:rPr>
            </w:pPr>
          </w:p>
        </w:tc>
        <w:tc>
          <w:tcPr>
            <w:tcW w:w="840" w:type="dxa"/>
            <w:vAlign w:val="bottom"/>
            <w:shd w:val="clear" w:color="auto" w:fill="717295"/>
          </w:tcPr>
          <w:p>
            <w:pPr>
              <w:spacing w:after="0"/>
              <w:rPr>
                <w:sz w:val="22"/>
                <w:szCs w:val="22"/>
                <w:color w:val="auto"/>
              </w:rPr>
            </w:pPr>
          </w:p>
        </w:tc>
        <w:tc>
          <w:tcPr>
            <w:tcW w:w="80" w:type="dxa"/>
            <w:vAlign w:val="bottom"/>
            <w:shd w:val="clear" w:color="auto" w:fill="717295"/>
          </w:tcPr>
          <w:p>
            <w:pPr>
              <w:spacing w:after="0"/>
              <w:rPr>
                <w:sz w:val="22"/>
                <w:szCs w:val="22"/>
                <w:color w:val="auto"/>
              </w:rPr>
            </w:pPr>
          </w:p>
        </w:tc>
        <w:tc>
          <w:tcPr>
            <w:tcW w:w="100" w:type="dxa"/>
            <w:vAlign w:val="bottom"/>
            <w:shd w:val="clear" w:color="auto" w:fill="717295"/>
          </w:tcPr>
          <w:p>
            <w:pPr>
              <w:spacing w:after="0"/>
              <w:rPr>
                <w:sz w:val="22"/>
                <w:szCs w:val="22"/>
                <w:color w:val="auto"/>
              </w:rPr>
            </w:pPr>
          </w:p>
        </w:tc>
        <w:tc>
          <w:tcPr>
            <w:tcW w:w="960" w:type="dxa"/>
            <w:vAlign w:val="bottom"/>
            <w:shd w:val="clear" w:color="auto" w:fill="717295"/>
          </w:tcPr>
          <w:p>
            <w:pPr>
              <w:ind w:left="140"/>
              <w:spacing w:after="0"/>
              <w:rPr>
                <w:sz w:val="20"/>
                <w:szCs w:val="20"/>
                <w:color w:val="auto"/>
              </w:rPr>
            </w:pPr>
            <w:r>
              <w:rPr>
                <w:rFonts w:ascii="Arial" w:cs="Arial" w:eastAsia="Arial" w:hAnsi="Arial"/>
                <w:sz w:val="14"/>
                <w:szCs w:val="14"/>
                <w:b w:val="1"/>
                <w:bCs w:val="1"/>
                <w:color w:val="FFFFFF"/>
              </w:rPr>
              <w:t>Aggregate</w:t>
            </w:r>
          </w:p>
        </w:tc>
        <w:tc>
          <w:tcPr>
            <w:tcW w:w="80" w:type="dxa"/>
            <w:vAlign w:val="bottom"/>
            <w:shd w:val="clear" w:color="auto" w:fill="717295"/>
          </w:tcPr>
          <w:p>
            <w:pPr>
              <w:spacing w:after="0"/>
              <w:rPr>
                <w:sz w:val="22"/>
                <w:szCs w:val="22"/>
                <w:color w:val="auto"/>
              </w:rPr>
            </w:pPr>
          </w:p>
        </w:tc>
        <w:tc>
          <w:tcPr>
            <w:tcW w:w="100" w:type="dxa"/>
            <w:vAlign w:val="bottom"/>
            <w:shd w:val="clear" w:color="auto" w:fill="717295"/>
          </w:tcPr>
          <w:p>
            <w:pPr>
              <w:spacing w:after="0"/>
              <w:rPr>
                <w:sz w:val="22"/>
                <w:szCs w:val="22"/>
                <w:color w:val="auto"/>
              </w:rPr>
            </w:pPr>
          </w:p>
        </w:tc>
        <w:tc>
          <w:tcPr>
            <w:tcW w:w="1300" w:type="dxa"/>
            <w:vAlign w:val="bottom"/>
            <w:shd w:val="clear" w:color="auto" w:fill="717295"/>
          </w:tcPr>
          <w:p>
            <w:pPr>
              <w:spacing w:after="0"/>
              <w:rPr>
                <w:sz w:val="22"/>
                <w:szCs w:val="22"/>
                <w:color w:val="auto"/>
              </w:rPr>
            </w:pPr>
          </w:p>
        </w:tc>
        <w:tc>
          <w:tcPr>
            <w:tcW w:w="180" w:type="dxa"/>
            <w:vAlign w:val="bottom"/>
            <w:shd w:val="clear" w:color="auto" w:fill="717295"/>
          </w:tcPr>
          <w:p>
            <w:pPr>
              <w:spacing w:after="0"/>
              <w:rPr>
                <w:sz w:val="22"/>
                <w:szCs w:val="22"/>
                <w:color w:val="auto"/>
              </w:rPr>
            </w:pPr>
          </w:p>
        </w:tc>
      </w:tr>
      <w:tr>
        <w:trPr>
          <w:trHeight w:val="170"/>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780" w:type="dxa"/>
            <w:vAlign w:val="bottom"/>
            <w:shd w:val="clear" w:color="auto" w:fill="717295"/>
          </w:tcPr>
          <w:p>
            <w:pPr>
              <w:spacing w:after="0"/>
              <w:rPr>
                <w:sz w:val="14"/>
                <w:szCs w:val="14"/>
                <w:color w:val="auto"/>
              </w:rPr>
            </w:pPr>
          </w:p>
        </w:tc>
        <w:tc>
          <w:tcPr>
            <w:tcW w:w="420" w:type="dxa"/>
            <w:vAlign w:val="bottom"/>
            <w:shd w:val="clear" w:color="auto" w:fill="717295"/>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717295"/>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gridSpan w:val="2"/>
            <w:shd w:val="clear" w:color="auto" w:fill="717295"/>
          </w:tcPr>
          <w:p>
            <w:pPr>
              <w:jc w:val="right"/>
              <w:ind w:right="42"/>
              <w:spacing w:after="0"/>
              <w:rPr>
                <w:sz w:val="20"/>
                <w:szCs w:val="20"/>
                <w:color w:val="auto"/>
              </w:rPr>
            </w:pPr>
            <w:r>
              <w:rPr>
                <w:rFonts w:ascii="Arial" w:cs="Arial" w:eastAsia="Arial" w:hAnsi="Arial"/>
                <w:sz w:val="14"/>
                <w:szCs w:val="14"/>
                <w:b w:val="1"/>
                <w:bCs w:val="1"/>
                <w:color w:val="FFFFFF"/>
              </w:rPr>
              <w:t xml:space="preserve">Contributions </w:t>
            </w:r>
            <w:r>
              <w:rPr>
                <w:rFonts w:ascii="Times New Roman" w:cs="Times New Roman" w:eastAsia="Times New Roman" w:hAnsi="Times New Roman"/>
                <w:sz w:val="7"/>
                <w:szCs w:val="7"/>
                <w:color w:val="000000"/>
                <w:vertAlign w:val="subscript"/>
              </w:rPr>
              <w:t>​</w:t>
            </w:r>
          </w:p>
        </w:tc>
        <w:tc>
          <w:tcPr>
            <w:tcW w:w="100" w:type="dxa"/>
            <w:vAlign w:val="bottom"/>
            <w:shd w:val="clear" w:color="auto" w:fill="717295"/>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2"/>
            <w:shd w:val="clear" w:color="auto" w:fill="717295"/>
          </w:tcPr>
          <w:p>
            <w:pPr>
              <w:jc w:val="right"/>
              <w:ind w:right="22"/>
              <w:spacing w:after="0"/>
              <w:rPr>
                <w:sz w:val="20"/>
                <w:szCs w:val="20"/>
                <w:color w:val="auto"/>
              </w:rPr>
            </w:pPr>
            <w:r>
              <w:rPr>
                <w:rFonts w:ascii="Arial" w:cs="Arial" w:eastAsia="Arial" w:hAnsi="Arial"/>
                <w:sz w:val="14"/>
                <w:szCs w:val="14"/>
                <w:b w:val="1"/>
                <w:bCs w:val="1"/>
                <w:color w:val="FFFFFF"/>
              </w:rPr>
              <w:t xml:space="preserve">Contributions </w:t>
            </w:r>
            <w:r>
              <w:rPr>
                <w:rFonts w:ascii="Times New Roman" w:cs="Times New Roman" w:eastAsia="Times New Roman" w:hAnsi="Times New Roman"/>
                <w:sz w:val="7"/>
                <w:szCs w:val="7"/>
                <w:color w:val="000000"/>
                <w:vertAlign w:val="subscript"/>
              </w:rPr>
              <w:t>​</w:t>
            </w:r>
          </w:p>
        </w:tc>
        <w:tc>
          <w:tcPr>
            <w:tcW w:w="120" w:type="dxa"/>
            <w:vAlign w:val="bottom"/>
            <w:shd w:val="clear" w:color="auto" w:fill="717295"/>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shd w:val="clear" w:color="auto" w:fill="717295"/>
          </w:tcPr>
          <w:p>
            <w:pPr>
              <w:jc w:val="right"/>
              <w:ind w:right="51"/>
              <w:spacing w:after="0"/>
              <w:rPr>
                <w:sz w:val="20"/>
                <w:szCs w:val="20"/>
                <w:color w:val="auto"/>
              </w:rPr>
            </w:pPr>
            <w:r>
              <w:rPr>
                <w:rFonts w:ascii="Arial" w:cs="Arial" w:eastAsia="Arial" w:hAnsi="Arial"/>
                <w:sz w:val="14"/>
                <w:szCs w:val="14"/>
                <w:b w:val="1"/>
                <w:bCs w:val="1"/>
                <w:color w:val="FFFFFF"/>
              </w:rPr>
              <w:t xml:space="preserve">Aggregate </w:t>
            </w:r>
            <w:r>
              <w:rPr>
                <w:rFonts w:ascii="Times New Roman" w:cs="Times New Roman" w:eastAsia="Times New Roman" w:hAnsi="Times New Roman"/>
                <w:sz w:val="7"/>
                <w:szCs w:val="7"/>
                <w:color w:val="000000"/>
                <w:vertAlign w:val="subscript"/>
              </w:rPr>
              <w:t>​</w:t>
            </w:r>
          </w:p>
        </w:tc>
        <w:tc>
          <w:tcPr>
            <w:tcW w:w="100" w:type="dxa"/>
            <w:vAlign w:val="bottom"/>
            <w:shd w:val="clear" w:color="auto" w:fill="717295"/>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2"/>
            <w:shd w:val="clear" w:color="auto" w:fill="717295"/>
          </w:tcPr>
          <w:p>
            <w:pPr>
              <w:jc w:val="right"/>
              <w:ind w:right="51"/>
              <w:spacing w:after="0"/>
              <w:rPr>
                <w:sz w:val="20"/>
                <w:szCs w:val="20"/>
                <w:color w:val="auto"/>
              </w:rPr>
            </w:pPr>
            <w:r>
              <w:rPr>
                <w:rFonts w:ascii="Arial" w:cs="Arial" w:eastAsia="Arial" w:hAnsi="Arial"/>
                <w:sz w:val="14"/>
                <w:szCs w:val="14"/>
                <w:b w:val="1"/>
                <w:bCs w:val="1"/>
                <w:color w:val="FFFFFF"/>
              </w:rPr>
              <w:t xml:space="preserve">Withdrawals/ </w:t>
            </w:r>
            <w:r>
              <w:rPr>
                <w:rFonts w:ascii="Times New Roman" w:cs="Times New Roman" w:eastAsia="Times New Roman" w:hAnsi="Times New Roman"/>
                <w:sz w:val="7"/>
                <w:szCs w:val="7"/>
                <w:color w:val="000000"/>
                <w:vertAlign w:val="subscript"/>
              </w:rPr>
              <w:t>​</w:t>
            </w:r>
          </w:p>
        </w:tc>
        <w:tc>
          <w:tcPr>
            <w:tcW w:w="100" w:type="dxa"/>
            <w:vAlign w:val="bottom"/>
            <w:shd w:val="clear" w:color="auto" w:fill="717295"/>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80" w:type="dxa"/>
            <w:vAlign w:val="bottom"/>
            <w:gridSpan w:val="2"/>
            <w:shd w:val="clear" w:color="auto" w:fill="717295"/>
          </w:tcPr>
          <w:p>
            <w:pPr>
              <w:jc w:val="right"/>
              <w:ind w:right="62"/>
              <w:spacing w:after="0"/>
              <w:rPr>
                <w:sz w:val="20"/>
                <w:szCs w:val="20"/>
                <w:color w:val="auto"/>
              </w:rPr>
            </w:pPr>
            <w:r>
              <w:rPr>
                <w:rFonts w:ascii="Arial" w:cs="Arial" w:eastAsia="Arial" w:hAnsi="Arial"/>
                <w:sz w:val="14"/>
                <w:szCs w:val="14"/>
                <w:b w:val="1"/>
                <w:bCs w:val="1"/>
                <w:color w:val="FFFFFF"/>
              </w:rPr>
              <w:t xml:space="preserve">Aggregate Balance </w:t>
            </w:r>
            <w:r>
              <w:rPr>
                <w:rFonts w:ascii="Times New Roman" w:cs="Times New Roman" w:eastAsia="Times New Roman" w:hAnsi="Times New Roman"/>
                <w:sz w:val="7"/>
                <w:szCs w:val="7"/>
                <w:color w:val="000000"/>
                <w:vertAlign w:val="subscript"/>
              </w:rPr>
              <w:t>​</w:t>
            </w:r>
          </w:p>
        </w:tc>
      </w:tr>
      <w:tr>
        <w:trPr>
          <w:trHeight w:val="135"/>
        </w:trPr>
        <w:tc>
          <w:tcPr>
            <w:tcW w:w="20" w:type="dxa"/>
            <w:vAlign w:val="bottom"/>
          </w:tcPr>
          <w:p>
            <w:pPr>
              <w:spacing w:after="0"/>
              <w:rPr>
                <w:sz w:val="11"/>
                <w:szCs w:val="11"/>
                <w:color w:val="auto"/>
              </w:rPr>
            </w:pPr>
          </w:p>
        </w:tc>
        <w:tc>
          <w:tcPr>
            <w:tcW w:w="1780" w:type="dxa"/>
            <w:vAlign w:val="bottom"/>
            <w:shd w:val="clear" w:color="auto" w:fill="717295"/>
          </w:tcPr>
          <w:p>
            <w:pPr>
              <w:spacing w:after="0"/>
              <w:rPr>
                <w:sz w:val="11"/>
                <w:szCs w:val="11"/>
                <w:color w:val="auto"/>
              </w:rPr>
            </w:pPr>
          </w:p>
        </w:tc>
        <w:tc>
          <w:tcPr>
            <w:tcW w:w="420" w:type="dxa"/>
            <w:vAlign w:val="bottom"/>
            <w:shd w:val="clear" w:color="auto" w:fill="717295"/>
          </w:tcPr>
          <w:p>
            <w:pPr>
              <w:spacing w:after="0"/>
              <w:rPr>
                <w:sz w:val="11"/>
                <w:szCs w:val="11"/>
                <w:color w:val="auto"/>
              </w:rPr>
            </w:pPr>
          </w:p>
        </w:tc>
        <w:tc>
          <w:tcPr>
            <w:tcW w:w="100" w:type="dxa"/>
            <w:vAlign w:val="bottom"/>
            <w:shd w:val="clear" w:color="auto" w:fill="717295"/>
          </w:tcPr>
          <w:p>
            <w:pPr>
              <w:spacing w:after="0"/>
              <w:rPr>
                <w:sz w:val="11"/>
                <w:szCs w:val="11"/>
                <w:color w:val="auto"/>
              </w:rPr>
            </w:pPr>
          </w:p>
        </w:tc>
        <w:tc>
          <w:tcPr>
            <w:tcW w:w="940" w:type="dxa"/>
            <w:vAlign w:val="bottom"/>
            <w:shd w:val="clear" w:color="auto" w:fill="717295"/>
          </w:tcPr>
          <w:p>
            <w:pPr>
              <w:jc w:val="center"/>
              <w:ind w:left="64"/>
              <w:spacing w:after="0" w:line="135" w:lineRule="exact"/>
              <w:rPr>
                <w:sz w:val="20"/>
                <w:szCs w:val="20"/>
                <w:color w:val="auto"/>
              </w:rPr>
            </w:pPr>
            <w:r>
              <w:rPr>
                <w:rFonts w:ascii="Arial" w:cs="Arial" w:eastAsia="Arial" w:hAnsi="Arial"/>
                <w:sz w:val="14"/>
                <w:szCs w:val="14"/>
                <w:b w:val="1"/>
                <w:bCs w:val="1"/>
                <w:color w:val="FFFFFF"/>
              </w:rPr>
              <w:t>in 2021</w:t>
            </w:r>
          </w:p>
        </w:tc>
        <w:tc>
          <w:tcPr>
            <w:tcW w:w="160" w:type="dxa"/>
            <w:vAlign w:val="bottom"/>
            <w:shd w:val="clear" w:color="auto" w:fill="717295"/>
          </w:tcPr>
          <w:p>
            <w:pPr>
              <w:spacing w:after="0"/>
              <w:rPr>
                <w:sz w:val="11"/>
                <w:szCs w:val="11"/>
                <w:color w:val="auto"/>
              </w:rPr>
            </w:pPr>
          </w:p>
        </w:tc>
        <w:tc>
          <w:tcPr>
            <w:tcW w:w="100" w:type="dxa"/>
            <w:vAlign w:val="bottom"/>
            <w:shd w:val="clear" w:color="auto" w:fill="717295"/>
          </w:tcPr>
          <w:p>
            <w:pPr>
              <w:spacing w:after="0"/>
              <w:rPr>
                <w:sz w:val="11"/>
                <w:szCs w:val="11"/>
                <w:color w:val="auto"/>
              </w:rPr>
            </w:pPr>
          </w:p>
        </w:tc>
        <w:tc>
          <w:tcPr>
            <w:tcW w:w="940" w:type="dxa"/>
            <w:vAlign w:val="bottom"/>
            <w:shd w:val="clear" w:color="auto" w:fill="717295"/>
          </w:tcPr>
          <w:p>
            <w:pPr>
              <w:jc w:val="center"/>
              <w:ind w:left="64"/>
              <w:spacing w:after="0" w:line="135" w:lineRule="exact"/>
              <w:rPr>
                <w:sz w:val="20"/>
                <w:szCs w:val="20"/>
                <w:color w:val="auto"/>
              </w:rPr>
            </w:pPr>
            <w:r>
              <w:rPr>
                <w:rFonts w:ascii="Arial" w:cs="Arial" w:eastAsia="Arial" w:hAnsi="Arial"/>
                <w:sz w:val="14"/>
                <w:szCs w:val="14"/>
                <w:b w:val="1"/>
                <w:bCs w:val="1"/>
                <w:color w:val="FFFFFF"/>
              </w:rPr>
              <w:t>in 2021</w:t>
            </w:r>
          </w:p>
        </w:tc>
        <w:tc>
          <w:tcPr>
            <w:tcW w:w="140" w:type="dxa"/>
            <w:vAlign w:val="bottom"/>
            <w:shd w:val="clear" w:color="auto" w:fill="717295"/>
          </w:tcPr>
          <w:p>
            <w:pPr>
              <w:spacing w:after="0"/>
              <w:rPr>
                <w:sz w:val="11"/>
                <w:szCs w:val="11"/>
                <w:color w:val="auto"/>
              </w:rPr>
            </w:pPr>
          </w:p>
        </w:tc>
        <w:tc>
          <w:tcPr>
            <w:tcW w:w="120" w:type="dxa"/>
            <w:vAlign w:val="bottom"/>
            <w:shd w:val="clear" w:color="auto" w:fill="717295"/>
          </w:tcPr>
          <w:p>
            <w:pPr>
              <w:spacing w:after="0"/>
              <w:rPr>
                <w:sz w:val="11"/>
                <w:szCs w:val="11"/>
                <w:color w:val="auto"/>
              </w:rPr>
            </w:pPr>
          </w:p>
        </w:tc>
        <w:tc>
          <w:tcPr>
            <w:tcW w:w="840" w:type="dxa"/>
            <w:vAlign w:val="bottom"/>
            <w:shd w:val="clear" w:color="auto" w:fill="717295"/>
          </w:tcPr>
          <w:p>
            <w:pPr>
              <w:jc w:val="right"/>
              <w:spacing w:after="0" w:line="135" w:lineRule="exact"/>
              <w:rPr>
                <w:sz w:val="20"/>
                <w:szCs w:val="20"/>
                <w:color w:val="auto"/>
              </w:rPr>
            </w:pPr>
            <w:r>
              <w:rPr>
                <w:rFonts w:ascii="Arial" w:cs="Arial" w:eastAsia="Arial" w:hAnsi="Arial"/>
                <w:sz w:val="14"/>
                <w:szCs w:val="14"/>
                <w:b w:val="1"/>
                <w:bCs w:val="1"/>
                <w:color w:val="FFFFFF"/>
              </w:rPr>
              <w:t>Earnings in</w:t>
            </w:r>
          </w:p>
        </w:tc>
        <w:tc>
          <w:tcPr>
            <w:tcW w:w="80" w:type="dxa"/>
            <w:vAlign w:val="bottom"/>
            <w:shd w:val="clear" w:color="auto" w:fill="717295"/>
          </w:tcPr>
          <w:p>
            <w:pPr>
              <w:spacing w:after="0"/>
              <w:rPr>
                <w:sz w:val="11"/>
                <w:szCs w:val="11"/>
                <w:color w:val="auto"/>
              </w:rPr>
            </w:pPr>
          </w:p>
        </w:tc>
        <w:tc>
          <w:tcPr>
            <w:tcW w:w="100" w:type="dxa"/>
            <w:vAlign w:val="bottom"/>
            <w:shd w:val="clear" w:color="auto" w:fill="717295"/>
          </w:tcPr>
          <w:p>
            <w:pPr>
              <w:spacing w:after="0"/>
              <w:rPr>
                <w:sz w:val="11"/>
                <w:szCs w:val="11"/>
                <w:color w:val="auto"/>
              </w:rPr>
            </w:pPr>
          </w:p>
        </w:tc>
        <w:tc>
          <w:tcPr>
            <w:tcW w:w="960" w:type="dxa"/>
            <w:vAlign w:val="bottom"/>
            <w:shd w:val="clear" w:color="auto" w:fill="717295"/>
          </w:tcPr>
          <w:p>
            <w:pPr>
              <w:ind w:left="80"/>
              <w:spacing w:after="0" w:line="135" w:lineRule="exact"/>
              <w:rPr>
                <w:sz w:val="20"/>
                <w:szCs w:val="20"/>
                <w:color w:val="auto"/>
              </w:rPr>
            </w:pPr>
            <w:r>
              <w:rPr>
                <w:rFonts w:ascii="Arial" w:cs="Arial" w:eastAsia="Arial" w:hAnsi="Arial"/>
                <w:sz w:val="14"/>
                <w:szCs w:val="14"/>
                <w:b w:val="1"/>
                <w:bCs w:val="1"/>
                <w:color w:val="FFFFFF"/>
                <w:w w:val="99"/>
              </w:rPr>
              <w:t>Distributions</w:t>
            </w:r>
          </w:p>
        </w:tc>
        <w:tc>
          <w:tcPr>
            <w:tcW w:w="80" w:type="dxa"/>
            <w:vAlign w:val="bottom"/>
            <w:shd w:val="clear" w:color="auto" w:fill="717295"/>
          </w:tcPr>
          <w:p>
            <w:pPr>
              <w:spacing w:after="0"/>
              <w:rPr>
                <w:sz w:val="11"/>
                <w:szCs w:val="11"/>
                <w:color w:val="auto"/>
              </w:rPr>
            </w:pPr>
          </w:p>
        </w:tc>
        <w:tc>
          <w:tcPr>
            <w:tcW w:w="100" w:type="dxa"/>
            <w:vAlign w:val="bottom"/>
            <w:shd w:val="clear" w:color="auto" w:fill="717295"/>
          </w:tcPr>
          <w:p>
            <w:pPr>
              <w:spacing w:after="0"/>
              <w:rPr>
                <w:sz w:val="11"/>
                <w:szCs w:val="11"/>
                <w:color w:val="auto"/>
              </w:rPr>
            </w:pPr>
          </w:p>
        </w:tc>
        <w:tc>
          <w:tcPr>
            <w:tcW w:w="1300" w:type="dxa"/>
            <w:vAlign w:val="bottom"/>
            <w:shd w:val="clear" w:color="auto" w:fill="717295"/>
          </w:tcPr>
          <w:p>
            <w:pPr>
              <w:jc w:val="right"/>
              <w:ind w:right="24"/>
              <w:spacing w:after="0" w:line="135" w:lineRule="exact"/>
              <w:rPr>
                <w:sz w:val="20"/>
                <w:szCs w:val="20"/>
                <w:color w:val="auto"/>
              </w:rPr>
            </w:pPr>
            <w:r>
              <w:rPr>
                <w:rFonts w:ascii="Arial" w:cs="Arial" w:eastAsia="Arial" w:hAnsi="Arial"/>
                <w:sz w:val="14"/>
                <w:szCs w:val="14"/>
                <w:b w:val="1"/>
                <w:bCs w:val="1"/>
                <w:color w:val="FFFFFF"/>
              </w:rPr>
              <w:t>at End of 2021</w:t>
            </w:r>
          </w:p>
        </w:tc>
        <w:tc>
          <w:tcPr>
            <w:tcW w:w="180" w:type="dxa"/>
            <w:vAlign w:val="bottom"/>
            <w:shd w:val="clear" w:color="auto" w:fill="717295"/>
          </w:tcPr>
          <w:p>
            <w:pPr>
              <w:spacing w:after="0"/>
              <w:rPr>
                <w:sz w:val="11"/>
                <w:szCs w:val="11"/>
                <w:color w:val="auto"/>
              </w:rPr>
            </w:pPr>
          </w:p>
        </w:tc>
      </w:tr>
      <w:tr>
        <w:trPr>
          <w:trHeight w:val="240"/>
        </w:trPr>
        <w:tc>
          <w:tcPr>
            <w:tcW w:w="20" w:type="dxa"/>
            <w:vAlign w:val="bottom"/>
          </w:tcPr>
          <w:p>
            <w:pPr>
              <w:spacing w:after="0"/>
              <w:rPr>
                <w:sz w:val="20"/>
                <w:szCs w:val="20"/>
                <w:color w:val="auto"/>
              </w:rPr>
            </w:pPr>
          </w:p>
        </w:tc>
        <w:tc>
          <w:tcPr>
            <w:tcW w:w="1780" w:type="dxa"/>
            <w:vAlign w:val="bottom"/>
            <w:shd w:val="clear" w:color="auto" w:fill="717295"/>
          </w:tcPr>
          <w:p>
            <w:pPr>
              <w:ind w:left="120"/>
              <w:spacing w:after="0"/>
              <w:rPr>
                <w:sz w:val="20"/>
                <w:szCs w:val="20"/>
                <w:color w:val="auto"/>
              </w:rPr>
            </w:pPr>
            <w:r>
              <w:rPr>
                <w:rFonts w:ascii="Arial" w:cs="Arial" w:eastAsia="Arial" w:hAnsi="Arial"/>
                <w:sz w:val="14"/>
                <w:szCs w:val="14"/>
                <w:b w:val="1"/>
                <w:bCs w:val="1"/>
                <w:color w:val="FFFFFF"/>
              </w:rPr>
              <w:t>Name</w:t>
            </w:r>
          </w:p>
        </w:tc>
        <w:tc>
          <w:tcPr>
            <w:tcW w:w="420" w:type="dxa"/>
            <w:vAlign w:val="bottom"/>
            <w:shd w:val="clear" w:color="auto" w:fill="717295"/>
          </w:tcPr>
          <w:p>
            <w:pPr>
              <w:spacing w:after="0"/>
              <w:rPr>
                <w:sz w:val="20"/>
                <w:szCs w:val="20"/>
                <w:color w:val="auto"/>
              </w:rPr>
            </w:pPr>
          </w:p>
        </w:tc>
        <w:tc>
          <w:tcPr>
            <w:tcW w:w="100" w:type="dxa"/>
            <w:vAlign w:val="bottom"/>
            <w:shd w:val="clear" w:color="auto" w:fill="717295"/>
          </w:tcPr>
          <w:p>
            <w:pPr>
              <w:spacing w:after="0"/>
              <w:rPr>
                <w:sz w:val="20"/>
                <w:szCs w:val="20"/>
                <w:color w:val="auto"/>
              </w:rPr>
            </w:pPr>
          </w:p>
        </w:tc>
        <w:tc>
          <w:tcPr>
            <w:tcW w:w="940" w:type="dxa"/>
            <w:vAlign w:val="bottom"/>
            <w:shd w:val="clear" w:color="auto" w:fill="717295"/>
          </w:tcPr>
          <w:p>
            <w:pPr>
              <w:jc w:val="center"/>
              <w:ind w:left="64"/>
              <w:spacing w:after="0" w:line="240"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(2)</w:t>
            </w:r>
          </w:p>
        </w:tc>
        <w:tc>
          <w:tcPr>
            <w:tcW w:w="160" w:type="dxa"/>
            <w:vAlign w:val="bottom"/>
            <w:shd w:val="clear" w:color="auto" w:fill="717295"/>
          </w:tcPr>
          <w:p>
            <w:pPr>
              <w:spacing w:after="0"/>
              <w:rPr>
                <w:sz w:val="20"/>
                <w:szCs w:val="20"/>
                <w:color w:val="auto"/>
              </w:rPr>
            </w:pPr>
          </w:p>
        </w:tc>
        <w:tc>
          <w:tcPr>
            <w:tcW w:w="100" w:type="dxa"/>
            <w:vAlign w:val="bottom"/>
            <w:shd w:val="clear" w:color="auto" w:fill="717295"/>
          </w:tcPr>
          <w:p>
            <w:pPr>
              <w:spacing w:after="0"/>
              <w:rPr>
                <w:sz w:val="20"/>
                <w:szCs w:val="20"/>
                <w:color w:val="auto"/>
              </w:rPr>
            </w:pPr>
          </w:p>
        </w:tc>
        <w:tc>
          <w:tcPr>
            <w:tcW w:w="940" w:type="dxa"/>
            <w:vAlign w:val="bottom"/>
            <w:shd w:val="clear" w:color="auto" w:fill="717295"/>
          </w:tcPr>
          <w:p>
            <w:pPr>
              <w:jc w:val="center"/>
              <w:ind w:left="64"/>
              <w:spacing w:after="0" w:line="240"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(3)</w:t>
            </w:r>
          </w:p>
        </w:tc>
        <w:tc>
          <w:tcPr>
            <w:tcW w:w="140" w:type="dxa"/>
            <w:vAlign w:val="bottom"/>
            <w:shd w:val="clear" w:color="auto" w:fill="717295"/>
          </w:tcPr>
          <w:p>
            <w:pPr>
              <w:spacing w:after="0"/>
              <w:rPr>
                <w:sz w:val="20"/>
                <w:szCs w:val="20"/>
                <w:color w:val="auto"/>
              </w:rPr>
            </w:pPr>
          </w:p>
        </w:tc>
        <w:tc>
          <w:tcPr>
            <w:tcW w:w="120" w:type="dxa"/>
            <w:vAlign w:val="bottom"/>
            <w:shd w:val="clear" w:color="auto" w:fill="717295"/>
          </w:tcPr>
          <w:p>
            <w:pPr>
              <w:spacing w:after="0"/>
              <w:rPr>
                <w:sz w:val="20"/>
                <w:szCs w:val="20"/>
                <w:color w:val="auto"/>
              </w:rPr>
            </w:pPr>
          </w:p>
        </w:tc>
        <w:tc>
          <w:tcPr>
            <w:tcW w:w="840" w:type="dxa"/>
            <w:vAlign w:val="bottom"/>
            <w:shd w:val="clear" w:color="auto" w:fill="717295"/>
          </w:tcPr>
          <w:p>
            <w:pPr>
              <w:jc w:val="right"/>
              <w:ind w:right="64"/>
              <w:spacing w:after="0"/>
              <w:rPr>
                <w:sz w:val="20"/>
                <w:szCs w:val="20"/>
                <w:color w:val="auto"/>
              </w:rPr>
            </w:pPr>
            <w:r>
              <w:rPr>
                <w:rFonts w:ascii="Arial" w:cs="Arial" w:eastAsia="Arial" w:hAnsi="Arial"/>
                <w:sz w:val="14"/>
                <w:szCs w:val="14"/>
                <w:b w:val="1"/>
                <w:bCs w:val="1"/>
                <w:color w:val="FFFFFF"/>
              </w:rPr>
              <w:t>2021($)</w:t>
            </w:r>
          </w:p>
        </w:tc>
        <w:tc>
          <w:tcPr>
            <w:tcW w:w="80" w:type="dxa"/>
            <w:vAlign w:val="bottom"/>
            <w:shd w:val="clear" w:color="auto" w:fill="717295"/>
          </w:tcPr>
          <w:p>
            <w:pPr>
              <w:spacing w:after="0"/>
              <w:rPr>
                <w:sz w:val="20"/>
                <w:szCs w:val="20"/>
                <w:color w:val="auto"/>
              </w:rPr>
            </w:pPr>
          </w:p>
        </w:tc>
        <w:tc>
          <w:tcPr>
            <w:tcW w:w="100" w:type="dxa"/>
            <w:vAlign w:val="bottom"/>
            <w:shd w:val="clear" w:color="auto" w:fill="717295"/>
          </w:tcPr>
          <w:p>
            <w:pPr>
              <w:spacing w:after="0"/>
              <w:rPr>
                <w:sz w:val="20"/>
                <w:szCs w:val="20"/>
                <w:color w:val="auto"/>
              </w:rPr>
            </w:pPr>
          </w:p>
        </w:tc>
        <w:tc>
          <w:tcPr>
            <w:tcW w:w="960" w:type="dxa"/>
            <w:vAlign w:val="bottom"/>
            <w:shd w:val="clear" w:color="auto" w:fill="717295"/>
          </w:tcPr>
          <w:p>
            <w:pPr>
              <w:ind w:left="420"/>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717295"/>
          </w:tcPr>
          <w:p>
            <w:pPr>
              <w:spacing w:after="0"/>
              <w:rPr>
                <w:sz w:val="20"/>
                <w:szCs w:val="20"/>
                <w:color w:val="auto"/>
              </w:rPr>
            </w:pPr>
          </w:p>
        </w:tc>
        <w:tc>
          <w:tcPr>
            <w:tcW w:w="100" w:type="dxa"/>
            <w:vAlign w:val="bottom"/>
            <w:shd w:val="clear" w:color="auto" w:fill="717295"/>
          </w:tcPr>
          <w:p>
            <w:pPr>
              <w:spacing w:after="0"/>
              <w:rPr>
                <w:sz w:val="20"/>
                <w:szCs w:val="20"/>
                <w:color w:val="auto"/>
              </w:rPr>
            </w:pPr>
          </w:p>
        </w:tc>
        <w:tc>
          <w:tcPr>
            <w:tcW w:w="1300" w:type="dxa"/>
            <w:vAlign w:val="bottom"/>
            <w:shd w:val="clear" w:color="auto" w:fill="717295"/>
          </w:tcPr>
          <w:p>
            <w:pPr>
              <w:jc w:val="right"/>
              <w:ind w:right="424"/>
              <w:spacing w:after="0"/>
              <w:rPr>
                <w:sz w:val="20"/>
                <w:szCs w:val="20"/>
                <w:color w:val="auto"/>
              </w:rPr>
            </w:pPr>
            <w:r>
              <w:rPr>
                <w:rFonts w:ascii="Arial" w:cs="Arial" w:eastAsia="Arial" w:hAnsi="Arial"/>
                <w:sz w:val="14"/>
                <w:szCs w:val="14"/>
                <w:b w:val="1"/>
                <w:bCs w:val="1"/>
                <w:color w:val="FFFFFF"/>
              </w:rPr>
              <w:t>($)</w:t>
            </w:r>
          </w:p>
        </w:tc>
        <w:tc>
          <w:tcPr>
            <w:tcW w:w="180" w:type="dxa"/>
            <w:vAlign w:val="bottom"/>
            <w:shd w:val="clear" w:color="auto" w:fill="717295"/>
          </w:tcPr>
          <w:p>
            <w:pPr>
              <w:spacing w:after="0"/>
              <w:rPr>
                <w:sz w:val="20"/>
                <w:szCs w:val="20"/>
                <w:color w:val="auto"/>
              </w:rPr>
            </w:pP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780" w:type="dxa"/>
            <w:vAlign w:val="bottom"/>
            <w:tcBorders>
              <w:bottom w:val="single" w:sz="8" w:color="ACABC0"/>
            </w:tcBorders>
            <w:shd w:val="clear" w:color="auto" w:fill="ACABC0"/>
          </w:tcPr>
          <w:p>
            <w:pPr>
              <w:ind w:left="120"/>
              <w:spacing w:after="0"/>
              <w:rPr>
                <w:sz w:val="20"/>
                <w:szCs w:val="20"/>
                <w:color w:val="auto"/>
              </w:rPr>
            </w:pPr>
            <w:r>
              <w:rPr>
                <w:rFonts w:ascii="Arial" w:cs="Arial" w:eastAsia="Arial" w:hAnsi="Arial"/>
                <w:sz w:val="16"/>
                <w:szCs w:val="16"/>
                <w:color w:val="auto"/>
              </w:rPr>
              <w:t>Andrew G. Inglis</w:t>
            </w:r>
          </w:p>
        </w:tc>
        <w:tc>
          <w:tcPr>
            <w:tcW w:w="420" w:type="dxa"/>
            <w:vAlign w:val="bottom"/>
            <w:tcBorders>
              <w:bottom w:val="single" w:sz="8" w:color="ACABC0"/>
            </w:tcBorders>
            <w:shd w:val="clear" w:color="auto" w:fill="ACABC0"/>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CABC0"/>
            </w:tcBorders>
            <w:shd w:val="clear" w:color="auto" w:fill="ACABC0"/>
          </w:tcPr>
          <w:p>
            <w:pPr>
              <w:jc w:val="right"/>
              <w:ind w:right="104"/>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CABC0"/>
            </w:tcBorders>
            <w:shd w:val="clear" w:color="auto" w:fill="ACABC0"/>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CABC0"/>
            </w:tcBorders>
            <w:shd w:val="clear" w:color="auto" w:fill="ACABC0"/>
          </w:tcPr>
          <w:p>
            <w:pPr>
              <w:jc w:val="right"/>
              <w:ind w:right="104"/>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CABC0"/>
            </w:tcBorders>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ACABC0"/>
            </w:tcBorders>
            <w:shd w:val="clear" w:color="auto" w:fill="ACABC0"/>
          </w:tcPr>
          <w:p>
            <w:pPr>
              <w:jc w:val="right"/>
              <w:ind w:right="144"/>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CABC0"/>
            </w:tcBorders>
            <w:shd w:val="clear" w:color="auto" w:fill="ACABC0"/>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Borders>
              <w:bottom w:val="single" w:sz="8" w:color="ACABC0"/>
            </w:tcBorders>
            <w:shd w:val="clear" w:color="auto" w:fill="ACABC0"/>
          </w:tcPr>
          <w:p>
            <w:pPr>
              <w:ind w:left="4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CABC0"/>
            </w:tcBorders>
            <w:shd w:val="clear" w:color="auto" w:fill="ACABC0"/>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Borders>
              <w:bottom w:val="single" w:sz="8" w:color="ACABC0"/>
            </w:tcBorders>
            <w:shd w:val="clear" w:color="auto" w:fill="ACABC0"/>
          </w:tcPr>
          <w:p>
            <w:pPr>
              <w:jc w:val="right"/>
              <w:ind w:right="30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CABC0"/>
            </w:tcBorders>
            <w:shd w:val="clear" w:color="auto" w:fill="ACABC0"/>
          </w:tcPr>
          <w:p>
            <w:pPr>
              <w:jc w:val="right"/>
              <w:ind w:right="62"/>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780" w:type="dxa"/>
            <w:vAlign w:val="bottom"/>
            <w:tcBorders>
              <w:bottom w:val="single" w:sz="8" w:color="F1F2F2"/>
            </w:tcBorders>
            <w:shd w:val="clear" w:color="auto" w:fill="F1F2F2"/>
          </w:tcPr>
          <w:p>
            <w:pPr>
              <w:ind w:left="120"/>
              <w:spacing w:after="0"/>
              <w:rPr>
                <w:sz w:val="20"/>
                <w:szCs w:val="20"/>
                <w:color w:val="auto"/>
              </w:rPr>
            </w:pPr>
            <w:r>
              <w:rPr>
                <w:rFonts w:ascii="Arial" w:cs="Arial" w:eastAsia="Arial" w:hAnsi="Arial"/>
                <w:sz w:val="16"/>
                <w:szCs w:val="16"/>
                <w:color w:val="auto"/>
              </w:rPr>
              <w:t>Neal D. Shah</w:t>
            </w:r>
          </w:p>
        </w:tc>
        <w:tc>
          <w:tcPr>
            <w:tcW w:w="420" w:type="dxa"/>
            <w:vAlign w:val="bottom"/>
            <w:tcBorders>
              <w:bottom w:val="single" w:sz="8" w:color="F1F2F2"/>
            </w:tcBorders>
            <w:shd w:val="clear" w:color="auto" w:fill="F1F2F2"/>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F1F2F2"/>
            </w:tcBorders>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F1F2F2"/>
            </w:tcBorders>
            <w:shd w:val="clear" w:color="auto" w:fill="F1F2F2"/>
          </w:tcPr>
          <w:p>
            <w:pPr>
              <w:jc w:val="right"/>
              <w:ind w:right="104"/>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1F2F2"/>
            </w:tcBorders>
            <w:shd w:val="clear" w:color="auto" w:fill="F1F2F2"/>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F1F2F2"/>
            </w:tcBorders>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F1F2F2"/>
            </w:tcBorders>
            <w:shd w:val="clear" w:color="auto" w:fill="F1F2F2"/>
          </w:tcPr>
          <w:p>
            <w:pPr>
              <w:spacing w:after="0"/>
              <w:rPr>
                <w:sz w:val="23"/>
                <w:szCs w:val="23"/>
                <w:color w:val="auto"/>
              </w:rPr>
            </w:pPr>
          </w:p>
        </w:tc>
        <w:tc>
          <w:tcPr>
            <w:tcW w:w="140" w:type="dxa"/>
            <w:vAlign w:val="bottom"/>
            <w:tcBorders>
              <w:bottom w:val="single" w:sz="8" w:color="F1F2F2"/>
            </w:tcBorders>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F1F2F2"/>
            </w:tcBorders>
            <w:shd w:val="clear" w:color="auto" w:fill="F1F2F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F1F2F2"/>
            </w:tcBorders>
            <w:shd w:val="clear" w:color="auto" w:fill="F1F2F2"/>
          </w:tcPr>
          <w:p>
            <w:pPr>
              <w:spacing w:after="0"/>
              <w:rPr>
                <w:sz w:val="23"/>
                <w:szCs w:val="23"/>
                <w:color w:val="auto"/>
              </w:rPr>
            </w:pPr>
          </w:p>
        </w:tc>
        <w:tc>
          <w:tcPr>
            <w:tcW w:w="80" w:type="dxa"/>
            <w:vAlign w:val="bottom"/>
            <w:tcBorders>
              <w:bottom w:val="single" w:sz="8" w:color="F1F2F2"/>
            </w:tcBorders>
            <w:shd w:val="clear" w:color="auto" w:fill="F1F2F2"/>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F1F2F2"/>
            </w:tcBorders>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Borders>
              <w:bottom w:val="single" w:sz="8" w:color="F1F2F2"/>
            </w:tcBorders>
            <w:shd w:val="clear" w:color="auto" w:fill="F1F2F2"/>
          </w:tcPr>
          <w:p>
            <w:pPr>
              <w:spacing w:after="0"/>
              <w:rPr>
                <w:sz w:val="23"/>
                <w:szCs w:val="23"/>
                <w:color w:val="auto"/>
              </w:rPr>
            </w:pPr>
          </w:p>
        </w:tc>
        <w:tc>
          <w:tcPr>
            <w:tcW w:w="80" w:type="dxa"/>
            <w:vAlign w:val="bottom"/>
            <w:tcBorders>
              <w:bottom w:val="single" w:sz="8" w:color="F1F2F2"/>
            </w:tcBorders>
            <w:shd w:val="clear" w:color="auto" w:fill="F1F2F2"/>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F1F2F2"/>
            </w:tcBorders>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Borders>
              <w:bottom w:val="single" w:sz="8" w:color="F1F2F2"/>
            </w:tcBorders>
            <w:shd w:val="clear" w:color="auto" w:fill="F1F2F2"/>
          </w:tcPr>
          <w:p>
            <w:pPr>
              <w:spacing w:after="0"/>
              <w:rPr>
                <w:sz w:val="23"/>
                <w:szCs w:val="23"/>
                <w:color w:val="auto"/>
              </w:rPr>
            </w:pPr>
          </w:p>
        </w:tc>
        <w:tc>
          <w:tcPr>
            <w:tcW w:w="180" w:type="dxa"/>
            <w:vAlign w:val="bottom"/>
            <w:tcBorders>
              <w:bottom w:val="single" w:sz="8" w:color="F1F2F2"/>
            </w:tcBorders>
            <w:shd w:val="clear" w:color="auto" w:fill="F1F2F2"/>
          </w:tcPr>
          <w:p>
            <w:pPr>
              <w:jc w:val="right"/>
              <w:ind w:right="62"/>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780" w:type="dxa"/>
            <w:vAlign w:val="bottom"/>
            <w:tcBorders>
              <w:bottom w:val="single" w:sz="8" w:color="ACABC0"/>
            </w:tcBorders>
            <w:shd w:val="clear" w:color="auto" w:fill="ACABC0"/>
          </w:tcPr>
          <w:p>
            <w:pPr>
              <w:ind w:left="120"/>
              <w:spacing w:after="0"/>
              <w:rPr>
                <w:sz w:val="20"/>
                <w:szCs w:val="20"/>
                <w:color w:val="auto"/>
              </w:rPr>
            </w:pPr>
            <w:r>
              <w:rPr>
                <w:rFonts w:ascii="Arial" w:cs="Arial" w:eastAsia="Arial" w:hAnsi="Arial"/>
                <w:sz w:val="16"/>
                <w:szCs w:val="16"/>
                <w:color w:val="auto"/>
              </w:rPr>
              <w:t>Christopher J. Ball</w:t>
            </w:r>
          </w:p>
        </w:tc>
        <w:tc>
          <w:tcPr>
            <w:tcW w:w="420" w:type="dxa"/>
            <w:vAlign w:val="bottom"/>
            <w:tcBorders>
              <w:bottom w:val="single" w:sz="8" w:color="ACABC0"/>
            </w:tcBorders>
            <w:shd w:val="clear" w:color="auto" w:fill="ACABC0"/>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CABC0"/>
            </w:tcBorders>
            <w:shd w:val="clear" w:color="auto" w:fill="ACABC0"/>
          </w:tcPr>
          <w:p>
            <w:pPr>
              <w:jc w:val="right"/>
              <w:ind w:right="104"/>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CABC0"/>
            </w:tcBorders>
            <w:shd w:val="clear" w:color="auto" w:fill="ACABC0"/>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CABC0"/>
            </w:tcBorders>
            <w:shd w:val="clear" w:color="auto" w:fill="ACABC0"/>
          </w:tcPr>
          <w:p>
            <w:pPr>
              <w:jc w:val="right"/>
              <w:ind w:right="104"/>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CABC0"/>
            </w:tcBorders>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CABC0"/>
            </w:tcBorders>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ACABC0"/>
            </w:tcBorders>
            <w:shd w:val="clear" w:color="auto" w:fill="ACABC0"/>
          </w:tcPr>
          <w:p>
            <w:pPr>
              <w:jc w:val="right"/>
              <w:ind w:right="144"/>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CABC0"/>
            </w:tcBorders>
            <w:shd w:val="clear" w:color="auto" w:fill="ACABC0"/>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Borders>
              <w:bottom w:val="single" w:sz="8" w:color="ACABC0"/>
            </w:tcBorders>
            <w:shd w:val="clear" w:color="auto" w:fill="ACABC0"/>
          </w:tcPr>
          <w:p>
            <w:pPr>
              <w:ind w:left="4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CABC0"/>
            </w:tcBorders>
            <w:shd w:val="clear" w:color="auto" w:fill="ACABC0"/>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ACABC0"/>
            </w:tcBorders>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Borders>
              <w:bottom w:val="single" w:sz="8" w:color="ACABC0"/>
            </w:tcBorders>
            <w:shd w:val="clear" w:color="auto" w:fill="ACABC0"/>
          </w:tcPr>
          <w:p>
            <w:pPr>
              <w:jc w:val="right"/>
              <w:ind w:right="30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CABC0"/>
            </w:tcBorders>
            <w:shd w:val="clear" w:color="auto" w:fill="ACABC0"/>
          </w:tcPr>
          <w:p>
            <w:pPr>
              <w:jc w:val="right"/>
              <w:ind w:right="62"/>
              <w:spacing w:after="0"/>
              <w:rPr>
                <w:sz w:val="20"/>
                <w:szCs w:val="20"/>
                <w:color w:val="auto"/>
              </w:rPr>
            </w:pPr>
            <w:r>
              <w:rPr>
                <w:rFonts w:ascii="Times New Roman" w:cs="Times New Roman" w:eastAsia="Times New Roman" w:hAnsi="Times New Roman"/>
                <w:sz w:val="4"/>
                <w:szCs w:val="4"/>
                <w:color w:val="auto"/>
              </w:rPr>
              <w:t>​</w:t>
            </w:r>
          </w:p>
        </w:tc>
      </w:tr>
      <w:tr>
        <w:trPr>
          <w:trHeight w:val="27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780" w:type="dxa"/>
            <w:vAlign w:val="bottom"/>
            <w:tcBorders>
              <w:bottom w:val="single" w:sz="8" w:color="F1F2F2"/>
            </w:tcBorders>
            <w:shd w:val="clear" w:color="auto" w:fill="F1F2F2"/>
          </w:tcPr>
          <w:p>
            <w:pPr>
              <w:ind w:left="120"/>
              <w:spacing w:after="0"/>
              <w:rPr>
                <w:sz w:val="20"/>
                <w:szCs w:val="20"/>
                <w:color w:val="auto"/>
              </w:rPr>
            </w:pPr>
            <w:r>
              <w:rPr>
                <w:rFonts w:ascii="Arial" w:cs="Arial" w:eastAsia="Arial" w:hAnsi="Arial"/>
                <w:sz w:val="16"/>
                <w:szCs w:val="16"/>
                <w:color w:val="auto"/>
              </w:rPr>
              <w:t>Richard R. Clark</w:t>
            </w:r>
          </w:p>
        </w:tc>
        <w:tc>
          <w:tcPr>
            <w:tcW w:w="420" w:type="dxa"/>
            <w:vAlign w:val="bottom"/>
            <w:tcBorders>
              <w:bottom w:val="single" w:sz="8" w:color="F1F2F2"/>
            </w:tcBorders>
            <w:shd w:val="clear" w:color="auto" w:fill="F1F2F2"/>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F1F2F2"/>
            </w:tcBorders>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F1F2F2"/>
            </w:tcBorders>
            <w:shd w:val="clear" w:color="auto" w:fill="F1F2F2"/>
          </w:tcPr>
          <w:p>
            <w:pPr>
              <w:jc w:val="right"/>
              <w:ind w:right="104"/>
              <w:spacing w:after="0"/>
              <w:rPr>
                <w:sz w:val="20"/>
                <w:szCs w:val="20"/>
                <w:color w:val="auto"/>
              </w:rPr>
            </w:pPr>
            <w:r>
              <w:rPr>
                <w:rFonts w:ascii="Arial" w:cs="Arial" w:eastAsia="Arial" w:hAnsi="Arial"/>
                <w:sz w:val="16"/>
                <w:szCs w:val="16"/>
                <w:color w:val="auto"/>
              </w:rPr>
              <w:t>37,896</w:t>
            </w:r>
          </w:p>
        </w:tc>
        <w:tc>
          <w:tcPr>
            <w:tcW w:w="160" w:type="dxa"/>
            <w:vAlign w:val="bottom"/>
            <w:tcBorders>
              <w:bottom w:val="single" w:sz="8" w:color="F1F2F2"/>
            </w:tcBorders>
            <w:shd w:val="clear" w:color="auto" w:fill="F1F2F2"/>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F1F2F2"/>
            </w:tcBorders>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F1F2F2"/>
            </w:tcBorders>
            <w:shd w:val="clear" w:color="auto" w:fill="F1F2F2"/>
          </w:tcPr>
          <w:p>
            <w:pPr>
              <w:jc w:val="right"/>
              <w:ind w:right="104"/>
              <w:spacing w:after="0"/>
              <w:rPr>
                <w:sz w:val="20"/>
                <w:szCs w:val="20"/>
                <w:color w:val="auto"/>
              </w:rPr>
            </w:pPr>
            <w:r>
              <w:rPr>
                <w:rFonts w:ascii="Arial" w:cs="Arial" w:eastAsia="Arial" w:hAnsi="Arial"/>
                <w:sz w:val="16"/>
                <w:szCs w:val="16"/>
                <w:color w:val="auto"/>
              </w:rPr>
              <w:t>37,896</w:t>
            </w:r>
          </w:p>
        </w:tc>
        <w:tc>
          <w:tcPr>
            <w:tcW w:w="140" w:type="dxa"/>
            <w:vAlign w:val="bottom"/>
            <w:tcBorders>
              <w:bottom w:val="single" w:sz="8" w:color="F1F2F2"/>
            </w:tcBorders>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F1F2F2"/>
            </w:tcBorders>
            <w:shd w:val="clear" w:color="auto" w:fill="F1F2F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F1F2F2"/>
            </w:tcBorders>
            <w:shd w:val="clear" w:color="auto" w:fill="F1F2F2"/>
          </w:tcPr>
          <w:p>
            <w:pPr>
              <w:jc w:val="right"/>
              <w:ind w:right="144"/>
              <w:spacing w:after="0"/>
              <w:rPr>
                <w:sz w:val="20"/>
                <w:szCs w:val="20"/>
                <w:color w:val="auto"/>
              </w:rPr>
            </w:pPr>
            <w:r>
              <w:rPr>
                <w:rFonts w:ascii="Arial" w:cs="Arial" w:eastAsia="Arial" w:hAnsi="Arial"/>
                <w:sz w:val="16"/>
                <w:szCs w:val="16"/>
                <w:color w:val="auto"/>
              </w:rPr>
              <w:t>4,034</w:t>
            </w:r>
          </w:p>
        </w:tc>
        <w:tc>
          <w:tcPr>
            <w:tcW w:w="80" w:type="dxa"/>
            <w:vAlign w:val="bottom"/>
            <w:tcBorders>
              <w:bottom w:val="single" w:sz="8" w:color="F1F2F2"/>
            </w:tcBorders>
            <w:shd w:val="clear" w:color="auto" w:fill="F1F2F2"/>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F1F2F2"/>
            </w:tcBorders>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Borders>
              <w:bottom w:val="single" w:sz="8" w:color="F1F2F2"/>
            </w:tcBorders>
            <w:shd w:val="clear" w:color="auto" w:fill="F1F2F2"/>
          </w:tcPr>
          <w:p>
            <w:pPr>
              <w:ind w:left="4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F1F2F2"/>
            </w:tcBorders>
            <w:shd w:val="clear" w:color="auto" w:fill="F1F2F2"/>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F1F2F2"/>
            </w:tcBorders>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Borders>
              <w:bottom w:val="single" w:sz="8" w:color="F1F2F2"/>
            </w:tcBorders>
            <w:shd w:val="clear" w:color="auto" w:fill="F1F2F2"/>
          </w:tcPr>
          <w:p>
            <w:pPr>
              <w:jc w:val="right"/>
              <w:ind w:right="284"/>
              <w:spacing w:after="0"/>
              <w:rPr>
                <w:sz w:val="20"/>
                <w:szCs w:val="20"/>
                <w:color w:val="auto"/>
              </w:rPr>
            </w:pPr>
            <w:r>
              <w:rPr>
                <w:rFonts w:ascii="Arial" w:cs="Arial" w:eastAsia="Arial" w:hAnsi="Arial"/>
                <w:sz w:val="16"/>
                <w:szCs w:val="16"/>
                <w:color w:val="auto"/>
              </w:rPr>
              <w:t>79,826</w:t>
            </w:r>
          </w:p>
        </w:tc>
        <w:tc>
          <w:tcPr>
            <w:tcW w:w="180" w:type="dxa"/>
            <w:vAlign w:val="bottom"/>
            <w:tcBorders>
              <w:bottom w:val="single" w:sz="8" w:color="F1F2F2"/>
            </w:tcBorders>
            <w:shd w:val="clear" w:color="auto" w:fill="F1F2F2"/>
          </w:tcPr>
          <w:p>
            <w:pPr>
              <w:jc w:val="right"/>
              <w:ind w:right="62"/>
              <w:spacing w:after="0"/>
              <w:rPr>
                <w:sz w:val="20"/>
                <w:szCs w:val="20"/>
                <w:color w:val="auto"/>
              </w:rPr>
            </w:pPr>
            <w:r>
              <w:rPr>
                <w:rFonts w:ascii="Times New Roman" w:cs="Times New Roman" w:eastAsia="Times New Roman" w:hAnsi="Times New Roman"/>
                <w:sz w:val="4"/>
                <w:szCs w:val="4"/>
                <w:color w:val="auto"/>
              </w:rPr>
              <w:t>​</w:t>
            </w:r>
          </w:p>
        </w:tc>
      </w:tr>
      <w:tr>
        <w:trPr>
          <w:trHeight w:val="26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780" w:type="dxa"/>
            <w:vAlign w:val="bottom"/>
            <w:shd w:val="clear" w:color="auto" w:fill="ACABC0"/>
          </w:tcPr>
          <w:p>
            <w:pPr>
              <w:ind w:left="120"/>
              <w:spacing w:after="0"/>
              <w:rPr>
                <w:sz w:val="20"/>
                <w:szCs w:val="20"/>
                <w:color w:val="auto"/>
              </w:rPr>
            </w:pPr>
            <w:r>
              <w:rPr>
                <w:rFonts w:ascii="Arial" w:cs="Arial" w:eastAsia="Arial" w:hAnsi="Arial"/>
                <w:sz w:val="16"/>
                <w:szCs w:val="16"/>
                <w:color w:val="auto"/>
              </w:rPr>
              <w:t>Jason E. Doughty</w:t>
            </w:r>
          </w:p>
        </w:tc>
        <w:tc>
          <w:tcPr>
            <w:tcW w:w="420" w:type="dxa"/>
            <w:vAlign w:val="bottom"/>
            <w:shd w:val="clear" w:color="auto" w:fill="ACABC0"/>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shd w:val="clear" w:color="auto" w:fill="ACABC0"/>
          </w:tcPr>
          <w:p>
            <w:pPr>
              <w:jc w:val="right"/>
              <w:ind w:right="104"/>
              <w:spacing w:after="0"/>
              <w:rPr>
                <w:sz w:val="20"/>
                <w:szCs w:val="20"/>
                <w:color w:val="auto"/>
              </w:rPr>
            </w:pPr>
            <w:r>
              <w:rPr>
                <w:rFonts w:ascii="Arial" w:cs="Arial" w:eastAsia="Arial" w:hAnsi="Arial"/>
                <w:sz w:val="16"/>
                <w:szCs w:val="16"/>
                <w:color w:val="auto"/>
              </w:rPr>
              <w:t>—</w:t>
            </w:r>
          </w:p>
        </w:tc>
        <w:tc>
          <w:tcPr>
            <w:tcW w:w="160" w:type="dxa"/>
            <w:vAlign w:val="bottom"/>
            <w:shd w:val="clear" w:color="auto" w:fill="ACABC0"/>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shd w:val="clear" w:color="auto" w:fill="ACABC0"/>
          </w:tcPr>
          <w:p>
            <w:pPr>
              <w:jc w:val="right"/>
              <w:ind w:right="104"/>
              <w:spacing w:after="0"/>
              <w:rPr>
                <w:sz w:val="20"/>
                <w:szCs w:val="20"/>
                <w:color w:val="auto"/>
              </w:rPr>
            </w:pPr>
            <w:r>
              <w:rPr>
                <w:rFonts w:ascii="Arial" w:cs="Arial" w:eastAsia="Arial" w:hAnsi="Arial"/>
                <w:sz w:val="16"/>
                <w:szCs w:val="16"/>
                <w:color w:val="auto"/>
              </w:rPr>
              <w:t>—</w:t>
            </w:r>
          </w:p>
        </w:tc>
        <w:tc>
          <w:tcPr>
            <w:tcW w:w="14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ACABC0"/>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shd w:val="clear" w:color="auto" w:fill="ACABC0"/>
          </w:tcPr>
          <w:p>
            <w:pPr>
              <w:jc w:val="right"/>
              <w:ind w:right="144"/>
              <w:spacing w:after="0"/>
              <w:rPr>
                <w:sz w:val="20"/>
                <w:szCs w:val="20"/>
                <w:color w:val="auto"/>
              </w:rPr>
            </w:pPr>
            <w:r>
              <w:rPr>
                <w:rFonts w:ascii="Arial" w:cs="Arial" w:eastAsia="Arial" w:hAnsi="Arial"/>
                <w:sz w:val="16"/>
                <w:szCs w:val="16"/>
                <w:color w:val="auto"/>
              </w:rPr>
              <w:t>—</w:t>
            </w:r>
          </w:p>
        </w:tc>
        <w:tc>
          <w:tcPr>
            <w:tcW w:w="80" w:type="dxa"/>
            <w:vAlign w:val="bottom"/>
            <w:shd w:val="clear" w:color="auto" w:fill="ACABC0"/>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shd w:val="clear" w:color="auto" w:fill="ACABC0"/>
          </w:tcPr>
          <w:p>
            <w:pPr>
              <w:ind w:lef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ACABC0"/>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shd w:val="clear" w:color="auto" w:fill="ACABC0"/>
          </w:tcPr>
          <w:p>
            <w:pPr>
              <w:jc w:val="right"/>
              <w:ind w:right="304"/>
              <w:spacing w:after="0"/>
              <w:rPr>
                <w:sz w:val="20"/>
                <w:szCs w:val="20"/>
                <w:color w:val="auto"/>
              </w:rPr>
            </w:pPr>
            <w:r>
              <w:rPr>
                <w:rFonts w:ascii="Arial" w:cs="Arial" w:eastAsia="Arial" w:hAnsi="Arial"/>
                <w:sz w:val="16"/>
                <w:szCs w:val="16"/>
                <w:color w:val="auto"/>
              </w:rPr>
              <w:t>—</w:t>
            </w:r>
          </w:p>
        </w:tc>
        <w:tc>
          <w:tcPr>
            <w:tcW w:w="180" w:type="dxa"/>
            <w:vAlign w:val="bottom"/>
            <w:shd w:val="clear" w:color="auto" w:fill="ACABC0"/>
          </w:tcPr>
          <w:p>
            <w:pPr>
              <w:jc w:val="right"/>
              <w:ind w:right="62"/>
              <w:spacing w:after="0"/>
              <w:rPr>
                <w:sz w:val="20"/>
                <w:szCs w:val="20"/>
                <w:color w:val="auto"/>
              </w:rPr>
            </w:pPr>
            <w:r>
              <w:rPr>
                <w:rFonts w:ascii="Times New Roman" w:cs="Times New Roman" w:eastAsia="Times New Roman" w:hAnsi="Times New Roman"/>
                <w:sz w:val="4"/>
                <w:szCs w:val="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118745</wp:posOffset>
            </wp:positionV>
            <wp:extent cx="8159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217" w:lineRule="exact"/>
        <w:rPr>
          <w:sz w:val="20"/>
          <w:szCs w:val="20"/>
          <w:color w:val="auto"/>
        </w:rPr>
      </w:pPr>
    </w:p>
    <w:p>
      <w:pPr>
        <w:ind w:left="680" w:right="379" w:hanging="354"/>
        <w:spacing w:after="0" w:line="229" w:lineRule="auto"/>
        <w:tabs>
          <w:tab w:leader="none" w:pos="6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Prior to its termination in January 2022, the Company maintained a non-qualified deferred compensation plan pursuant to which each member of our Senior Leadership Team (including our named executive officers) and executives at the level of senior vice president or above were eligible to defer up to 50% of his or her base compensation and 100% of his or her annual cash bonus compensation on a pre-tax basis, with the Company providing a matching contribution on the first 8% deferred by each executive. Matching contributions vested after three years of service. The vesting of unvested matching contributions under the deferred compensation plan accelerates upon the participant’s death or disability or upon a change in control of Kosmos. Participants under the plan had the option to elect to have their benefit distributed on a specified date or a separation from service with Kosmos (either in a lump sum or in annual installments over a ten-year period).</w:t>
      </w:r>
    </w:p>
    <w:p>
      <w:pPr>
        <w:spacing w:after="0" w:line="18" w:lineRule="exact"/>
        <w:rPr>
          <w:rFonts w:ascii="Arial" w:cs="Arial" w:eastAsia="Arial" w:hAnsi="Arial"/>
          <w:sz w:val="15"/>
          <w:szCs w:val="15"/>
          <w:color w:val="auto"/>
        </w:rPr>
      </w:pPr>
    </w:p>
    <w:p>
      <w:pPr>
        <w:ind w:left="680" w:right="379"/>
        <w:spacing w:after="0" w:line="232" w:lineRule="auto"/>
        <w:rPr>
          <w:rFonts w:ascii="Arial" w:cs="Arial" w:eastAsia="Arial" w:hAnsi="Arial"/>
          <w:sz w:val="15"/>
          <w:szCs w:val="15"/>
          <w:color w:val="auto"/>
        </w:rPr>
      </w:pPr>
      <w:r>
        <w:rPr>
          <w:rFonts w:ascii="Arial" w:cs="Arial" w:eastAsia="Arial" w:hAnsi="Arial"/>
          <w:sz w:val="15"/>
          <w:szCs w:val="15"/>
          <w:color w:val="auto"/>
        </w:rPr>
        <w:t>The deferred compensation plan permits participants to notionally invest the deferred amounts among vehicles that mirror the gains and/or losses of various investment funds provided under our 401(k) Plan. Since each executive chooses the investment vehicle or vehicles and may change their allocations from time to time, the return on the investment will depend on how well each underlying investment performed during the time the executive chose it as an investment vehicle. The aggregate performance of such investment is reflected in the “Aggregate Earnings in 2021” column.</w:t>
      </w:r>
    </w:p>
    <w:p>
      <w:pPr>
        <w:spacing w:after="0" w:line="17" w:lineRule="exact"/>
        <w:rPr>
          <w:rFonts w:ascii="Arial" w:cs="Arial" w:eastAsia="Arial" w:hAnsi="Arial"/>
          <w:sz w:val="15"/>
          <w:szCs w:val="15"/>
          <w:color w:val="auto"/>
        </w:rPr>
      </w:pPr>
    </w:p>
    <w:p>
      <w:pPr>
        <w:ind w:left="680" w:right="559" w:hanging="354"/>
        <w:spacing w:after="0" w:line="260" w:lineRule="auto"/>
        <w:tabs>
          <w:tab w:leader="none" w:pos="6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These amounts are reported as compensation in the “2021 Summary Compensation Table” above under the column “Salary”.</w:t>
      </w:r>
    </w:p>
    <w:p>
      <w:pPr>
        <w:spacing w:after="0" w:line="1" w:lineRule="exact"/>
        <w:rPr>
          <w:rFonts w:ascii="Arial" w:cs="Arial" w:eastAsia="Arial" w:hAnsi="Arial"/>
          <w:sz w:val="15"/>
          <w:szCs w:val="15"/>
          <w:color w:val="auto"/>
        </w:rPr>
      </w:pPr>
    </w:p>
    <w:p>
      <w:pPr>
        <w:ind w:left="680" w:right="559" w:hanging="354"/>
        <w:spacing w:after="0" w:line="260" w:lineRule="auto"/>
        <w:tabs>
          <w:tab w:leader="none" w:pos="6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These amounts are reported as compensation in the “2021 Summary Compensation Table” above under the column “All Other Compensation”.</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121285</wp:posOffset>
            </wp:positionV>
            <wp:extent cx="693801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-158750</wp:posOffset>
            </wp:positionV>
            <wp:extent cx="594995" cy="1701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8" w:name="page59"/>
    <w:bookmarkEnd w:id="58"/>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Potential Payments Upon Termination or Change in Control</w:t>
      </w:r>
    </w:p>
    <w:p>
      <w:pPr>
        <w:spacing w:after="0" w:line="129" w:lineRule="exact"/>
        <w:rPr>
          <w:sz w:val="20"/>
          <w:szCs w:val="20"/>
          <w:color w:val="auto"/>
        </w:rPr>
      </w:pPr>
    </w:p>
    <w:p>
      <w:pPr>
        <w:ind w:left="320" w:right="399"/>
        <w:spacing w:after="0" w:line="254" w:lineRule="auto"/>
        <w:rPr>
          <w:sz w:val="20"/>
          <w:szCs w:val="20"/>
          <w:color w:val="auto"/>
        </w:rPr>
      </w:pPr>
      <w:r>
        <w:rPr>
          <w:rFonts w:ascii="Arial" w:cs="Arial" w:eastAsia="Arial" w:hAnsi="Arial"/>
          <w:sz w:val="16"/>
          <w:szCs w:val="16"/>
          <w:color w:val="auto"/>
        </w:rPr>
        <w:t>If on December 31, 2021 we had undergone a change in control or our named executive officers’ employment had terminated under specified circumstances, each of our named executive officers would have been entitled to accelerated vesting of his equity awards on the terms summarized under “—Equity Awards” below, and to specified payments and benefits under our severance policy or their offer letters. For a summary of the terms of our severance policy and these offer letters, see “—Severance Policy” and “—Offer Letters” below.</w:t>
      </w:r>
    </w:p>
    <w:p>
      <w:pPr>
        <w:spacing w:after="0" w:line="45" w:lineRule="exact"/>
        <w:rPr>
          <w:sz w:val="20"/>
          <w:szCs w:val="20"/>
          <w:color w:val="auto"/>
        </w:rPr>
      </w:pPr>
    </w:p>
    <w:tbl>
      <w:tblPr>
        <w:tblLayout w:type="fixed"/>
        <w:tblInd w:w="320" w:type="dxa"/>
        <w:tblCellMar>
          <w:top w:w="0" w:type="dxa"/>
          <w:left w:w="0" w:type="dxa"/>
          <w:bottom w:w="0" w:type="dxa"/>
          <w:right w:w="0" w:type="dxa"/>
        </w:tblCellMar>
      </w:tblPr>
      <w:tr>
        <w:trPr>
          <w:trHeight w:val="259"/>
        </w:trPr>
        <w:tc>
          <w:tcPr>
            <w:tcW w:w="80" w:type="dxa"/>
            <w:vAlign w:val="bottom"/>
            <w:tcBorders>
              <w:right w:val="single" w:sz="8" w:color="717295"/>
            </w:tcBorders>
          </w:tcPr>
          <w:p>
            <w:pPr>
              <w:spacing w:after="0"/>
              <w:rPr>
                <w:sz w:val="22"/>
                <w:szCs w:val="22"/>
                <w:color w:val="auto"/>
              </w:rPr>
            </w:pPr>
          </w:p>
        </w:tc>
        <w:tc>
          <w:tcPr>
            <w:tcW w:w="1740" w:type="dxa"/>
            <w:vAlign w:val="bottom"/>
            <w:shd w:val="clear" w:color="auto" w:fill="717295"/>
          </w:tcPr>
          <w:p>
            <w:pPr>
              <w:spacing w:after="0"/>
              <w:rPr>
                <w:sz w:val="22"/>
                <w:szCs w:val="22"/>
                <w:color w:val="auto"/>
              </w:rPr>
            </w:pPr>
          </w:p>
        </w:tc>
        <w:tc>
          <w:tcPr>
            <w:tcW w:w="220" w:type="dxa"/>
            <w:vAlign w:val="bottom"/>
            <w:tcBorders>
              <w:right w:val="single" w:sz="8" w:color="717295"/>
            </w:tcBorders>
            <w:shd w:val="clear" w:color="auto" w:fill="717295"/>
          </w:tcPr>
          <w:p>
            <w:pPr>
              <w:spacing w:after="0"/>
              <w:rPr>
                <w:sz w:val="22"/>
                <w:szCs w:val="22"/>
                <w:color w:val="auto"/>
              </w:rPr>
            </w:pPr>
          </w:p>
        </w:tc>
        <w:tc>
          <w:tcPr>
            <w:tcW w:w="1140" w:type="dxa"/>
            <w:vAlign w:val="bottom"/>
            <w:shd w:val="clear" w:color="auto" w:fill="717295"/>
          </w:tcPr>
          <w:p>
            <w:pPr>
              <w:spacing w:after="0"/>
              <w:rPr>
                <w:sz w:val="22"/>
                <w:szCs w:val="22"/>
                <w:color w:val="auto"/>
              </w:rPr>
            </w:pPr>
          </w:p>
        </w:tc>
        <w:tc>
          <w:tcPr>
            <w:tcW w:w="40" w:type="dxa"/>
            <w:vAlign w:val="bottom"/>
            <w:shd w:val="clear" w:color="auto" w:fill="717295"/>
          </w:tcPr>
          <w:p>
            <w:pPr>
              <w:spacing w:after="0"/>
              <w:rPr>
                <w:sz w:val="22"/>
                <w:szCs w:val="22"/>
                <w:color w:val="auto"/>
              </w:rPr>
            </w:pPr>
          </w:p>
        </w:tc>
        <w:tc>
          <w:tcPr>
            <w:tcW w:w="100" w:type="dxa"/>
            <w:vAlign w:val="bottom"/>
            <w:shd w:val="clear" w:color="auto" w:fill="717295"/>
          </w:tcPr>
          <w:p>
            <w:pPr>
              <w:spacing w:after="0"/>
              <w:rPr>
                <w:sz w:val="22"/>
                <w:szCs w:val="22"/>
                <w:color w:val="auto"/>
              </w:rPr>
            </w:pPr>
          </w:p>
        </w:tc>
        <w:tc>
          <w:tcPr>
            <w:tcW w:w="340" w:type="dxa"/>
            <w:vAlign w:val="bottom"/>
            <w:shd w:val="clear" w:color="auto" w:fill="717295"/>
          </w:tcPr>
          <w:p>
            <w:pPr>
              <w:spacing w:after="0"/>
              <w:rPr>
                <w:sz w:val="22"/>
                <w:szCs w:val="22"/>
                <w:color w:val="auto"/>
              </w:rPr>
            </w:pPr>
          </w:p>
        </w:tc>
        <w:tc>
          <w:tcPr>
            <w:tcW w:w="940" w:type="dxa"/>
            <w:vAlign w:val="bottom"/>
            <w:shd w:val="clear" w:color="auto" w:fill="717295"/>
          </w:tcPr>
          <w:p>
            <w:pPr>
              <w:spacing w:after="0"/>
              <w:rPr>
                <w:sz w:val="22"/>
                <w:szCs w:val="22"/>
                <w:color w:val="auto"/>
              </w:rPr>
            </w:pPr>
          </w:p>
        </w:tc>
        <w:tc>
          <w:tcPr>
            <w:tcW w:w="140" w:type="dxa"/>
            <w:vAlign w:val="bottom"/>
            <w:shd w:val="clear" w:color="auto" w:fill="717295"/>
          </w:tcPr>
          <w:p>
            <w:pPr>
              <w:spacing w:after="0"/>
              <w:rPr>
                <w:sz w:val="22"/>
                <w:szCs w:val="22"/>
                <w:color w:val="auto"/>
              </w:rPr>
            </w:pPr>
          </w:p>
        </w:tc>
        <w:tc>
          <w:tcPr>
            <w:tcW w:w="480" w:type="dxa"/>
            <w:vAlign w:val="bottom"/>
            <w:shd w:val="clear" w:color="auto" w:fill="717295"/>
          </w:tcPr>
          <w:p>
            <w:pPr>
              <w:spacing w:after="0"/>
              <w:rPr>
                <w:sz w:val="22"/>
                <w:szCs w:val="22"/>
                <w:color w:val="auto"/>
              </w:rPr>
            </w:pPr>
          </w:p>
        </w:tc>
        <w:tc>
          <w:tcPr>
            <w:tcW w:w="1040" w:type="dxa"/>
            <w:vAlign w:val="bottom"/>
            <w:shd w:val="clear" w:color="auto" w:fill="717295"/>
          </w:tcPr>
          <w:p>
            <w:pPr>
              <w:spacing w:after="0"/>
              <w:rPr>
                <w:sz w:val="22"/>
                <w:szCs w:val="22"/>
                <w:color w:val="auto"/>
              </w:rPr>
            </w:pPr>
          </w:p>
        </w:tc>
        <w:tc>
          <w:tcPr>
            <w:tcW w:w="120" w:type="dxa"/>
            <w:vAlign w:val="bottom"/>
            <w:shd w:val="clear" w:color="auto" w:fill="717295"/>
          </w:tcPr>
          <w:p>
            <w:pPr>
              <w:spacing w:after="0"/>
              <w:rPr>
                <w:sz w:val="22"/>
                <w:szCs w:val="22"/>
                <w:color w:val="auto"/>
              </w:rPr>
            </w:pPr>
          </w:p>
        </w:tc>
        <w:tc>
          <w:tcPr>
            <w:tcW w:w="96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Voluntary</w:t>
            </w:r>
          </w:p>
        </w:tc>
        <w:tc>
          <w:tcPr>
            <w:tcW w:w="100" w:type="dxa"/>
            <w:vAlign w:val="bottom"/>
            <w:shd w:val="clear" w:color="auto" w:fill="717295"/>
          </w:tcPr>
          <w:p>
            <w:pPr>
              <w:spacing w:after="0"/>
              <w:rPr>
                <w:sz w:val="22"/>
                <w:szCs w:val="22"/>
                <w:color w:val="auto"/>
              </w:rPr>
            </w:pPr>
          </w:p>
        </w:tc>
        <w:tc>
          <w:tcPr>
            <w:tcW w:w="80" w:type="dxa"/>
            <w:vAlign w:val="bottom"/>
            <w:shd w:val="clear" w:color="auto" w:fill="717295"/>
          </w:tcPr>
          <w:p>
            <w:pPr>
              <w:spacing w:after="0"/>
              <w:rPr>
                <w:sz w:val="22"/>
                <w:szCs w:val="22"/>
                <w:color w:val="auto"/>
              </w:rPr>
            </w:pPr>
          </w:p>
        </w:tc>
        <w:tc>
          <w:tcPr>
            <w:tcW w:w="740" w:type="dxa"/>
            <w:vAlign w:val="bottom"/>
            <w:shd w:val="clear" w:color="auto" w:fill="717295"/>
          </w:tcPr>
          <w:p>
            <w:pPr>
              <w:spacing w:after="0"/>
              <w:rPr>
                <w:sz w:val="22"/>
                <w:szCs w:val="22"/>
                <w:color w:val="auto"/>
              </w:rPr>
            </w:pPr>
          </w:p>
        </w:tc>
        <w:tc>
          <w:tcPr>
            <w:tcW w:w="100" w:type="dxa"/>
            <w:vAlign w:val="bottom"/>
            <w:shd w:val="clear" w:color="auto" w:fill="717295"/>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80" w:type="dxa"/>
            <w:vAlign w:val="bottom"/>
            <w:tcBorders>
              <w:right w:val="single" w:sz="8" w:color="717295"/>
            </w:tcBorders>
          </w:tcPr>
          <w:p>
            <w:pPr>
              <w:spacing w:after="0"/>
              <w:rPr>
                <w:sz w:val="13"/>
                <w:szCs w:val="13"/>
                <w:color w:val="auto"/>
              </w:rPr>
            </w:pPr>
          </w:p>
        </w:tc>
        <w:tc>
          <w:tcPr>
            <w:tcW w:w="1740" w:type="dxa"/>
            <w:vAlign w:val="bottom"/>
            <w:shd w:val="clear" w:color="auto" w:fill="717295"/>
          </w:tcPr>
          <w:p>
            <w:pPr>
              <w:spacing w:after="0"/>
              <w:rPr>
                <w:sz w:val="13"/>
                <w:szCs w:val="13"/>
                <w:color w:val="auto"/>
              </w:rPr>
            </w:pPr>
          </w:p>
        </w:tc>
        <w:tc>
          <w:tcPr>
            <w:tcW w:w="220" w:type="dxa"/>
            <w:vAlign w:val="bottom"/>
            <w:tcBorders>
              <w:right w:val="single" w:sz="8" w:color="717295"/>
            </w:tcBorders>
            <w:shd w:val="clear" w:color="auto" w:fill="717295"/>
          </w:tcPr>
          <w:p>
            <w:pPr>
              <w:spacing w:after="0"/>
              <w:rPr>
                <w:sz w:val="13"/>
                <w:szCs w:val="13"/>
                <w:color w:val="auto"/>
              </w:rPr>
            </w:pPr>
          </w:p>
        </w:tc>
        <w:tc>
          <w:tcPr>
            <w:tcW w:w="1140" w:type="dxa"/>
            <w:vAlign w:val="bottom"/>
            <w:shd w:val="clear" w:color="auto" w:fill="717295"/>
          </w:tcPr>
          <w:p>
            <w:pPr>
              <w:spacing w:after="0"/>
              <w:rPr>
                <w:sz w:val="13"/>
                <w:szCs w:val="13"/>
                <w:color w:val="auto"/>
              </w:rPr>
            </w:pPr>
          </w:p>
        </w:tc>
        <w:tc>
          <w:tcPr>
            <w:tcW w:w="40" w:type="dxa"/>
            <w:vAlign w:val="bottom"/>
            <w:shd w:val="clear" w:color="auto" w:fill="717295"/>
          </w:tcPr>
          <w:p>
            <w:pPr>
              <w:spacing w:after="0"/>
              <w:rPr>
                <w:sz w:val="13"/>
                <w:szCs w:val="13"/>
                <w:color w:val="auto"/>
              </w:rPr>
            </w:pPr>
          </w:p>
        </w:tc>
        <w:tc>
          <w:tcPr>
            <w:tcW w:w="100" w:type="dxa"/>
            <w:vAlign w:val="bottom"/>
            <w:shd w:val="clear" w:color="auto" w:fill="717295"/>
          </w:tcPr>
          <w:p>
            <w:pPr>
              <w:spacing w:after="0"/>
              <w:rPr>
                <w:sz w:val="13"/>
                <w:szCs w:val="13"/>
                <w:color w:val="auto"/>
              </w:rPr>
            </w:pPr>
          </w:p>
        </w:tc>
        <w:tc>
          <w:tcPr>
            <w:tcW w:w="340" w:type="dxa"/>
            <w:vAlign w:val="bottom"/>
            <w:shd w:val="clear" w:color="auto" w:fill="717295"/>
          </w:tcPr>
          <w:p>
            <w:pPr>
              <w:spacing w:after="0"/>
              <w:rPr>
                <w:sz w:val="13"/>
                <w:szCs w:val="13"/>
                <w:color w:val="auto"/>
              </w:rPr>
            </w:pPr>
          </w:p>
        </w:tc>
        <w:tc>
          <w:tcPr>
            <w:tcW w:w="940" w:type="dxa"/>
            <w:vAlign w:val="bottom"/>
            <w:shd w:val="clear" w:color="auto" w:fill="717295"/>
          </w:tcPr>
          <w:p>
            <w:pPr>
              <w:spacing w:after="0"/>
              <w:rPr>
                <w:sz w:val="13"/>
                <w:szCs w:val="13"/>
                <w:color w:val="auto"/>
              </w:rPr>
            </w:pPr>
          </w:p>
        </w:tc>
        <w:tc>
          <w:tcPr>
            <w:tcW w:w="140" w:type="dxa"/>
            <w:vAlign w:val="bottom"/>
            <w:shd w:val="clear" w:color="auto" w:fill="717295"/>
          </w:tcPr>
          <w:p>
            <w:pPr>
              <w:spacing w:after="0"/>
              <w:rPr>
                <w:sz w:val="13"/>
                <w:szCs w:val="13"/>
                <w:color w:val="auto"/>
              </w:rPr>
            </w:pPr>
          </w:p>
        </w:tc>
        <w:tc>
          <w:tcPr>
            <w:tcW w:w="480" w:type="dxa"/>
            <w:vAlign w:val="bottom"/>
            <w:shd w:val="clear" w:color="auto" w:fill="717295"/>
          </w:tcPr>
          <w:p>
            <w:pPr>
              <w:spacing w:after="0"/>
              <w:rPr>
                <w:sz w:val="13"/>
                <w:szCs w:val="13"/>
                <w:color w:val="auto"/>
              </w:rPr>
            </w:pPr>
          </w:p>
        </w:tc>
        <w:tc>
          <w:tcPr>
            <w:tcW w:w="1040" w:type="dxa"/>
            <w:vAlign w:val="bottom"/>
            <w:shd w:val="clear" w:color="auto" w:fill="717295"/>
          </w:tcPr>
          <w:p>
            <w:pPr>
              <w:spacing w:after="0"/>
              <w:rPr>
                <w:sz w:val="13"/>
                <w:szCs w:val="13"/>
                <w:color w:val="auto"/>
              </w:rPr>
            </w:pPr>
          </w:p>
        </w:tc>
        <w:tc>
          <w:tcPr>
            <w:tcW w:w="120" w:type="dxa"/>
            <w:vAlign w:val="bottom"/>
            <w:shd w:val="clear" w:color="auto" w:fill="717295"/>
          </w:tcPr>
          <w:p>
            <w:pPr>
              <w:spacing w:after="0"/>
              <w:rPr>
                <w:sz w:val="13"/>
                <w:szCs w:val="13"/>
                <w:color w:val="auto"/>
              </w:rPr>
            </w:pPr>
          </w:p>
        </w:tc>
        <w:tc>
          <w:tcPr>
            <w:tcW w:w="96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Resignation</w:t>
            </w:r>
          </w:p>
        </w:tc>
        <w:tc>
          <w:tcPr>
            <w:tcW w:w="100" w:type="dxa"/>
            <w:vAlign w:val="bottom"/>
            <w:shd w:val="clear" w:color="auto" w:fill="717295"/>
          </w:tcPr>
          <w:p>
            <w:pPr>
              <w:spacing w:after="0"/>
              <w:rPr>
                <w:sz w:val="13"/>
                <w:szCs w:val="13"/>
                <w:color w:val="auto"/>
              </w:rPr>
            </w:pPr>
          </w:p>
        </w:tc>
        <w:tc>
          <w:tcPr>
            <w:tcW w:w="80" w:type="dxa"/>
            <w:vAlign w:val="bottom"/>
            <w:shd w:val="clear" w:color="auto" w:fill="717295"/>
          </w:tcPr>
          <w:p>
            <w:pPr>
              <w:spacing w:after="0"/>
              <w:rPr>
                <w:sz w:val="13"/>
                <w:szCs w:val="13"/>
                <w:color w:val="auto"/>
              </w:rPr>
            </w:pPr>
          </w:p>
        </w:tc>
        <w:tc>
          <w:tcPr>
            <w:tcW w:w="740" w:type="dxa"/>
            <w:vAlign w:val="bottom"/>
            <w:shd w:val="clear" w:color="auto" w:fill="717295"/>
          </w:tcPr>
          <w:p>
            <w:pPr>
              <w:spacing w:after="0"/>
              <w:rPr>
                <w:sz w:val="13"/>
                <w:szCs w:val="13"/>
                <w:color w:val="auto"/>
              </w:rPr>
            </w:pPr>
          </w:p>
        </w:tc>
        <w:tc>
          <w:tcPr>
            <w:tcW w:w="100" w:type="dxa"/>
            <w:vAlign w:val="bottom"/>
            <w:shd w:val="clear" w:color="auto" w:fill="717295"/>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 w:type="dxa"/>
            <w:vAlign w:val="bottom"/>
            <w:tcBorders>
              <w:right w:val="single" w:sz="8" w:color="717295"/>
            </w:tcBorders>
          </w:tcPr>
          <w:p>
            <w:pPr>
              <w:spacing w:after="0"/>
              <w:rPr>
                <w:sz w:val="13"/>
                <w:szCs w:val="13"/>
                <w:color w:val="auto"/>
              </w:rPr>
            </w:pPr>
          </w:p>
        </w:tc>
        <w:tc>
          <w:tcPr>
            <w:tcW w:w="1740" w:type="dxa"/>
            <w:vAlign w:val="bottom"/>
            <w:shd w:val="clear" w:color="auto" w:fill="717295"/>
          </w:tcPr>
          <w:p>
            <w:pPr>
              <w:spacing w:after="0"/>
              <w:rPr>
                <w:sz w:val="13"/>
                <w:szCs w:val="13"/>
                <w:color w:val="auto"/>
              </w:rPr>
            </w:pPr>
          </w:p>
        </w:tc>
        <w:tc>
          <w:tcPr>
            <w:tcW w:w="220" w:type="dxa"/>
            <w:vAlign w:val="bottom"/>
            <w:tcBorders>
              <w:right w:val="single" w:sz="8" w:color="717295"/>
            </w:tcBorders>
            <w:shd w:val="clear" w:color="auto" w:fill="717295"/>
          </w:tcPr>
          <w:p>
            <w:pPr>
              <w:spacing w:after="0"/>
              <w:rPr>
                <w:sz w:val="13"/>
                <w:szCs w:val="13"/>
                <w:color w:val="auto"/>
              </w:rPr>
            </w:pPr>
          </w:p>
        </w:tc>
        <w:tc>
          <w:tcPr>
            <w:tcW w:w="1140" w:type="dxa"/>
            <w:vAlign w:val="bottom"/>
            <w:shd w:val="clear" w:color="auto" w:fill="717295"/>
          </w:tcPr>
          <w:p>
            <w:pPr>
              <w:spacing w:after="0"/>
              <w:rPr>
                <w:sz w:val="13"/>
                <w:szCs w:val="13"/>
                <w:color w:val="auto"/>
              </w:rPr>
            </w:pPr>
          </w:p>
        </w:tc>
        <w:tc>
          <w:tcPr>
            <w:tcW w:w="40" w:type="dxa"/>
            <w:vAlign w:val="bottom"/>
            <w:shd w:val="clear" w:color="auto" w:fill="717295"/>
          </w:tcPr>
          <w:p>
            <w:pPr>
              <w:spacing w:after="0"/>
              <w:rPr>
                <w:sz w:val="13"/>
                <w:szCs w:val="13"/>
                <w:color w:val="auto"/>
              </w:rPr>
            </w:pPr>
          </w:p>
        </w:tc>
        <w:tc>
          <w:tcPr>
            <w:tcW w:w="100" w:type="dxa"/>
            <w:vAlign w:val="bottom"/>
            <w:shd w:val="clear" w:color="auto" w:fill="717295"/>
          </w:tcPr>
          <w:p>
            <w:pPr>
              <w:spacing w:after="0"/>
              <w:rPr>
                <w:sz w:val="13"/>
                <w:szCs w:val="13"/>
                <w:color w:val="auto"/>
              </w:rPr>
            </w:pPr>
          </w:p>
        </w:tc>
        <w:tc>
          <w:tcPr>
            <w:tcW w:w="340" w:type="dxa"/>
            <w:vAlign w:val="bottom"/>
            <w:shd w:val="clear" w:color="auto" w:fill="717295"/>
          </w:tcPr>
          <w:p>
            <w:pPr>
              <w:spacing w:after="0"/>
              <w:rPr>
                <w:sz w:val="13"/>
                <w:szCs w:val="13"/>
                <w:color w:val="auto"/>
              </w:rPr>
            </w:pPr>
          </w:p>
        </w:tc>
        <w:tc>
          <w:tcPr>
            <w:tcW w:w="940" w:type="dxa"/>
            <w:vAlign w:val="bottom"/>
            <w:shd w:val="clear" w:color="auto" w:fill="717295"/>
          </w:tcPr>
          <w:p>
            <w:pPr>
              <w:spacing w:after="0"/>
              <w:rPr>
                <w:sz w:val="13"/>
                <w:szCs w:val="13"/>
                <w:color w:val="auto"/>
              </w:rPr>
            </w:pPr>
          </w:p>
        </w:tc>
        <w:tc>
          <w:tcPr>
            <w:tcW w:w="140" w:type="dxa"/>
            <w:vAlign w:val="bottom"/>
            <w:shd w:val="clear" w:color="auto" w:fill="717295"/>
          </w:tcPr>
          <w:p>
            <w:pPr>
              <w:spacing w:after="0"/>
              <w:rPr>
                <w:sz w:val="13"/>
                <w:szCs w:val="13"/>
                <w:color w:val="auto"/>
              </w:rPr>
            </w:pPr>
          </w:p>
        </w:tc>
        <w:tc>
          <w:tcPr>
            <w:tcW w:w="1520" w:type="dxa"/>
            <w:vAlign w:val="bottom"/>
            <w:gridSpan w:val="2"/>
            <w:shd w:val="clear" w:color="auto" w:fill="717295"/>
          </w:tcPr>
          <w:p>
            <w:pPr>
              <w:jc w:val="center"/>
              <w:spacing w:after="0"/>
              <w:rPr>
                <w:sz w:val="20"/>
                <w:szCs w:val="20"/>
                <w:color w:val="auto"/>
              </w:rPr>
            </w:pPr>
            <w:r>
              <w:rPr>
                <w:rFonts w:ascii="Arial" w:cs="Arial" w:eastAsia="Arial" w:hAnsi="Arial"/>
                <w:sz w:val="14"/>
                <w:szCs w:val="14"/>
                <w:b w:val="1"/>
                <w:bCs w:val="1"/>
                <w:color w:val="FFFFFF"/>
              </w:rPr>
              <w:t>Termination without</w:t>
            </w:r>
          </w:p>
        </w:tc>
        <w:tc>
          <w:tcPr>
            <w:tcW w:w="120" w:type="dxa"/>
            <w:vAlign w:val="bottom"/>
            <w:shd w:val="clear" w:color="auto" w:fill="717295"/>
          </w:tcPr>
          <w:p>
            <w:pPr>
              <w:spacing w:after="0"/>
              <w:rPr>
                <w:sz w:val="13"/>
                <w:szCs w:val="13"/>
                <w:color w:val="auto"/>
              </w:rPr>
            </w:pPr>
          </w:p>
        </w:tc>
        <w:tc>
          <w:tcPr>
            <w:tcW w:w="96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without</w:t>
            </w:r>
          </w:p>
        </w:tc>
        <w:tc>
          <w:tcPr>
            <w:tcW w:w="100" w:type="dxa"/>
            <w:vAlign w:val="bottom"/>
            <w:shd w:val="clear" w:color="auto" w:fill="717295"/>
          </w:tcPr>
          <w:p>
            <w:pPr>
              <w:spacing w:after="0"/>
              <w:rPr>
                <w:sz w:val="13"/>
                <w:szCs w:val="13"/>
                <w:color w:val="auto"/>
              </w:rPr>
            </w:pPr>
          </w:p>
        </w:tc>
        <w:tc>
          <w:tcPr>
            <w:tcW w:w="80" w:type="dxa"/>
            <w:vAlign w:val="bottom"/>
            <w:shd w:val="clear" w:color="auto" w:fill="717295"/>
          </w:tcPr>
          <w:p>
            <w:pPr>
              <w:spacing w:after="0"/>
              <w:rPr>
                <w:sz w:val="13"/>
                <w:szCs w:val="13"/>
                <w:color w:val="auto"/>
              </w:rPr>
            </w:pPr>
          </w:p>
        </w:tc>
        <w:tc>
          <w:tcPr>
            <w:tcW w:w="740" w:type="dxa"/>
            <w:vAlign w:val="bottom"/>
            <w:shd w:val="clear" w:color="auto" w:fill="717295"/>
          </w:tcPr>
          <w:p>
            <w:pPr>
              <w:spacing w:after="0"/>
              <w:rPr>
                <w:sz w:val="13"/>
                <w:szCs w:val="13"/>
                <w:color w:val="auto"/>
              </w:rPr>
            </w:pPr>
          </w:p>
        </w:tc>
        <w:tc>
          <w:tcPr>
            <w:tcW w:w="100" w:type="dxa"/>
            <w:vAlign w:val="bottom"/>
            <w:shd w:val="clear" w:color="auto" w:fill="717295"/>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 w:type="dxa"/>
            <w:vAlign w:val="bottom"/>
            <w:tcBorders>
              <w:right w:val="single" w:sz="8" w:color="717295"/>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shd w:val="clear" w:color="auto" w:fill="717295"/>
          </w:tcPr>
          <w:p>
            <w:pPr>
              <w:spacing w:after="0"/>
              <w:rPr>
                <w:sz w:val="14"/>
                <w:szCs w:val="14"/>
                <w:color w:val="auto"/>
              </w:rPr>
            </w:pPr>
          </w:p>
        </w:tc>
        <w:tc>
          <w:tcPr>
            <w:tcW w:w="220" w:type="dxa"/>
            <w:vAlign w:val="bottom"/>
            <w:tcBorders>
              <w:right w:val="single" w:sz="8" w:color="717295"/>
            </w:tcBorders>
            <w:shd w:val="clear" w:color="auto" w:fill="717295"/>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vMerge w:val="restart"/>
            <w:shd w:val="clear" w:color="auto" w:fill="717295"/>
          </w:tcPr>
          <w:p>
            <w:pPr>
              <w:jc w:val="center"/>
              <w:spacing w:after="0"/>
              <w:rPr>
                <w:sz w:val="20"/>
                <w:szCs w:val="20"/>
                <w:color w:val="auto"/>
              </w:rPr>
            </w:pPr>
            <w:r>
              <w:rPr>
                <w:rFonts w:ascii="Arial" w:cs="Arial" w:eastAsia="Arial" w:hAnsi="Arial"/>
                <w:sz w:val="14"/>
                <w:szCs w:val="14"/>
                <w:b w:val="1"/>
                <w:bCs w:val="1"/>
                <w:color w:val="FFFFFF"/>
              </w:rPr>
              <w:t>Change in</w:t>
            </w:r>
          </w:p>
        </w:tc>
        <w:tc>
          <w:tcPr>
            <w:tcW w:w="140" w:type="dxa"/>
            <w:vAlign w:val="bottom"/>
            <w:gridSpan w:val="2"/>
            <w:shd w:val="clear" w:color="auto" w:fill="717295"/>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gridSpan w:val="2"/>
            <w:shd w:val="clear" w:color="auto" w:fill="717295"/>
          </w:tcPr>
          <w:p>
            <w:pPr>
              <w:jc w:val="center"/>
              <w:spacing w:after="0"/>
              <w:rPr>
                <w:sz w:val="20"/>
                <w:szCs w:val="20"/>
                <w:color w:val="auto"/>
              </w:rPr>
            </w:pPr>
            <w:r>
              <w:rPr>
                <w:rFonts w:ascii="Arial" w:cs="Arial" w:eastAsia="Arial" w:hAnsi="Arial"/>
                <w:sz w:val="14"/>
                <w:szCs w:val="14"/>
                <w:b w:val="1"/>
                <w:bCs w:val="1"/>
                <w:color w:val="FFFFFF"/>
              </w:rPr>
              <w:t>Involuntary</w:t>
            </w:r>
          </w:p>
        </w:tc>
        <w:tc>
          <w:tcPr>
            <w:tcW w:w="140" w:type="dxa"/>
            <w:vAlign w:val="bottom"/>
            <w:shd w:val="clear" w:color="auto" w:fill="717295"/>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520" w:type="dxa"/>
            <w:vAlign w:val="bottom"/>
            <w:gridSpan w:val="2"/>
            <w:shd w:val="clear" w:color="auto" w:fill="717295"/>
          </w:tcPr>
          <w:p>
            <w:pPr>
              <w:jc w:val="center"/>
              <w:spacing w:after="0"/>
              <w:rPr>
                <w:sz w:val="20"/>
                <w:szCs w:val="20"/>
                <w:color w:val="auto"/>
              </w:rPr>
            </w:pPr>
            <w:r>
              <w:rPr>
                <w:rFonts w:ascii="Arial" w:cs="Arial" w:eastAsia="Arial" w:hAnsi="Arial"/>
                <w:sz w:val="14"/>
                <w:szCs w:val="14"/>
                <w:b w:val="1"/>
                <w:bCs w:val="1"/>
                <w:color w:val="FFFFFF"/>
              </w:rPr>
              <w:t>Cause or Resignation</w:t>
            </w:r>
          </w:p>
        </w:tc>
        <w:tc>
          <w:tcPr>
            <w:tcW w:w="120" w:type="dxa"/>
            <w:vAlign w:val="bottom"/>
            <w:shd w:val="clear" w:color="auto" w:fill="717295"/>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gridSpan w:val="2"/>
            <w:shd w:val="clear" w:color="auto" w:fill="717295"/>
          </w:tcPr>
          <w:p>
            <w:pPr>
              <w:jc w:val="right"/>
              <w:ind w:right="22"/>
              <w:spacing w:after="0"/>
              <w:rPr>
                <w:sz w:val="20"/>
                <w:szCs w:val="20"/>
                <w:color w:val="auto"/>
              </w:rPr>
            </w:pPr>
            <w:r>
              <w:rPr>
                <w:rFonts w:ascii="Arial" w:cs="Arial" w:eastAsia="Arial" w:hAnsi="Arial"/>
                <w:sz w:val="14"/>
                <w:szCs w:val="14"/>
                <w:b w:val="1"/>
                <w:bCs w:val="1"/>
                <w:color w:val="FFFFFF"/>
              </w:rPr>
              <w:t xml:space="preserve">Good Reason </w:t>
            </w:r>
            <w:r>
              <w:rPr>
                <w:rFonts w:ascii="Times New Roman" w:cs="Times New Roman" w:eastAsia="Times New Roman" w:hAnsi="Times New Roman"/>
                <w:sz w:val="7"/>
                <w:szCs w:val="7"/>
                <w:color w:val="000000"/>
                <w:vertAlign w:val="subscript"/>
              </w:rPr>
              <w:t>​</w:t>
            </w:r>
          </w:p>
        </w:tc>
        <w:tc>
          <w:tcPr>
            <w:tcW w:w="80" w:type="dxa"/>
            <w:vAlign w:val="bottom"/>
            <w:shd w:val="clear" w:color="auto" w:fill="717295"/>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shd w:val="clear" w:color="auto" w:fill="717295"/>
          </w:tcPr>
          <w:p>
            <w:pPr>
              <w:spacing w:after="0"/>
              <w:rPr>
                <w:sz w:val="14"/>
                <w:szCs w:val="14"/>
                <w:color w:val="auto"/>
              </w:rPr>
            </w:pPr>
          </w:p>
        </w:tc>
        <w:tc>
          <w:tcPr>
            <w:tcW w:w="100" w:type="dxa"/>
            <w:vAlign w:val="bottom"/>
            <w:shd w:val="clear" w:color="auto" w:fill="717295"/>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151"/>
        </w:trPr>
        <w:tc>
          <w:tcPr>
            <w:tcW w:w="80" w:type="dxa"/>
            <w:vAlign w:val="bottom"/>
            <w:tcBorders>
              <w:right w:val="single" w:sz="8" w:color="717295"/>
            </w:tcBorders>
          </w:tcPr>
          <w:p>
            <w:pPr>
              <w:spacing w:after="0"/>
              <w:rPr>
                <w:sz w:val="13"/>
                <w:szCs w:val="13"/>
                <w:color w:val="auto"/>
              </w:rPr>
            </w:pPr>
          </w:p>
        </w:tc>
        <w:tc>
          <w:tcPr>
            <w:tcW w:w="1740" w:type="dxa"/>
            <w:vAlign w:val="bottom"/>
            <w:shd w:val="clear" w:color="auto" w:fill="717295"/>
          </w:tcPr>
          <w:p>
            <w:pPr>
              <w:spacing w:after="0"/>
              <w:rPr>
                <w:sz w:val="13"/>
                <w:szCs w:val="13"/>
                <w:color w:val="auto"/>
              </w:rPr>
            </w:pPr>
          </w:p>
        </w:tc>
        <w:tc>
          <w:tcPr>
            <w:tcW w:w="220" w:type="dxa"/>
            <w:vAlign w:val="bottom"/>
            <w:tcBorders>
              <w:right w:val="single" w:sz="8" w:color="717295"/>
            </w:tcBorders>
            <w:shd w:val="clear" w:color="auto" w:fill="717295"/>
          </w:tcPr>
          <w:p>
            <w:pPr>
              <w:spacing w:after="0"/>
              <w:rPr>
                <w:sz w:val="13"/>
                <w:szCs w:val="13"/>
                <w:color w:val="auto"/>
              </w:rPr>
            </w:pPr>
          </w:p>
        </w:tc>
        <w:tc>
          <w:tcPr>
            <w:tcW w:w="1140" w:type="dxa"/>
            <w:vAlign w:val="bottom"/>
            <w:vMerge w:val="continue"/>
            <w:shd w:val="clear" w:color="auto" w:fill="717295"/>
          </w:tcPr>
          <w:p>
            <w:pPr>
              <w:spacing w:after="0"/>
              <w:rPr>
                <w:sz w:val="13"/>
                <w:szCs w:val="13"/>
                <w:color w:val="auto"/>
              </w:rPr>
            </w:pPr>
          </w:p>
        </w:tc>
        <w:tc>
          <w:tcPr>
            <w:tcW w:w="40" w:type="dxa"/>
            <w:vAlign w:val="bottom"/>
            <w:shd w:val="clear" w:color="auto" w:fill="717295"/>
          </w:tcPr>
          <w:p>
            <w:pPr>
              <w:spacing w:after="0"/>
              <w:rPr>
                <w:sz w:val="13"/>
                <w:szCs w:val="13"/>
                <w:color w:val="auto"/>
              </w:rPr>
            </w:pPr>
          </w:p>
        </w:tc>
        <w:tc>
          <w:tcPr>
            <w:tcW w:w="100" w:type="dxa"/>
            <w:vAlign w:val="bottom"/>
            <w:shd w:val="clear" w:color="auto" w:fill="717295"/>
          </w:tcPr>
          <w:p>
            <w:pPr>
              <w:spacing w:after="0"/>
              <w:rPr>
                <w:sz w:val="13"/>
                <w:szCs w:val="13"/>
                <w:color w:val="auto"/>
              </w:rPr>
            </w:pPr>
          </w:p>
        </w:tc>
        <w:tc>
          <w:tcPr>
            <w:tcW w:w="1280" w:type="dxa"/>
            <w:vAlign w:val="bottom"/>
            <w:gridSpan w:val="2"/>
            <w:shd w:val="clear" w:color="auto" w:fill="717295"/>
          </w:tcPr>
          <w:p>
            <w:pPr>
              <w:jc w:val="center"/>
              <w:spacing w:after="0" w:line="151" w:lineRule="exact"/>
              <w:rPr>
                <w:sz w:val="20"/>
                <w:szCs w:val="20"/>
                <w:color w:val="auto"/>
              </w:rPr>
            </w:pPr>
            <w:r>
              <w:rPr>
                <w:rFonts w:ascii="Arial" w:cs="Arial" w:eastAsia="Arial" w:hAnsi="Arial"/>
                <w:sz w:val="14"/>
                <w:szCs w:val="14"/>
                <w:b w:val="1"/>
                <w:bCs w:val="1"/>
                <w:color w:val="FFFFFF"/>
                <w:w w:val="99"/>
              </w:rPr>
              <w:t>Termination in</w:t>
            </w:r>
          </w:p>
        </w:tc>
        <w:tc>
          <w:tcPr>
            <w:tcW w:w="140" w:type="dxa"/>
            <w:vAlign w:val="bottom"/>
            <w:shd w:val="clear" w:color="auto" w:fill="717295"/>
          </w:tcPr>
          <w:p>
            <w:pPr>
              <w:spacing w:after="0"/>
              <w:rPr>
                <w:sz w:val="13"/>
                <w:szCs w:val="13"/>
                <w:color w:val="auto"/>
              </w:rPr>
            </w:pPr>
          </w:p>
        </w:tc>
        <w:tc>
          <w:tcPr>
            <w:tcW w:w="1520" w:type="dxa"/>
            <w:vAlign w:val="bottom"/>
            <w:gridSpan w:val="2"/>
            <w:shd w:val="clear" w:color="auto" w:fill="717295"/>
          </w:tcPr>
          <w:p>
            <w:pPr>
              <w:jc w:val="center"/>
              <w:spacing w:after="0" w:line="151" w:lineRule="exact"/>
              <w:rPr>
                <w:sz w:val="20"/>
                <w:szCs w:val="20"/>
                <w:color w:val="auto"/>
              </w:rPr>
            </w:pPr>
            <w:r>
              <w:rPr>
                <w:rFonts w:ascii="Arial" w:cs="Arial" w:eastAsia="Arial" w:hAnsi="Arial"/>
                <w:sz w:val="14"/>
                <w:szCs w:val="14"/>
                <w:b w:val="1"/>
                <w:bCs w:val="1"/>
                <w:color w:val="FFFFFF"/>
              </w:rPr>
              <w:t>for Good Reason</w:t>
            </w:r>
          </w:p>
        </w:tc>
        <w:tc>
          <w:tcPr>
            <w:tcW w:w="120" w:type="dxa"/>
            <w:vAlign w:val="bottom"/>
            <w:shd w:val="clear" w:color="auto" w:fill="717295"/>
          </w:tcPr>
          <w:p>
            <w:pPr>
              <w:spacing w:after="0"/>
              <w:rPr>
                <w:sz w:val="13"/>
                <w:szCs w:val="13"/>
                <w:color w:val="auto"/>
              </w:rPr>
            </w:pPr>
          </w:p>
        </w:tc>
        <w:tc>
          <w:tcPr>
            <w:tcW w:w="960" w:type="dxa"/>
            <w:vAlign w:val="bottom"/>
            <w:shd w:val="clear" w:color="auto" w:fill="717295"/>
          </w:tcPr>
          <w:p>
            <w:pPr>
              <w:jc w:val="center"/>
              <w:spacing w:after="0" w:line="151" w:lineRule="exact"/>
              <w:rPr>
                <w:sz w:val="20"/>
                <w:szCs w:val="20"/>
                <w:color w:val="auto"/>
              </w:rPr>
            </w:pPr>
            <w:r>
              <w:rPr>
                <w:rFonts w:ascii="Arial" w:cs="Arial" w:eastAsia="Arial" w:hAnsi="Arial"/>
                <w:sz w:val="14"/>
                <w:szCs w:val="14"/>
                <w:b w:val="1"/>
                <w:bCs w:val="1"/>
                <w:color w:val="FFFFFF"/>
              </w:rPr>
              <w:t>Or</w:t>
            </w:r>
          </w:p>
        </w:tc>
        <w:tc>
          <w:tcPr>
            <w:tcW w:w="100" w:type="dxa"/>
            <w:vAlign w:val="bottom"/>
            <w:shd w:val="clear" w:color="auto" w:fill="717295"/>
          </w:tcPr>
          <w:p>
            <w:pPr>
              <w:spacing w:after="0"/>
              <w:rPr>
                <w:sz w:val="13"/>
                <w:szCs w:val="13"/>
                <w:color w:val="auto"/>
              </w:rPr>
            </w:pPr>
          </w:p>
        </w:tc>
        <w:tc>
          <w:tcPr>
            <w:tcW w:w="80" w:type="dxa"/>
            <w:vAlign w:val="bottom"/>
            <w:shd w:val="clear" w:color="auto" w:fill="717295"/>
          </w:tcPr>
          <w:p>
            <w:pPr>
              <w:spacing w:after="0"/>
              <w:rPr>
                <w:sz w:val="13"/>
                <w:szCs w:val="13"/>
                <w:color w:val="auto"/>
              </w:rPr>
            </w:pPr>
          </w:p>
        </w:tc>
        <w:tc>
          <w:tcPr>
            <w:tcW w:w="740" w:type="dxa"/>
            <w:vAlign w:val="bottom"/>
            <w:shd w:val="clear" w:color="auto" w:fill="717295"/>
          </w:tcPr>
          <w:p>
            <w:pPr>
              <w:spacing w:after="0"/>
              <w:rPr>
                <w:sz w:val="13"/>
                <w:szCs w:val="13"/>
                <w:color w:val="auto"/>
              </w:rPr>
            </w:pPr>
          </w:p>
        </w:tc>
        <w:tc>
          <w:tcPr>
            <w:tcW w:w="100" w:type="dxa"/>
            <w:vAlign w:val="bottom"/>
            <w:shd w:val="clear" w:color="auto" w:fill="717295"/>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 w:type="dxa"/>
            <w:vAlign w:val="bottom"/>
            <w:tcBorders>
              <w:right w:val="single" w:sz="8" w:color="717295"/>
            </w:tcBorders>
          </w:tcPr>
          <w:p>
            <w:pPr>
              <w:spacing w:after="0"/>
              <w:rPr>
                <w:sz w:val="13"/>
                <w:szCs w:val="13"/>
                <w:color w:val="auto"/>
              </w:rPr>
            </w:pPr>
          </w:p>
        </w:tc>
        <w:tc>
          <w:tcPr>
            <w:tcW w:w="1740" w:type="dxa"/>
            <w:vAlign w:val="bottom"/>
            <w:shd w:val="clear" w:color="auto" w:fill="717295"/>
          </w:tcPr>
          <w:p>
            <w:pPr>
              <w:spacing w:after="0"/>
              <w:rPr>
                <w:sz w:val="13"/>
                <w:szCs w:val="13"/>
                <w:color w:val="auto"/>
              </w:rPr>
            </w:pPr>
          </w:p>
        </w:tc>
        <w:tc>
          <w:tcPr>
            <w:tcW w:w="220" w:type="dxa"/>
            <w:vAlign w:val="bottom"/>
            <w:tcBorders>
              <w:right w:val="single" w:sz="8" w:color="717295"/>
            </w:tcBorders>
            <w:shd w:val="clear" w:color="auto" w:fill="717295"/>
          </w:tcPr>
          <w:p>
            <w:pPr>
              <w:spacing w:after="0"/>
              <w:rPr>
                <w:sz w:val="13"/>
                <w:szCs w:val="13"/>
                <w:color w:val="auto"/>
              </w:rPr>
            </w:pPr>
          </w:p>
        </w:tc>
        <w:tc>
          <w:tcPr>
            <w:tcW w:w="114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Control</w:t>
            </w:r>
          </w:p>
        </w:tc>
        <w:tc>
          <w:tcPr>
            <w:tcW w:w="40" w:type="dxa"/>
            <w:vAlign w:val="bottom"/>
            <w:shd w:val="clear" w:color="auto" w:fill="717295"/>
          </w:tcPr>
          <w:p>
            <w:pPr>
              <w:spacing w:after="0"/>
              <w:rPr>
                <w:sz w:val="13"/>
                <w:szCs w:val="13"/>
                <w:color w:val="auto"/>
              </w:rPr>
            </w:pPr>
          </w:p>
        </w:tc>
        <w:tc>
          <w:tcPr>
            <w:tcW w:w="100" w:type="dxa"/>
            <w:vAlign w:val="bottom"/>
            <w:shd w:val="clear" w:color="auto" w:fill="717295"/>
          </w:tcPr>
          <w:p>
            <w:pPr>
              <w:spacing w:after="0"/>
              <w:rPr>
                <w:sz w:val="13"/>
                <w:szCs w:val="13"/>
                <w:color w:val="auto"/>
              </w:rPr>
            </w:pPr>
          </w:p>
        </w:tc>
        <w:tc>
          <w:tcPr>
            <w:tcW w:w="1280" w:type="dxa"/>
            <w:vAlign w:val="bottom"/>
            <w:gridSpan w:val="2"/>
            <w:shd w:val="clear" w:color="auto" w:fill="717295"/>
          </w:tcPr>
          <w:p>
            <w:pPr>
              <w:jc w:val="center"/>
              <w:spacing w:after="0"/>
              <w:rPr>
                <w:sz w:val="20"/>
                <w:szCs w:val="20"/>
                <w:color w:val="auto"/>
              </w:rPr>
            </w:pPr>
            <w:r>
              <w:rPr>
                <w:rFonts w:ascii="Arial" w:cs="Arial" w:eastAsia="Arial" w:hAnsi="Arial"/>
                <w:sz w:val="14"/>
                <w:szCs w:val="14"/>
                <w:b w:val="1"/>
                <w:bCs w:val="1"/>
                <w:color w:val="FFFFFF"/>
              </w:rPr>
              <w:t>Connection with</w:t>
            </w:r>
          </w:p>
        </w:tc>
        <w:tc>
          <w:tcPr>
            <w:tcW w:w="140" w:type="dxa"/>
            <w:vAlign w:val="bottom"/>
            <w:shd w:val="clear" w:color="auto" w:fill="717295"/>
          </w:tcPr>
          <w:p>
            <w:pPr>
              <w:spacing w:after="0"/>
              <w:rPr>
                <w:sz w:val="13"/>
                <w:szCs w:val="13"/>
                <w:color w:val="auto"/>
              </w:rPr>
            </w:pPr>
          </w:p>
        </w:tc>
        <w:tc>
          <w:tcPr>
            <w:tcW w:w="1520" w:type="dxa"/>
            <w:vAlign w:val="bottom"/>
            <w:gridSpan w:val="2"/>
            <w:shd w:val="clear" w:color="auto" w:fill="717295"/>
          </w:tcPr>
          <w:p>
            <w:pPr>
              <w:jc w:val="center"/>
              <w:spacing w:after="0"/>
              <w:rPr>
                <w:sz w:val="20"/>
                <w:szCs w:val="20"/>
                <w:color w:val="auto"/>
              </w:rPr>
            </w:pPr>
            <w:r>
              <w:rPr>
                <w:rFonts w:ascii="Arial" w:cs="Arial" w:eastAsia="Arial" w:hAnsi="Arial"/>
                <w:sz w:val="14"/>
                <w:szCs w:val="14"/>
                <w:b w:val="1"/>
                <w:bCs w:val="1"/>
                <w:color w:val="FFFFFF"/>
              </w:rPr>
              <w:t>(No Change in</w:t>
            </w:r>
          </w:p>
        </w:tc>
        <w:tc>
          <w:tcPr>
            <w:tcW w:w="120" w:type="dxa"/>
            <w:vAlign w:val="bottom"/>
            <w:shd w:val="clear" w:color="auto" w:fill="717295"/>
          </w:tcPr>
          <w:p>
            <w:pPr>
              <w:spacing w:after="0"/>
              <w:rPr>
                <w:sz w:val="13"/>
                <w:szCs w:val="13"/>
                <w:color w:val="auto"/>
              </w:rPr>
            </w:pPr>
          </w:p>
        </w:tc>
        <w:tc>
          <w:tcPr>
            <w:tcW w:w="96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Termination</w:t>
            </w:r>
          </w:p>
        </w:tc>
        <w:tc>
          <w:tcPr>
            <w:tcW w:w="100" w:type="dxa"/>
            <w:vAlign w:val="bottom"/>
            <w:shd w:val="clear" w:color="auto" w:fill="717295"/>
          </w:tcPr>
          <w:p>
            <w:pPr>
              <w:spacing w:after="0"/>
              <w:rPr>
                <w:sz w:val="13"/>
                <w:szCs w:val="13"/>
                <w:color w:val="auto"/>
              </w:rPr>
            </w:pPr>
          </w:p>
        </w:tc>
        <w:tc>
          <w:tcPr>
            <w:tcW w:w="80" w:type="dxa"/>
            <w:vAlign w:val="bottom"/>
            <w:shd w:val="clear" w:color="auto" w:fill="717295"/>
          </w:tcPr>
          <w:p>
            <w:pPr>
              <w:spacing w:after="0"/>
              <w:rPr>
                <w:sz w:val="13"/>
                <w:szCs w:val="13"/>
                <w:color w:val="auto"/>
              </w:rPr>
            </w:pPr>
          </w:p>
        </w:tc>
        <w:tc>
          <w:tcPr>
            <w:tcW w:w="74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Death/</w:t>
            </w:r>
          </w:p>
        </w:tc>
        <w:tc>
          <w:tcPr>
            <w:tcW w:w="100" w:type="dxa"/>
            <w:vAlign w:val="bottom"/>
            <w:shd w:val="clear" w:color="auto" w:fill="717295"/>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0" w:type="dxa"/>
            <w:vAlign w:val="bottom"/>
            <w:tcBorders>
              <w:right w:val="single" w:sz="8" w:color="717295"/>
            </w:tcBorders>
          </w:tcPr>
          <w:p>
            <w:pPr>
              <w:spacing w:after="0"/>
              <w:rPr>
                <w:sz w:val="13"/>
                <w:szCs w:val="13"/>
                <w:color w:val="auto"/>
              </w:rPr>
            </w:pPr>
          </w:p>
        </w:tc>
        <w:tc>
          <w:tcPr>
            <w:tcW w:w="1740" w:type="dxa"/>
            <w:vAlign w:val="bottom"/>
            <w:shd w:val="clear" w:color="auto" w:fill="717295"/>
          </w:tcPr>
          <w:p>
            <w:pPr>
              <w:spacing w:after="0"/>
              <w:rPr>
                <w:sz w:val="13"/>
                <w:szCs w:val="13"/>
                <w:color w:val="auto"/>
              </w:rPr>
            </w:pPr>
          </w:p>
        </w:tc>
        <w:tc>
          <w:tcPr>
            <w:tcW w:w="220" w:type="dxa"/>
            <w:vAlign w:val="bottom"/>
            <w:tcBorders>
              <w:right w:val="single" w:sz="8" w:color="717295"/>
            </w:tcBorders>
            <w:shd w:val="clear" w:color="auto" w:fill="717295"/>
          </w:tcPr>
          <w:p>
            <w:pPr>
              <w:spacing w:after="0"/>
              <w:rPr>
                <w:sz w:val="13"/>
                <w:szCs w:val="13"/>
                <w:color w:val="auto"/>
              </w:rPr>
            </w:pPr>
          </w:p>
        </w:tc>
        <w:tc>
          <w:tcPr>
            <w:tcW w:w="114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w w:val="99"/>
              </w:rPr>
              <w:t>(No Termination)</w:t>
            </w:r>
          </w:p>
        </w:tc>
        <w:tc>
          <w:tcPr>
            <w:tcW w:w="40" w:type="dxa"/>
            <w:vAlign w:val="bottom"/>
            <w:shd w:val="clear" w:color="auto" w:fill="717295"/>
          </w:tcPr>
          <w:p>
            <w:pPr>
              <w:spacing w:after="0"/>
              <w:rPr>
                <w:sz w:val="13"/>
                <w:szCs w:val="13"/>
                <w:color w:val="auto"/>
              </w:rPr>
            </w:pPr>
          </w:p>
        </w:tc>
        <w:tc>
          <w:tcPr>
            <w:tcW w:w="100" w:type="dxa"/>
            <w:vAlign w:val="bottom"/>
            <w:shd w:val="clear" w:color="auto" w:fill="717295"/>
          </w:tcPr>
          <w:p>
            <w:pPr>
              <w:spacing w:after="0"/>
              <w:rPr>
                <w:sz w:val="13"/>
                <w:szCs w:val="13"/>
                <w:color w:val="auto"/>
              </w:rPr>
            </w:pPr>
          </w:p>
        </w:tc>
        <w:tc>
          <w:tcPr>
            <w:tcW w:w="1280" w:type="dxa"/>
            <w:vAlign w:val="bottom"/>
            <w:gridSpan w:val="2"/>
            <w:shd w:val="clear" w:color="auto" w:fill="717295"/>
          </w:tcPr>
          <w:p>
            <w:pPr>
              <w:jc w:val="center"/>
              <w:spacing w:after="0"/>
              <w:rPr>
                <w:sz w:val="20"/>
                <w:szCs w:val="20"/>
                <w:color w:val="auto"/>
              </w:rPr>
            </w:pPr>
            <w:r>
              <w:rPr>
                <w:rFonts w:ascii="Arial" w:cs="Arial" w:eastAsia="Arial" w:hAnsi="Arial"/>
                <w:sz w:val="14"/>
                <w:szCs w:val="14"/>
                <w:b w:val="1"/>
                <w:bCs w:val="1"/>
                <w:color w:val="FFFFFF"/>
              </w:rPr>
              <w:t>Change in Control</w:t>
            </w:r>
          </w:p>
        </w:tc>
        <w:tc>
          <w:tcPr>
            <w:tcW w:w="140" w:type="dxa"/>
            <w:vAlign w:val="bottom"/>
            <w:shd w:val="clear" w:color="auto" w:fill="717295"/>
          </w:tcPr>
          <w:p>
            <w:pPr>
              <w:spacing w:after="0"/>
              <w:rPr>
                <w:sz w:val="13"/>
                <w:szCs w:val="13"/>
                <w:color w:val="auto"/>
              </w:rPr>
            </w:pPr>
          </w:p>
        </w:tc>
        <w:tc>
          <w:tcPr>
            <w:tcW w:w="480" w:type="dxa"/>
            <w:vAlign w:val="bottom"/>
            <w:shd w:val="clear" w:color="auto" w:fill="717295"/>
          </w:tcPr>
          <w:p>
            <w:pPr>
              <w:spacing w:after="0"/>
              <w:rPr>
                <w:sz w:val="13"/>
                <w:szCs w:val="13"/>
                <w:color w:val="auto"/>
              </w:rPr>
            </w:pPr>
          </w:p>
        </w:tc>
        <w:tc>
          <w:tcPr>
            <w:tcW w:w="1040" w:type="dxa"/>
            <w:vAlign w:val="bottom"/>
            <w:shd w:val="clear" w:color="auto" w:fill="717295"/>
          </w:tcPr>
          <w:p>
            <w:pPr>
              <w:jc w:val="center"/>
              <w:ind w:right="409"/>
              <w:spacing w:after="0"/>
              <w:rPr>
                <w:sz w:val="20"/>
                <w:szCs w:val="20"/>
                <w:color w:val="auto"/>
              </w:rPr>
            </w:pPr>
            <w:r>
              <w:rPr>
                <w:rFonts w:ascii="Arial" w:cs="Arial" w:eastAsia="Arial" w:hAnsi="Arial"/>
                <w:sz w:val="14"/>
                <w:szCs w:val="14"/>
                <w:b w:val="1"/>
                <w:bCs w:val="1"/>
                <w:color w:val="FFFFFF"/>
              </w:rPr>
              <w:t>Control)</w:t>
            </w:r>
          </w:p>
        </w:tc>
        <w:tc>
          <w:tcPr>
            <w:tcW w:w="120" w:type="dxa"/>
            <w:vAlign w:val="bottom"/>
            <w:shd w:val="clear" w:color="auto" w:fill="717295"/>
          </w:tcPr>
          <w:p>
            <w:pPr>
              <w:spacing w:after="0"/>
              <w:rPr>
                <w:sz w:val="13"/>
                <w:szCs w:val="13"/>
                <w:color w:val="auto"/>
              </w:rPr>
            </w:pPr>
          </w:p>
        </w:tc>
        <w:tc>
          <w:tcPr>
            <w:tcW w:w="96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for Cause</w:t>
            </w:r>
          </w:p>
        </w:tc>
        <w:tc>
          <w:tcPr>
            <w:tcW w:w="100" w:type="dxa"/>
            <w:vAlign w:val="bottom"/>
            <w:shd w:val="clear" w:color="auto" w:fill="717295"/>
          </w:tcPr>
          <w:p>
            <w:pPr>
              <w:spacing w:after="0"/>
              <w:rPr>
                <w:sz w:val="13"/>
                <w:szCs w:val="13"/>
                <w:color w:val="auto"/>
              </w:rPr>
            </w:pPr>
          </w:p>
        </w:tc>
        <w:tc>
          <w:tcPr>
            <w:tcW w:w="80" w:type="dxa"/>
            <w:vAlign w:val="bottom"/>
            <w:shd w:val="clear" w:color="auto" w:fill="717295"/>
          </w:tcPr>
          <w:p>
            <w:pPr>
              <w:spacing w:after="0"/>
              <w:rPr>
                <w:sz w:val="13"/>
                <w:szCs w:val="13"/>
                <w:color w:val="auto"/>
              </w:rPr>
            </w:pPr>
          </w:p>
        </w:tc>
        <w:tc>
          <w:tcPr>
            <w:tcW w:w="74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Disability</w:t>
            </w:r>
          </w:p>
        </w:tc>
        <w:tc>
          <w:tcPr>
            <w:tcW w:w="100" w:type="dxa"/>
            <w:vAlign w:val="bottom"/>
            <w:shd w:val="clear" w:color="auto" w:fill="717295"/>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0" w:type="dxa"/>
            <w:vAlign w:val="bottom"/>
            <w:tcBorders>
              <w:right w:val="single" w:sz="8" w:color="717295"/>
            </w:tcBorders>
          </w:tcPr>
          <w:p>
            <w:pPr>
              <w:spacing w:after="0"/>
              <w:rPr>
                <w:sz w:val="18"/>
                <w:szCs w:val="18"/>
                <w:color w:val="auto"/>
              </w:rPr>
            </w:pPr>
          </w:p>
        </w:tc>
        <w:tc>
          <w:tcPr>
            <w:tcW w:w="1740" w:type="dxa"/>
            <w:vAlign w:val="bottom"/>
            <w:shd w:val="clear" w:color="auto" w:fill="717295"/>
          </w:tcPr>
          <w:p>
            <w:pPr>
              <w:ind w:left="40"/>
              <w:spacing w:after="0"/>
              <w:rPr>
                <w:sz w:val="20"/>
                <w:szCs w:val="20"/>
                <w:color w:val="auto"/>
              </w:rPr>
            </w:pPr>
            <w:r>
              <w:rPr>
                <w:rFonts w:ascii="Arial" w:cs="Arial" w:eastAsia="Arial" w:hAnsi="Arial"/>
                <w:sz w:val="14"/>
                <w:szCs w:val="14"/>
                <w:b w:val="1"/>
                <w:bCs w:val="1"/>
                <w:color w:val="FFFFFF"/>
              </w:rPr>
              <w:t>Name</w:t>
            </w:r>
          </w:p>
        </w:tc>
        <w:tc>
          <w:tcPr>
            <w:tcW w:w="220" w:type="dxa"/>
            <w:vAlign w:val="bottom"/>
            <w:tcBorders>
              <w:right w:val="single" w:sz="8" w:color="717295"/>
            </w:tcBorders>
            <w:shd w:val="clear" w:color="auto" w:fill="717295"/>
          </w:tcPr>
          <w:p>
            <w:pPr>
              <w:spacing w:after="0"/>
              <w:rPr>
                <w:sz w:val="18"/>
                <w:szCs w:val="18"/>
                <w:color w:val="auto"/>
              </w:rPr>
            </w:pPr>
          </w:p>
        </w:tc>
        <w:tc>
          <w:tcPr>
            <w:tcW w:w="114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w w:val="93"/>
              </w:rPr>
              <w:t>($)</w:t>
            </w:r>
          </w:p>
        </w:tc>
        <w:tc>
          <w:tcPr>
            <w:tcW w:w="40" w:type="dxa"/>
            <w:vAlign w:val="bottom"/>
            <w:shd w:val="clear" w:color="auto" w:fill="717295"/>
          </w:tcPr>
          <w:p>
            <w:pPr>
              <w:spacing w:after="0"/>
              <w:rPr>
                <w:sz w:val="18"/>
                <w:szCs w:val="18"/>
                <w:color w:val="auto"/>
              </w:rPr>
            </w:pPr>
          </w:p>
        </w:tc>
        <w:tc>
          <w:tcPr>
            <w:tcW w:w="100" w:type="dxa"/>
            <w:vAlign w:val="bottom"/>
            <w:shd w:val="clear" w:color="auto" w:fill="717295"/>
          </w:tcPr>
          <w:p>
            <w:pPr>
              <w:spacing w:after="0"/>
              <w:rPr>
                <w:sz w:val="18"/>
                <w:szCs w:val="18"/>
                <w:color w:val="auto"/>
              </w:rPr>
            </w:pPr>
          </w:p>
        </w:tc>
        <w:tc>
          <w:tcPr>
            <w:tcW w:w="340" w:type="dxa"/>
            <w:vAlign w:val="bottom"/>
            <w:shd w:val="clear" w:color="auto" w:fill="717295"/>
          </w:tcPr>
          <w:p>
            <w:pPr>
              <w:spacing w:after="0"/>
              <w:rPr>
                <w:sz w:val="18"/>
                <w:szCs w:val="18"/>
                <w:color w:val="auto"/>
              </w:rPr>
            </w:pPr>
          </w:p>
        </w:tc>
        <w:tc>
          <w:tcPr>
            <w:tcW w:w="940" w:type="dxa"/>
            <w:vAlign w:val="bottom"/>
            <w:shd w:val="clear" w:color="auto" w:fill="717295"/>
          </w:tcPr>
          <w:p>
            <w:pPr>
              <w:jc w:val="center"/>
              <w:ind w:right="209"/>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717295"/>
          </w:tcPr>
          <w:p>
            <w:pPr>
              <w:spacing w:after="0"/>
              <w:rPr>
                <w:sz w:val="18"/>
                <w:szCs w:val="18"/>
                <w:color w:val="auto"/>
              </w:rPr>
            </w:pPr>
          </w:p>
        </w:tc>
        <w:tc>
          <w:tcPr>
            <w:tcW w:w="480" w:type="dxa"/>
            <w:vAlign w:val="bottom"/>
            <w:shd w:val="clear" w:color="auto" w:fill="717295"/>
          </w:tcPr>
          <w:p>
            <w:pPr>
              <w:spacing w:after="0"/>
              <w:rPr>
                <w:sz w:val="18"/>
                <w:szCs w:val="18"/>
                <w:color w:val="auto"/>
              </w:rPr>
            </w:pPr>
          </w:p>
        </w:tc>
        <w:tc>
          <w:tcPr>
            <w:tcW w:w="1040" w:type="dxa"/>
            <w:vAlign w:val="bottom"/>
            <w:shd w:val="clear" w:color="auto" w:fill="717295"/>
          </w:tcPr>
          <w:p>
            <w:pPr>
              <w:jc w:val="center"/>
              <w:ind w:right="389"/>
              <w:spacing w:after="0"/>
              <w:rPr>
                <w:sz w:val="20"/>
                <w:szCs w:val="20"/>
                <w:color w:val="auto"/>
              </w:rPr>
            </w:pPr>
            <w:r>
              <w:rPr>
                <w:rFonts w:ascii="Arial" w:cs="Arial" w:eastAsia="Arial" w:hAnsi="Arial"/>
                <w:sz w:val="14"/>
                <w:szCs w:val="14"/>
                <w:b w:val="1"/>
                <w:bCs w:val="1"/>
                <w:color w:val="FFFFFF"/>
              </w:rPr>
              <w:t>($)</w:t>
            </w:r>
          </w:p>
        </w:tc>
        <w:tc>
          <w:tcPr>
            <w:tcW w:w="120" w:type="dxa"/>
            <w:vAlign w:val="bottom"/>
            <w:shd w:val="clear" w:color="auto" w:fill="717295"/>
          </w:tcPr>
          <w:p>
            <w:pPr>
              <w:spacing w:after="0"/>
              <w:rPr>
                <w:sz w:val="18"/>
                <w:szCs w:val="18"/>
                <w:color w:val="auto"/>
              </w:rPr>
            </w:pPr>
          </w:p>
        </w:tc>
        <w:tc>
          <w:tcPr>
            <w:tcW w:w="960" w:type="dxa"/>
            <w:vAlign w:val="bottom"/>
            <w:shd w:val="clear" w:color="auto" w:fill="717295"/>
          </w:tcPr>
          <w:p>
            <w:pPr>
              <w:jc w:val="center"/>
              <w:ind w:left="29"/>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717295"/>
          </w:tcPr>
          <w:p>
            <w:pPr>
              <w:spacing w:after="0"/>
              <w:rPr>
                <w:sz w:val="18"/>
                <w:szCs w:val="18"/>
                <w:color w:val="auto"/>
              </w:rPr>
            </w:pPr>
          </w:p>
        </w:tc>
        <w:tc>
          <w:tcPr>
            <w:tcW w:w="80" w:type="dxa"/>
            <w:vAlign w:val="bottom"/>
            <w:shd w:val="clear" w:color="auto" w:fill="717295"/>
          </w:tcPr>
          <w:p>
            <w:pPr>
              <w:spacing w:after="0"/>
              <w:rPr>
                <w:sz w:val="18"/>
                <w:szCs w:val="18"/>
                <w:color w:val="auto"/>
              </w:rPr>
            </w:pPr>
          </w:p>
        </w:tc>
        <w:tc>
          <w:tcPr>
            <w:tcW w:w="740" w:type="dxa"/>
            <w:vAlign w:val="bottom"/>
            <w:shd w:val="clear" w:color="auto" w:fill="717295"/>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717295"/>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shd w:val="clear" w:color="auto" w:fill="ACABC0"/>
          </w:tcPr>
          <w:p>
            <w:pPr>
              <w:ind w:left="40"/>
              <w:spacing w:after="0"/>
              <w:rPr>
                <w:sz w:val="20"/>
                <w:szCs w:val="20"/>
                <w:color w:val="auto"/>
              </w:rPr>
            </w:pPr>
            <w:r>
              <w:rPr>
                <w:rFonts w:ascii="Arial" w:cs="Arial" w:eastAsia="Arial" w:hAnsi="Arial"/>
                <w:sz w:val="14"/>
                <w:szCs w:val="14"/>
                <w:b w:val="1"/>
                <w:bCs w:val="1"/>
                <w:color w:val="auto"/>
              </w:rPr>
              <w:t>Andrew G. Inglis</w:t>
            </w:r>
          </w:p>
        </w:tc>
        <w:tc>
          <w:tcPr>
            <w:tcW w:w="220" w:type="dxa"/>
            <w:vAlign w:val="bottom"/>
            <w:tcBorders>
              <w:right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spacing w:after="0"/>
              <w:rPr>
                <w:sz w:val="19"/>
                <w:szCs w:val="19"/>
                <w:color w:val="auto"/>
              </w:rPr>
            </w:pPr>
          </w:p>
        </w:tc>
        <w:tc>
          <w:tcPr>
            <w:tcW w:w="140" w:type="dxa"/>
            <w:vAlign w:val="bottom"/>
            <w:gridSpan w:val="2"/>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ACABC0"/>
          </w:tcPr>
          <w:p>
            <w:pPr>
              <w:spacing w:after="0"/>
              <w:rPr>
                <w:sz w:val="19"/>
                <w:szCs w:val="19"/>
                <w:color w:val="auto"/>
              </w:rPr>
            </w:pPr>
          </w:p>
        </w:tc>
        <w:tc>
          <w:tcPr>
            <w:tcW w:w="940" w:type="dxa"/>
            <w:vAlign w:val="bottom"/>
            <w:shd w:val="clear" w:color="auto" w:fill="ACABC0"/>
          </w:tcPr>
          <w:p>
            <w:pPr>
              <w:spacing w:after="0"/>
              <w:rPr>
                <w:sz w:val="19"/>
                <w:szCs w:val="19"/>
                <w:color w:val="auto"/>
              </w:rPr>
            </w:pP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spacing w:after="0"/>
              <w:rPr>
                <w:sz w:val="19"/>
                <w:szCs w:val="19"/>
                <w:color w:val="auto"/>
              </w:rPr>
            </w:pPr>
          </w:p>
        </w:tc>
        <w:tc>
          <w:tcPr>
            <w:tcW w:w="1040" w:type="dxa"/>
            <w:vAlign w:val="bottom"/>
            <w:shd w:val="clear" w:color="auto" w:fill="ACABC0"/>
          </w:tcPr>
          <w:p>
            <w:pPr>
              <w:spacing w:after="0"/>
              <w:rPr>
                <w:sz w:val="19"/>
                <w:szCs w:val="19"/>
                <w:color w:val="auto"/>
              </w:rPr>
            </w:pP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spacing w:after="0"/>
              <w:rPr>
                <w:sz w:val="19"/>
                <w:szCs w:val="19"/>
                <w:color w:val="auto"/>
              </w:rPr>
            </w:pP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shd w:val="clear" w:color="auto" w:fill="ACABC0"/>
          </w:tcPr>
          <w:p>
            <w:pPr>
              <w:spacing w:after="0"/>
              <w:rPr>
                <w:sz w:val="19"/>
                <w:szCs w:val="19"/>
                <w:color w:val="auto"/>
              </w:rPr>
            </w:pPr>
          </w:p>
        </w:tc>
        <w:tc>
          <w:tcPr>
            <w:tcW w:w="100" w:type="dxa"/>
            <w:vAlign w:val="bottom"/>
            <w:shd w:val="clear" w:color="auto" w:fill="ACABC0"/>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56"/>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shd w:val="clear" w:color="auto" w:fill="ACABC0"/>
          </w:tcPr>
          <w:p>
            <w:pPr>
              <w:ind w:left="320"/>
              <w:spacing w:after="0" w:line="256" w:lineRule="exact"/>
              <w:rPr>
                <w:sz w:val="20"/>
                <w:szCs w:val="20"/>
                <w:color w:val="auto"/>
              </w:rPr>
            </w:pPr>
            <w:r>
              <w:rPr>
                <w:rFonts w:ascii="Arial" w:cs="Arial" w:eastAsia="Arial" w:hAnsi="Arial"/>
                <w:sz w:val="14"/>
                <w:szCs w:val="14"/>
                <w:color w:val="auto"/>
              </w:rPr>
              <w:t>Equity acceleration</w:t>
            </w:r>
            <w:r>
              <w:rPr>
                <w:rFonts w:ascii="Arial" w:cs="Arial" w:eastAsia="Arial" w:hAnsi="Arial"/>
                <w:sz w:val="23"/>
                <w:szCs w:val="23"/>
                <w:color w:val="auto"/>
                <w:vertAlign w:val="superscript"/>
              </w:rPr>
              <w:t>(1)</w:t>
            </w:r>
          </w:p>
        </w:tc>
        <w:tc>
          <w:tcPr>
            <w:tcW w:w="220" w:type="dxa"/>
            <w:vAlign w:val="bottom"/>
            <w:tcBorders>
              <w:right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color w:val="auto"/>
              </w:rPr>
              <w:t>10,911,535​</w:t>
            </w:r>
          </w:p>
        </w:tc>
        <w:tc>
          <w:tcPr>
            <w:tcW w:w="140" w:type="dxa"/>
            <w:vAlign w:val="bottom"/>
            <w:gridSpan w:val="2"/>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gridSpan w:val="2"/>
            <w:shd w:val="clear" w:color="auto" w:fill="ACABC0"/>
          </w:tcPr>
          <w:p>
            <w:pPr>
              <w:ind w:left="280"/>
              <w:spacing w:after="0"/>
              <w:rPr>
                <w:sz w:val="20"/>
                <w:szCs w:val="20"/>
                <w:color w:val="auto"/>
              </w:rPr>
            </w:pPr>
            <w:r>
              <w:rPr>
                <w:rFonts w:ascii="Arial" w:cs="Arial" w:eastAsia="Arial" w:hAnsi="Arial"/>
                <w:sz w:val="14"/>
                <w:szCs w:val="14"/>
                <w:color w:val="auto"/>
              </w:rPr>
              <w:t>​10,911,535</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spacing w:after="0"/>
              <w:rPr>
                <w:sz w:val="22"/>
                <w:szCs w:val="22"/>
                <w:color w:val="auto"/>
              </w:rPr>
            </w:pPr>
          </w:p>
        </w:tc>
        <w:tc>
          <w:tcPr>
            <w:tcW w:w="1040" w:type="dxa"/>
            <w:vAlign w:val="bottom"/>
            <w:shd w:val="clear" w:color="auto" w:fill="ACABC0"/>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10,911,535​</w:t>
            </w:r>
          </w:p>
        </w:tc>
        <w:tc>
          <w:tcPr>
            <w:tcW w:w="100" w:type="dxa"/>
            <w:vAlign w:val="bottom"/>
            <w:shd w:val="clear" w:color="auto" w:fill="ACABC0"/>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41"/>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Salary payments</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tcPr>
          <w:p>
            <w:pPr>
              <w:spacing w:after="0"/>
              <w:rPr>
                <w:sz w:val="20"/>
                <w:szCs w:val="20"/>
                <w:color w:val="auto"/>
              </w:rPr>
            </w:pPr>
          </w:p>
        </w:tc>
        <w:tc>
          <w:tcPr>
            <w:tcW w:w="940" w:type="dxa"/>
            <w:vAlign w:val="bottom"/>
          </w:tcPr>
          <w:p>
            <w:pPr>
              <w:jc w:val="right"/>
              <w:ind w:right="89"/>
              <w:spacing w:after="0" w:line="241" w:lineRule="exact"/>
              <w:rPr>
                <w:sz w:val="20"/>
                <w:szCs w:val="20"/>
                <w:color w:val="auto"/>
              </w:rPr>
            </w:pPr>
            <w:r>
              <w:rPr>
                <w:rFonts w:ascii="Arial" w:cs="Arial" w:eastAsia="Arial" w:hAnsi="Arial"/>
                <w:sz w:val="14"/>
                <w:szCs w:val="14"/>
                <w:color w:val="auto"/>
                <w:w w:val="93"/>
              </w:rPr>
              <w:t>2,056,024</w:t>
            </w:r>
            <w:r>
              <w:rPr>
                <w:rFonts w:ascii="Arial" w:cs="Arial" w:eastAsia="Arial" w:hAnsi="Arial"/>
                <w:sz w:val="23"/>
                <w:szCs w:val="23"/>
                <w:color w:val="auto"/>
                <w:w w:val="93"/>
                <w:vertAlign w:val="superscript"/>
              </w:rPr>
              <w:t>(2)</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520" w:type="dxa"/>
            <w:vAlign w:val="bottom"/>
            <w:gridSpan w:val="2"/>
          </w:tcPr>
          <w:p>
            <w:pPr>
              <w:ind w:left="420"/>
              <w:spacing w:after="0" w:line="241" w:lineRule="exact"/>
              <w:rPr>
                <w:sz w:val="20"/>
                <w:szCs w:val="20"/>
                <w:color w:val="auto"/>
              </w:rPr>
            </w:pPr>
            <w:r>
              <w:rPr>
                <w:rFonts w:ascii="Arial" w:cs="Arial" w:eastAsia="Arial" w:hAnsi="Arial"/>
                <w:sz w:val="14"/>
                <w:szCs w:val="14"/>
                <w:color w:val="auto"/>
              </w:rPr>
              <w:t>2,056,024</w:t>
            </w:r>
            <w:r>
              <w:rPr>
                <w:rFonts w:ascii="Arial" w:cs="Arial" w:eastAsia="Arial" w:hAnsi="Arial"/>
                <w:sz w:val="23"/>
                <w:szCs w:val="23"/>
                <w:color w:val="auto"/>
                <w:vertAlign w:val="superscript"/>
              </w:rPr>
              <w:t>(2)</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41"/>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Bonus</w:t>
            </w:r>
          </w:p>
        </w:tc>
        <w:tc>
          <w:tcPr>
            <w:tcW w:w="220" w:type="dxa"/>
            <w:vAlign w:val="bottom"/>
            <w:tcBorders>
              <w:right w:val="single" w:sz="8" w:color="ACABC0"/>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ACABC0"/>
          </w:tcPr>
          <w:p>
            <w:pPr>
              <w:spacing w:after="0"/>
              <w:rPr>
                <w:sz w:val="20"/>
                <w:szCs w:val="20"/>
                <w:color w:val="auto"/>
              </w:rPr>
            </w:pPr>
          </w:p>
        </w:tc>
        <w:tc>
          <w:tcPr>
            <w:tcW w:w="940" w:type="dxa"/>
            <w:vAlign w:val="bottom"/>
            <w:shd w:val="clear" w:color="auto" w:fill="ACABC0"/>
          </w:tcPr>
          <w:p>
            <w:pPr>
              <w:jc w:val="right"/>
              <w:ind w:right="89"/>
              <w:spacing w:after="0" w:line="241" w:lineRule="exact"/>
              <w:rPr>
                <w:sz w:val="20"/>
                <w:szCs w:val="20"/>
                <w:color w:val="auto"/>
              </w:rPr>
            </w:pPr>
            <w:r>
              <w:rPr>
                <w:rFonts w:ascii="Arial" w:cs="Arial" w:eastAsia="Arial" w:hAnsi="Arial"/>
                <w:sz w:val="14"/>
                <w:szCs w:val="14"/>
                <w:color w:val="auto"/>
                <w:w w:val="93"/>
              </w:rPr>
              <w:t>2,056,024</w:t>
            </w:r>
            <w:r>
              <w:rPr>
                <w:rFonts w:ascii="Arial" w:cs="Arial" w:eastAsia="Arial" w:hAnsi="Arial"/>
                <w:sz w:val="23"/>
                <w:szCs w:val="23"/>
                <w:color w:val="auto"/>
                <w:w w:val="93"/>
                <w:vertAlign w:val="superscript"/>
              </w:rPr>
              <w:t>(2)</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520" w:type="dxa"/>
            <w:vAlign w:val="bottom"/>
            <w:gridSpan w:val="2"/>
            <w:shd w:val="clear" w:color="auto" w:fill="ACABC0"/>
          </w:tcPr>
          <w:p>
            <w:pPr>
              <w:ind w:left="420"/>
              <w:spacing w:after="0" w:line="241" w:lineRule="exact"/>
              <w:rPr>
                <w:sz w:val="20"/>
                <w:szCs w:val="20"/>
                <w:color w:val="auto"/>
              </w:rPr>
            </w:pPr>
            <w:r>
              <w:rPr>
                <w:rFonts w:ascii="Arial" w:cs="Arial" w:eastAsia="Arial" w:hAnsi="Arial"/>
                <w:sz w:val="14"/>
                <w:szCs w:val="14"/>
                <w:color w:val="auto"/>
              </w:rPr>
              <w:t>2,056,024</w:t>
            </w:r>
            <w:r>
              <w:rPr>
                <w:rFonts w:ascii="Arial" w:cs="Arial" w:eastAsia="Arial" w:hAnsi="Arial"/>
                <w:sz w:val="23"/>
                <w:szCs w:val="23"/>
                <w:color w:val="auto"/>
                <w:vertAlign w:val="superscript"/>
              </w:rPr>
              <w:t>(2)</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ACABC0"/>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41"/>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Benefits continuation</w:t>
            </w:r>
          </w:p>
        </w:tc>
        <w:tc>
          <w:tcPr>
            <w:tcW w:w="220" w:type="dxa"/>
            <w:vAlign w:val="bottom"/>
            <w:tcBorders>
              <w:right w:val="single" w:sz="8" w:color="ACABC0"/>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color w:val="auto"/>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ACABC0"/>
          </w:tcPr>
          <w:p>
            <w:pPr>
              <w:ind w:left="280"/>
              <w:spacing w:after="0"/>
              <w:rPr>
                <w:sz w:val="20"/>
                <w:szCs w:val="20"/>
                <w:color w:val="auto"/>
              </w:rPr>
            </w:pPr>
            <w:r>
              <w:rPr>
                <w:rFonts w:ascii="Arial" w:cs="Arial" w:eastAsia="Arial" w:hAnsi="Arial"/>
                <w:sz w:val="14"/>
                <w:szCs w:val="14"/>
                <w:color w:val="auto"/>
              </w:rPr>
              <w:t>​</w:t>
            </w:r>
          </w:p>
        </w:tc>
        <w:tc>
          <w:tcPr>
            <w:tcW w:w="940" w:type="dxa"/>
            <w:vAlign w:val="bottom"/>
            <w:shd w:val="clear" w:color="auto" w:fill="ACABC0"/>
          </w:tcPr>
          <w:p>
            <w:pPr>
              <w:jc w:val="right"/>
              <w:ind w:right="89"/>
              <w:spacing w:after="0" w:line="241" w:lineRule="exact"/>
              <w:rPr>
                <w:sz w:val="20"/>
                <w:szCs w:val="20"/>
                <w:color w:val="auto"/>
              </w:rPr>
            </w:pPr>
            <w:r>
              <w:rPr>
                <w:rFonts w:ascii="Arial" w:cs="Arial" w:eastAsia="Arial" w:hAnsi="Arial"/>
                <w:sz w:val="14"/>
                <w:szCs w:val="14"/>
                <w:color w:val="auto"/>
              </w:rPr>
              <w:t>60,605</w:t>
            </w:r>
            <w:r>
              <w:rPr>
                <w:rFonts w:ascii="Arial" w:cs="Arial" w:eastAsia="Arial" w:hAnsi="Arial"/>
                <w:sz w:val="23"/>
                <w:szCs w:val="23"/>
                <w:color w:val="auto"/>
                <w:vertAlign w:val="superscript"/>
              </w:rPr>
              <w:t>(3)</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ind w:left="4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ACABC0"/>
          </w:tcPr>
          <w:p>
            <w:pPr>
              <w:jc w:val="right"/>
              <w:ind w:right="249"/>
              <w:spacing w:after="0" w:line="241" w:lineRule="exact"/>
              <w:rPr>
                <w:sz w:val="20"/>
                <w:szCs w:val="20"/>
                <w:color w:val="auto"/>
              </w:rPr>
            </w:pPr>
            <w:r>
              <w:rPr>
                <w:rFonts w:ascii="Arial" w:cs="Arial" w:eastAsia="Arial" w:hAnsi="Arial"/>
                <w:sz w:val="14"/>
                <w:szCs w:val="14"/>
                <w:color w:val="auto"/>
              </w:rPr>
              <w:t>60,605</w:t>
            </w:r>
            <w:r>
              <w:rPr>
                <w:rFonts w:ascii="Arial" w:cs="Arial" w:eastAsia="Arial" w:hAnsi="Arial"/>
                <w:sz w:val="23"/>
                <w:szCs w:val="23"/>
                <w:color w:val="auto"/>
                <w:vertAlign w:val="superscript"/>
              </w:rPr>
              <w:t>(3)</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ACABC0"/>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7"/>
                <w:szCs w:val="7"/>
                <w:color w:val="auto"/>
                <w:vertAlign w:val="superscript"/>
              </w:rPr>
              <w:t>​</w:t>
            </w:r>
          </w:p>
        </w:tc>
        <w:tc>
          <w:tcPr>
            <w:tcW w:w="0" w:type="dxa"/>
            <w:vAlign w:val="bottom"/>
          </w:tcPr>
          <w:p>
            <w:pPr>
              <w:spacing w:after="0"/>
              <w:rPr>
                <w:sz w:val="1"/>
                <w:szCs w:val="1"/>
                <w:color w:val="auto"/>
              </w:rPr>
            </w:pPr>
          </w:p>
        </w:tc>
      </w:tr>
      <w:tr>
        <w:trPr>
          <w:trHeight w:val="241"/>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960" w:type="dxa"/>
            <w:vAlign w:val="bottom"/>
            <w:tcBorders>
              <w:right w:val="single" w:sz="8" w:color="ACABC0"/>
            </w:tcBorders>
            <w:gridSpan w:val="2"/>
          </w:tcPr>
          <w:p>
            <w:pPr>
              <w:ind w:left="320"/>
              <w:spacing w:after="0"/>
              <w:rPr>
                <w:sz w:val="20"/>
                <w:szCs w:val="20"/>
                <w:color w:val="auto"/>
              </w:rPr>
            </w:pPr>
            <w:r>
              <w:rPr>
                <w:rFonts w:ascii="Arial" w:cs="Arial" w:eastAsia="Arial" w:hAnsi="Arial"/>
                <w:sz w:val="14"/>
                <w:szCs w:val="14"/>
                <w:color w:val="auto"/>
              </w:rPr>
              <w:t xml:space="preserve">Outplacement services </w:t>
            </w:r>
            <w:r>
              <w:rPr>
                <w:rFonts w:ascii="Times New Roman" w:cs="Times New Roman" w:eastAsia="Times New Roman" w:hAnsi="Times New Roman"/>
                <w:sz w:val="3"/>
                <w:szCs w:val="3"/>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color w:val="auto"/>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ACABC0"/>
          </w:tcPr>
          <w:p>
            <w:pPr>
              <w:spacing w:after="0"/>
              <w:rPr>
                <w:sz w:val="20"/>
                <w:szCs w:val="20"/>
                <w:color w:val="auto"/>
              </w:rPr>
            </w:pPr>
          </w:p>
        </w:tc>
        <w:tc>
          <w:tcPr>
            <w:tcW w:w="940" w:type="dxa"/>
            <w:vAlign w:val="bottom"/>
            <w:shd w:val="clear" w:color="auto" w:fill="ACABC0"/>
          </w:tcPr>
          <w:p>
            <w:pPr>
              <w:jc w:val="right"/>
              <w:ind w:right="89"/>
              <w:spacing w:after="0" w:line="241" w:lineRule="exact"/>
              <w:rPr>
                <w:sz w:val="20"/>
                <w:szCs w:val="20"/>
                <w:color w:val="auto"/>
              </w:rPr>
            </w:pPr>
            <w:r>
              <w:rPr>
                <w:rFonts w:ascii="Arial" w:cs="Arial" w:eastAsia="Arial" w:hAnsi="Arial"/>
                <w:sz w:val="14"/>
                <w:szCs w:val="14"/>
                <w:color w:val="auto"/>
              </w:rPr>
              <w:t>20,700</w:t>
            </w:r>
            <w:r>
              <w:rPr>
                <w:rFonts w:ascii="Arial" w:cs="Arial" w:eastAsia="Arial" w:hAnsi="Arial"/>
                <w:sz w:val="23"/>
                <w:szCs w:val="23"/>
                <w:color w:val="auto"/>
                <w:vertAlign w:val="superscript"/>
              </w:rPr>
              <w:t>(4)</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spacing w:after="0"/>
              <w:rPr>
                <w:sz w:val="20"/>
                <w:szCs w:val="20"/>
                <w:color w:val="auto"/>
              </w:rPr>
            </w:pPr>
          </w:p>
        </w:tc>
        <w:tc>
          <w:tcPr>
            <w:tcW w:w="1040" w:type="dxa"/>
            <w:vAlign w:val="bottom"/>
            <w:shd w:val="clear" w:color="auto" w:fill="ACABC0"/>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ACABC0"/>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20"/>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Relocation</w:t>
            </w:r>
          </w:p>
        </w:tc>
        <w:tc>
          <w:tcPr>
            <w:tcW w:w="220" w:type="dxa"/>
            <w:vAlign w:val="bottom"/>
            <w:tcBorders>
              <w:right w:val="single" w:sz="8" w:color="ACABC0"/>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color w:val="auto"/>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ACABC0"/>
          </w:tcPr>
          <w:p>
            <w:pPr>
              <w:spacing w:after="0"/>
              <w:rPr>
                <w:sz w:val="19"/>
                <w:szCs w:val="19"/>
                <w:color w:val="auto"/>
              </w:rPr>
            </w:pPr>
          </w:p>
        </w:tc>
        <w:tc>
          <w:tcPr>
            <w:tcW w:w="940" w:type="dxa"/>
            <w:vAlign w:val="bottom"/>
            <w:shd w:val="clear" w:color="auto" w:fill="ACABC0"/>
          </w:tcPr>
          <w:p>
            <w:pPr>
              <w:jc w:val="right"/>
              <w:ind w:right="229"/>
              <w:spacing w:after="0"/>
              <w:rPr>
                <w:sz w:val="20"/>
                <w:szCs w:val="20"/>
                <w:color w:val="auto"/>
              </w:rPr>
            </w:pPr>
            <w:r>
              <w:rPr>
                <w:rFonts w:ascii="Arial" w:cs="Arial" w:eastAsia="Arial" w:hAnsi="Arial"/>
                <w:sz w:val="14"/>
                <w:szCs w:val="14"/>
                <w:color w:val="auto"/>
              </w:rPr>
              <w:t>—</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spacing w:after="0"/>
              <w:rPr>
                <w:sz w:val="19"/>
                <w:szCs w:val="19"/>
                <w:color w:val="auto"/>
              </w:rPr>
            </w:pPr>
          </w:p>
        </w:tc>
        <w:tc>
          <w:tcPr>
            <w:tcW w:w="1040" w:type="dxa"/>
            <w:vAlign w:val="bottom"/>
            <w:shd w:val="clear" w:color="auto" w:fill="ACABC0"/>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ACABC0"/>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62"/>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580"/>
              <w:spacing w:after="0"/>
              <w:rPr>
                <w:sz w:val="20"/>
                <w:szCs w:val="20"/>
                <w:color w:val="auto"/>
              </w:rPr>
            </w:pPr>
            <w:r>
              <w:rPr>
                <w:rFonts w:ascii="Arial" w:cs="Arial" w:eastAsia="Arial" w:hAnsi="Arial"/>
                <w:sz w:val="14"/>
                <w:szCs w:val="14"/>
                <w:b w:val="1"/>
                <w:bCs w:val="1"/>
                <w:i w:val="1"/>
                <w:iCs w:val="1"/>
                <w:color w:val="auto"/>
              </w:rPr>
              <w:t>Total</w:t>
            </w:r>
          </w:p>
        </w:tc>
        <w:tc>
          <w:tcPr>
            <w:tcW w:w="220" w:type="dxa"/>
            <w:vAlign w:val="bottom"/>
            <w:tcBorders>
              <w:right w:val="single" w:sz="8" w:color="ACABC0"/>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b w:val="1"/>
                <w:bCs w:val="1"/>
                <w:i w:val="1"/>
                <w:iCs w:val="1"/>
                <w:color w:val="auto"/>
              </w:rPr>
              <w:t>10,911,535​</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gridSpan w:val="2"/>
            <w:shd w:val="clear" w:color="auto" w:fill="ACABC0"/>
          </w:tcPr>
          <w:p>
            <w:pPr>
              <w:ind w:left="280"/>
              <w:spacing w:after="0"/>
              <w:rPr>
                <w:sz w:val="20"/>
                <w:szCs w:val="20"/>
                <w:color w:val="auto"/>
              </w:rPr>
            </w:pPr>
            <w:r>
              <w:rPr>
                <w:rFonts w:ascii="Arial" w:cs="Arial" w:eastAsia="Arial" w:hAnsi="Arial"/>
                <w:sz w:val="14"/>
                <w:szCs w:val="14"/>
                <w:b w:val="1"/>
                <w:bCs w:val="1"/>
                <w:i w:val="1"/>
                <w:iCs w:val="1"/>
                <w:color w:val="auto"/>
              </w:rPr>
              <w:t>15,104,888​</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520" w:type="dxa"/>
            <w:vAlign w:val="bottom"/>
            <w:gridSpan w:val="2"/>
            <w:shd w:val="clear" w:color="auto" w:fill="ACABC0"/>
          </w:tcPr>
          <w:p>
            <w:pPr>
              <w:ind w:left="420"/>
              <w:spacing w:after="0"/>
              <w:rPr>
                <w:sz w:val="20"/>
                <w:szCs w:val="20"/>
                <w:color w:val="auto"/>
              </w:rPr>
            </w:pPr>
            <w:r>
              <w:rPr>
                <w:rFonts w:ascii="Arial" w:cs="Arial" w:eastAsia="Arial" w:hAnsi="Arial"/>
                <w:sz w:val="14"/>
                <w:szCs w:val="14"/>
                <w:b w:val="1"/>
                <w:bCs w:val="1"/>
                <w:i w:val="1"/>
                <w:iCs w:val="1"/>
                <w:color w:val="auto"/>
              </w:rPr>
              <w:t>4,172,653​</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b w:val="1"/>
                <w:bCs w:val="1"/>
                <w:i w:val="1"/>
                <w:iCs w:val="1"/>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shd w:val="clear" w:color="auto" w:fill="ACABC0"/>
          </w:tcPr>
          <w:p>
            <w:pPr>
              <w:jc w:val="center"/>
              <w:spacing w:after="0"/>
              <w:rPr>
                <w:sz w:val="20"/>
                <w:szCs w:val="20"/>
                <w:color w:val="auto"/>
              </w:rPr>
            </w:pPr>
            <w:r>
              <w:rPr>
                <w:rFonts w:ascii="Arial" w:cs="Arial" w:eastAsia="Arial" w:hAnsi="Arial"/>
                <w:sz w:val="14"/>
                <w:szCs w:val="14"/>
                <w:b w:val="1"/>
                <w:bCs w:val="1"/>
                <w:i w:val="1"/>
                <w:iCs w:val="1"/>
                <w:color w:val="auto"/>
                <w:w w:val="99"/>
              </w:rPr>
              <w:t>10,911,535​</w:t>
            </w:r>
          </w:p>
        </w:tc>
        <w:tc>
          <w:tcPr>
            <w:tcW w:w="100" w:type="dxa"/>
            <w:vAlign w:val="bottom"/>
            <w:shd w:val="clear" w:color="auto" w:fill="ACABC0"/>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26"/>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shd w:val="clear" w:color="auto" w:fill="F1F2F2"/>
          </w:tcPr>
          <w:p>
            <w:pPr>
              <w:ind w:left="40"/>
              <w:spacing w:after="0"/>
              <w:rPr>
                <w:sz w:val="20"/>
                <w:szCs w:val="20"/>
                <w:color w:val="auto"/>
              </w:rPr>
            </w:pPr>
            <w:r>
              <w:rPr>
                <w:rFonts w:ascii="Arial" w:cs="Arial" w:eastAsia="Arial" w:hAnsi="Arial"/>
                <w:sz w:val="14"/>
                <w:szCs w:val="14"/>
                <w:b w:val="1"/>
                <w:bCs w:val="1"/>
                <w:color w:val="auto"/>
              </w:rPr>
              <w:t>Neal D. Shah</w:t>
            </w:r>
          </w:p>
        </w:tc>
        <w:tc>
          <w:tcPr>
            <w:tcW w:w="220" w:type="dxa"/>
            <w:vAlign w:val="bottom"/>
            <w:tcBorders>
              <w:right w:val="single" w:sz="8" w:color="F1F2F2"/>
            </w:tcBorders>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F1F2F2"/>
          </w:tcPr>
          <w:p>
            <w:pPr>
              <w:spacing w:after="0"/>
              <w:rPr>
                <w:sz w:val="19"/>
                <w:szCs w:val="19"/>
                <w:color w:val="auto"/>
              </w:rPr>
            </w:pPr>
          </w:p>
        </w:tc>
        <w:tc>
          <w:tcPr>
            <w:tcW w:w="140" w:type="dxa"/>
            <w:vAlign w:val="bottom"/>
            <w:gridSpan w:val="2"/>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F1F2F2"/>
          </w:tcPr>
          <w:p>
            <w:pPr>
              <w:spacing w:after="0"/>
              <w:rPr>
                <w:sz w:val="19"/>
                <w:szCs w:val="19"/>
                <w:color w:val="auto"/>
              </w:rPr>
            </w:pPr>
          </w:p>
        </w:tc>
        <w:tc>
          <w:tcPr>
            <w:tcW w:w="940" w:type="dxa"/>
            <w:vAlign w:val="bottom"/>
            <w:shd w:val="clear" w:color="auto" w:fill="F1F2F2"/>
          </w:tcPr>
          <w:p>
            <w:pPr>
              <w:spacing w:after="0"/>
              <w:rPr>
                <w:sz w:val="19"/>
                <w:szCs w:val="19"/>
                <w:color w:val="auto"/>
              </w:rPr>
            </w:pP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F1F2F2"/>
          </w:tcPr>
          <w:p>
            <w:pPr>
              <w:spacing w:after="0"/>
              <w:rPr>
                <w:sz w:val="19"/>
                <w:szCs w:val="19"/>
                <w:color w:val="auto"/>
              </w:rPr>
            </w:pPr>
          </w:p>
        </w:tc>
        <w:tc>
          <w:tcPr>
            <w:tcW w:w="1040" w:type="dxa"/>
            <w:vAlign w:val="bottom"/>
            <w:shd w:val="clear" w:color="auto" w:fill="F1F2F2"/>
          </w:tcPr>
          <w:p>
            <w:pPr>
              <w:spacing w:after="0"/>
              <w:rPr>
                <w:sz w:val="19"/>
                <w:szCs w:val="19"/>
                <w:color w:val="auto"/>
              </w:rPr>
            </w:pP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F1F2F2"/>
          </w:tcPr>
          <w:p>
            <w:pPr>
              <w:spacing w:after="0"/>
              <w:rPr>
                <w:sz w:val="19"/>
                <w:szCs w:val="19"/>
                <w:color w:val="auto"/>
              </w:rPr>
            </w:pP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shd w:val="clear" w:color="auto" w:fill="F1F2F2"/>
          </w:tcPr>
          <w:p>
            <w:pPr>
              <w:spacing w:after="0"/>
              <w:rPr>
                <w:sz w:val="19"/>
                <w:szCs w:val="19"/>
                <w:color w:val="auto"/>
              </w:rPr>
            </w:pPr>
          </w:p>
        </w:tc>
        <w:tc>
          <w:tcPr>
            <w:tcW w:w="100" w:type="dxa"/>
            <w:vAlign w:val="bottom"/>
            <w:shd w:val="clear" w:color="auto" w:fill="F1F2F2"/>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56"/>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shd w:val="clear" w:color="auto" w:fill="F1F2F2"/>
          </w:tcPr>
          <w:p>
            <w:pPr>
              <w:ind w:left="320"/>
              <w:spacing w:after="0" w:line="256" w:lineRule="exact"/>
              <w:rPr>
                <w:sz w:val="20"/>
                <w:szCs w:val="20"/>
                <w:color w:val="auto"/>
              </w:rPr>
            </w:pPr>
            <w:r>
              <w:rPr>
                <w:rFonts w:ascii="Arial" w:cs="Arial" w:eastAsia="Arial" w:hAnsi="Arial"/>
                <w:sz w:val="14"/>
                <w:szCs w:val="14"/>
                <w:color w:val="auto"/>
              </w:rPr>
              <w:t>Equity acceleration</w:t>
            </w:r>
            <w:r>
              <w:rPr>
                <w:rFonts w:ascii="Arial" w:cs="Arial" w:eastAsia="Arial" w:hAnsi="Arial"/>
                <w:sz w:val="23"/>
                <w:szCs w:val="23"/>
                <w:color w:val="auto"/>
                <w:vertAlign w:val="superscript"/>
              </w:rPr>
              <w:t>(1)</w:t>
            </w:r>
          </w:p>
        </w:tc>
        <w:tc>
          <w:tcPr>
            <w:tcW w:w="220" w:type="dxa"/>
            <w:vAlign w:val="bottom"/>
            <w:tcBorders>
              <w:right w:val="single" w:sz="8" w:color="F1F2F2"/>
            </w:tcBorders>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F1F2F2"/>
          </w:tcPr>
          <w:p>
            <w:pPr>
              <w:jc w:val="right"/>
              <w:ind w:right="169"/>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gridSpan w:val="2"/>
            <w:shd w:val="clear" w:color="auto" w:fill="F1F2F2"/>
          </w:tcPr>
          <w:p>
            <w:pPr>
              <w:jc w:val="right"/>
              <w:ind w:right="229"/>
              <w:spacing w:after="0"/>
              <w:rPr>
                <w:sz w:val="20"/>
                <w:szCs w:val="20"/>
                <w:color w:val="auto"/>
              </w:rPr>
            </w:pPr>
            <w:r>
              <w:rPr>
                <w:rFonts w:ascii="Arial" w:cs="Arial" w:eastAsia="Arial" w:hAnsi="Arial"/>
                <w:sz w:val="14"/>
                <w:szCs w:val="14"/>
                <w:color w:val="auto"/>
              </w:rPr>
              <w:t>​ 4,657,731</w:t>
            </w: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F1F2F2"/>
          </w:tcPr>
          <w:p>
            <w:pPr>
              <w:spacing w:after="0"/>
              <w:rPr>
                <w:sz w:val="22"/>
                <w:szCs w:val="22"/>
                <w:color w:val="auto"/>
              </w:rPr>
            </w:pPr>
          </w:p>
        </w:tc>
        <w:tc>
          <w:tcPr>
            <w:tcW w:w="1040" w:type="dxa"/>
            <w:vAlign w:val="bottom"/>
            <w:shd w:val="clear" w:color="auto" w:fill="F1F2F2"/>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F1F2F2"/>
          </w:tcPr>
          <w:p>
            <w:pPr>
              <w:jc w:val="right"/>
              <w:ind w:right="71"/>
              <w:spacing w:after="0"/>
              <w:rPr>
                <w:sz w:val="20"/>
                <w:szCs w:val="20"/>
                <w:color w:val="auto"/>
              </w:rPr>
            </w:pPr>
            <w:r>
              <w:rPr>
                <w:rFonts w:ascii="Arial" w:cs="Arial" w:eastAsia="Arial" w:hAnsi="Arial"/>
                <w:sz w:val="14"/>
                <w:szCs w:val="14"/>
                <w:color w:val="auto"/>
              </w:rPr>
              <w:t xml:space="preserve">​4,657,731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41"/>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Salary payments</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tcPr>
          <w:p>
            <w:pPr>
              <w:spacing w:after="0"/>
              <w:rPr>
                <w:sz w:val="20"/>
                <w:szCs w:val="20"/>
                <w:color w:val="auto"/>
              </w:rPr>
            </w:pPr>
          </w:p>
        </w:tc>
        <w:tc>
          <w:tcPr>
            <w:tcW w:w="940" w:type="dxa"/>
            <w:vAlign w:val="bottom"/>
          </w:tcPr>
          <w:p>
            <w:pPr>
              <w:jc w:val="right"/>
              <w:ind w:right="89"/>
              <w:spacing w:after="0" w:line="241" w:lineRule="exact"/>
              <w:rPr>
                <w:sz w:val="20"/>
                <w:szCs w:val="20"/>
                <w:color w:val="auto"/>
              </w:rPr>
            </w:pPr>
            <w:r>
              <w:rPr>
                <w:rFonts w:ascii="Arial" w:cs="Arial" w:eastAsia="Arial" w:hAnsi="Arial"/>
                <w:sz w:val="14"/>
                <w:szCs w:val="14"/>
                <w:color w:val="auto"/>
                <w:w w:val="93"/>
              </w:rPr>
              <w:t>1,565,385</w:t>
            </w:r>
            <w:r>
              <w:rPr>
                <w:rFonts w:ascii="Arial" w:cs="Arial" w:eastAsia="Arial" w:hAnsi="Arial"/>
                <w:sz w:val="23"/>
                <w:szCs w:val="23"/>
                <w:color w:val="auto"/>
                <w:w w:val="93"/>
                <w:vertAlign w:val="superscript"/>
              </w:rPr>
              <w:t>(5)</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tcPr>
          <w:p>
            <w:pPr>
              <w:spacing w:after="0"/>
              <w:rPr>
                <w:sz w:val="20"/>
                <w:szCs w:val="20"/>
                <w:color w:val="auto"/>
              </w:rPr>
            </w:pPr>
          </w:p>
        </w:tc>
        <w:tc>
          <w:tcPr>
            <w:tcW w:w="104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41"/>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Bonus</w:t>
            </w:r>
          </w:p>
        </w:tc>
        <w:tc>
          <w:tcPr>
            <w:tcW w:w="220" w:type="dxa"/>
            <w:vAlign w:val="bottom"/>
            <w:tcBorders>
              <w:right w:val="single" w:sz="8" w:color="F1F2F2"/>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F1F2F2"/>
          </w:tcPr>
          <w:p>
            <w:pPr>
              <w:jc w:val="right"/>
              <w:ind w:right="169"/>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F1F2F2"/>
          </w:tcPr>
          <w:p>
            <w:pPr>
              <w:spacing w:after="0"/>
              <w:rPr>
                <w:sz w:val="20"/>
                <w:szCs w:val="20"/>
                <w:color w:val="auto"/>
              </w:rPr>
            </w:pPr>
          </w:p>
        </w:tc>
        <w:tc>
          <w:tcPr>
            <w:tcW w:w="940" w:type="dxa"/>
            <w:vAlign w:val="bottom"/>
            <w:shd w:val="clear" w:color="auto" w:fill="F1F2F2"/>
          </w:tcPr>
          <w:p>
            <w:pPr>
              <w:jc w:val="right"/>
              <w:ind w:right="89"/>
              <w:spacing w:after="0" w:line="241" w:lineRule="exact"/>
              <w:rPr>
                <w:sz w:val="20"/>
                <w:szCs w:val="20"/>
                <w:color w:val="auto"/>
              </w:rPr>
            </w:pPr>
            <w:r>
              <w:rPr>
                <w:rFonts w:ascii="Arial" w:cs="Arial" w:eastAsia="Arial" w:hAnsi="Arial"/>
                <w:sz w:val="14"/>
                <w:szCs w:val="14"/>
                <w:color w:val="auto"/>
              </w:rPr>
              <w:t>550,000</w:t>
            </w:r>
            <w:r>
              <w:rPr>
                <w:rFonts w:ascii="Arial" w:cs="Arial" w:eastAsia="Arial" w:hAnsi="Arial"/>
                <w:sz w:val="23"/>
                <w:szCs w:val="23"/>
                <w:color w:val="auto"/>
                <w:vertAlign w:val="superscript"/>
              </w:rPr>
              <w:t>(6)</w:t>
            </w: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F1F2F2"/>
          </w:tcPr>
          <w:p>
            <w:pPr>
              <w:spacing w:after="0"/>
              <w:rPr>
                <w:sz w:val="20"/>
                <w:szCs w:val="20"/>
                <w:color w:val="auto"/>
              </w:rPr>
            </w:pPr>
          </w:p>
        </w:tc>
        <w:tc>
          <w:tcPr>
            <w:tcW w:w="1040" w:type="dxa"/>
            <w:vAlign w:val="bottom"/>
            <w:shd w:val="clear" w:color="auto" w:fill="F1F2F2"/>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F1F2F2"/>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41"/>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Benefits continuation</w:t>
            </w:r>
          </w:p>
        </w:tc>
        <w:tc>
          <w:tcPr>
            <w:tcW w:w="220" w:type="dxa"/>
            <w:vAlign w:val="bottom"/>
            <w:tcBorders>
              <w:right w:val="single" w:sz="8" w:color="F1F2F2"/>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F1F2F2"/>
          </w:tcPr>
          <w:p>
            <w:pPr>
              <w:jc w:val="right"/>
              <w:ind w:right="169"/>
              <w:spacing w:after="0"/>
              <w:rPr>
                <w:sz w:val="20"/>
                <w:szCs w:val="20"/>
                <w:color w:val="auto"/>
              </w:rPr>
            </w:pPr>
            <w:r>
              <w:rPr>
                <w:rFonts w:ascii="Arial" w:cs="Arial" w:eastAsia="Arial" w:hAnsi="Arial"/>
                <w:sz w:val="14"/>
                <w:szCs w:val="14"/>
                <w:color w:val="auto"/>
              </w:rPr>
              <w:t>—</w:t>
            </w:r>
          </w:p>
        </w:tc>
        <w:tc>
          <w:tcPr>
            <w:tcW w:w="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F1F2F2"/>
          </w:tcPr>
          <w:p>
            <w:pPr>
              <w:ind w:left="280"/>
              <w:spacing w:after="0"/>
              <w:rPr>
                <w:sz w:val="20"/>
                <w:szCs w:val="20"/>
                <w:color w:val="auto"/>
              </w:rPr>
            </w:pPr>
            <w:r>
              <w:rPr>
                <w:rFonts w:ascii="Arial" w:cs="Arial" w:eastAsia="Arial" w:hAnsi="Arial"/>
                <w:sz w:val="14"/>
                <w:szCs w:val="14"/>
                <w:color w:val="auto"/>
              </w:rPr>
              <w:t>​</w:t>
            </w:r>
          </w:p>
        </w:tc>
        <w:tc>
          <w:tcPr>
            <w:tcW w:w="940" w:type="dxa"/>
            <w:vAlign w:val="bottom"/>
            <w:shd w:val="clear" w:color="auto" w:fill="F1F2F2"/>
          </w:tcPr>
          <w:p>
            <w:pPr>
              <w:jc w:val="right"/>
              <w:ind w:right="89"/>
              <w:spacing w:after="0" w:line="241" w:lineRule="exact"/>
              <w:rPr>
                <w:sz w:val="20"/>
                <w:szCs w:val="20"/>
                <w:color w:val="auto"/>
              </w:rPr>
            </w:pPr>
            <w:r>
              <w:rPr>
                <w:rFonts w:ascii="Arial" w:cs="Arial" w:eastAsia="Arial" w:hAnsi="Arial"/>
                <w:sz w:val="14"/>
                <w:szCs w:val="14"/>
                <w:color w:val="auto"/>
              </w:rPr>
              <w:t>19,973</w:t>
            </w:r>
            <w:r>
              <w:rPr>
                <w:rFonts w:ascii="Arial" w:cs="Arial" w:eastAsia="Arial" w:hAnsi="Arial"/>
                <w:sz w:val="23"/>
                <w:szCs w:val="23"/>
                <w:color w:val="auto"/>
                <w:vertAlign w:val="superscript"/>
              </w:rPr>
              <w:t>(3)</w:t>
            </w: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F1F2F2"/>
          </w:tcPr>
          <w:p>
            <w:pPr>
              <w:spacing w:after="0"/>
              <w:rPr>
                <w:sz w:val="20"/>
                <w:szCs w:val="20"/>
                <w:color w:val="auto"/>
              </w:rPr>
            </w:pPr>
          </w:p>
        </w:tc>
        <w:tc>
          <w:tcPr>
            <w:tcW w:w="1040" w:type="dxa"/>
            <w:vAlign w:val="bottom"/>
            <w:shd w:val="clear" w:color="auto" w:fill="F1F2F2"/>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F1F2F2"/>
          </w:tcPr>
          <w:p>
            <w:pPr>
              <w:jc w:val="right"/>
              <w:ind w:right="71"/>
              <w:spacing w:after="0" w:line="241" w:lineRule="exact"/>
              <w:rPr>
                <w:sz w:val="20"/>
                <w:szCs w:val="20"/>
                <w:color w:val="auto"/>
              </w:rPr>
            </w:pPr>
            <w:r>
              <w:rPr>
                <w:rFonts w:ascii="Arial" w:cs="Arial" w:eastAsia="Arial" w:hAnsi="Arial"/>
                <w:sz w:val="27"/>
                <w:szCs w:val="27"/>
                <w:color w:val="auto"/>
                <w:vertAlign w:val="subscript"/>
              </w:rPr>
              <w:t>—</w:t>
            </w:r>
            <w:r>
              <w:rPr>
                <w:rFonts w:ascii="Times New Roman" w:cs="Times New Roman" w:eastAsia="Times New Roman" w:hAnsi="Times New Roman"/>
                <w:sz w:val="3"/>
                <w:szCs w:val="3"/>
                <w:color w:val="auto"/>
              </w:rPr>
              <w:t xml:space="preserve"> ​</w:t>
            </w:r>
          </w:p>
        </w:tc>
        <w:tc>
          <w:tcPr>
            <w:tcW w:w="0" w:type="dxa"/>
            <w:vAlign w:val="bottom"/>
          </w:tcPr>
          <w:p>
            <w:pPr>
              <w:spacing w:after="0"/>
              <w:rPr>
                <w:sz w:val="1"/>
                <w:szCs w:val="1"/>
                <w:color w:val="auto"/>
              </w:rPr>
            </w:pPr>
          </w:p>
        </w:tc>
      </w:tr>
      <w:tr>
        <w:trPr>
          <w:trHeight w:val="241"/>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960" w:type="dxa"/>
            <w:vAlign w:val="bottom"/>
            <w:tcBorders>
              <w:right w:val="single" w:sz="8" w:color="F1F2F2"/>
            </w:tcBorders>
            <w:gridSpan w:val="2"/>
          </w:tcPr>
          <w:p>
            <w:pPr>
              <w:ind w:left="320"/>
              <w:spacing w:after="0"/>
              <w:rPr>
                <w:sz w:val="20"/>
                <w:szCs w:val="20"/>
                <w:color w:val="auto"/>
              </w:rPr>
            </w:pPr>
            <w:r>
              <w:rPr>
                <w:rFonts w:ascii="Arial" w:cs="Arial" w:eastAsia="Arial" w:hAnsi="Arial"/>
                <w:sz w:val="14"/>
                <w:szCs w:val="14"/>
                <w:color w:val="auto"/>
              </w:rPr>
              <w:t xml:space="preserve">Outplacement services </w:t>
            </w:r>
            <w:r>
              <w:rPr>
                <w:rFonts w:ascii="Times New Roman" w:cs="Times New Roman" w:eastAsia="Times New Roman" w:hAnsi="Times New Roman"/>
                <w:sz w:val="3"/>
                <w:szCs w:val="3"/>
                <w:color w:val="auto"/>
              </w:rPr>
              <w:t>​   ​</w:t>
            </w:r>
          </w:p>
        </w:tc>
        <w:tc>
          <w:tcPr>
            <w:tcW w:w="1140" w:type="dxa"/>
            <w:vAlign w:val="bottom"/>
            <w:shd w:val="clear" w:color="auto" w:fill="F1F2F2"/>
          </w:tcPr>
          <w:p>
            <w:pPr>
              <w:jc w:val="right"/>
              <w:ind w:right="169"/>
              <w:spacing w:after="0"/>
              <w:rPr>
                <w:sz w:val="20"/>
                <w:szCs w:val="20"/>
                <w:color w:val="auto"/>
              </w:rPr>
            </w:pPr>
            <w:r>
              <w:rPr>
                <w:rFonts w:ascii="Arial" w:cs="Arial" w:eastAsia="Arial" w:hAnsi="Arial"/>
                <w:sz w:val="14"/>
                <w:szCs w:val="14"/>
                <w:color w:val="auto"/>
              </w:rPr>
              <w:t>—</w:t>
            </w:r>
          </w:p>
        </w:tc>
        <w:tc>
          <w:tcPr>
            <w:tcW w:w="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F1F2F2"/>
          </w:tcPr>
          <w:p>
            <w:pPr>
              <w:spacing w:after="0"/>
              <w:rPr>
                <w:sz w:val="20"/>
                <w:szCs w:val="20"/>
                <w:color w:val="auto"/>
              </w:rPr>
            </w:pPr>
          </w:p>
        </w:tc>
        <w:tc>
          <w:tcPr>
            <w:tcW w:w="940" w:type="dxa"/>
            <w:vAlign w:val="bottom"/>
            <w:shd w:val="clear" w:color="auto" w:fill="F1F2F2"/>
          </w:tcPr>
          <w:p>
            <w:pPr>
              <w:jc w:val="right"/>
              <w:ind w:right="89"/>
              <w:spacing w:after="0" w:line="241" w:lineRule="exact"/>
              <w:rPr>
                <w:sz w:val="20"/>
                <w:szCs w:val="20"/>
                <w:color w:val="auto"/>
              </w:rPr>
            </w:pPr>
            <w:r>
              <w:rPr>
                <w:rFonts w:ascii="Arial" w:cs="Arial" w:eastAsia="Arial" w:hAnsi="Arial"/>
                <w:sz w:val="14"/>
                <w:szCs w:val="14"/>
                <w:color w:val="auto"/>
              </w:rPr>
              <w:t>20,700</w:t>
            </w:r>
            <w:r>
              <w:rPr>
                <w:rFonts w:ascii="Arial" w:cs="Arial" w:eastAsia="Arial" w:hAnsi="Arial"/>
                <w:sz w:val="23"/>
                <w:szCs w:val="23"/>
                <w:color w:val="auto"/>
                <w:vertAlign w:val="superscript"/>
              </w:rPr>
              <w:t>(4)</w:t>
            </w: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F1F2F2"/>
          </w:tcPr>
          <w:p>
            <w:pPr>
              <w:spacing w:after="0"/>
              <w:rPr>
                <w:sz w:val="20"/>
                <w:szCs w:val="20"/>
                <w:color w:val="auto"/>
              </w:rPr>
            </w:pPr>
          </w:p>
        </w:tc>
        <w:tc>
          <w:tcPr>
            <w:tcW w:w="1040" w:type="dxa"/>
            <w:vAlign w:val="bottom"/>
            <w:shd w:val="clear" w:color="auto" w:fill="F1F2F2"/>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F1F2F2"/>
          </w:tcPr>
          <w:p>
            <w:pPr>
              <w:jc w:val="right"/>
              <w:ind w:right="71"/>
              <w:spacing w:after="0" w:line="241" w:lineRule="exact"/>
              <w:rPr>
                <w:sz w:val="20"/>
                <w:szCs w:val="20"/>
                <w:color w:val="auto"/>
              </w:rPr>
            </w:pPr>
            <w:r>
              <w:rPr>
                <w:rFonts w:ascii="Arial" w:cs="Arial" w:eastAsia="Arial" w:hAnsi="Arial"/>
                <w:sz w:val="27"/>
                <w:szCs w:val="27"/>
                <w:color w:val="auto"/>
                <w:vertAlign w:val="subscript"/>
              </w:rPr>
              <w:t>—</w:t>
            </w:r>
            <w:r>
              <w:rPr>
                <w:rFonts w:ascii="Times New Roman" w:cs="Times New Roman" w:eastAsia="Times New Roman" w:hAnsi="Times New Roman"/>
                <w:sz w:val="3"/>
                <w:szCs w:val="3"/>
                <w:color w:val="auto"/>
              </w:rPr>
              <w:t xml:space="preserve"> ​</w:t>
            </w:r>
          </w:p>
        </w:tc>
        <w:tc>
          <w:tcPr>
            <w:tcW w:w="0" w:type="dxa"/>
            <w:vAlign w:val="bottom"/>
          </w:tcPr>
          <w:p>
            <w:pPr>
              <w:spacing w:after="0"/>
              <w:rPr>
                <w:sz w:val="1"/>
                <w:szCs w:val="1"/>
                <w:color w:val="auto"/>
              </w:rPr>
            </w:pPr>
          </w:p>
        </w:tc>
      </w:tr>
      <w:tr>
        <w:trPr>
          <w:trHeight w:val="220"/>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Relocation</w:t>
            </w:r>
          </w:p>
        </w:tc>
        <w:tc>
          <w:tcPr>
            <w:tcW w:w="220" w:type="dxa"/>
            <w:vAlign w:val="bottom"/>
            <w:tcBorders>
              <w:right w:val="single" w:sz="8" w:color="F1F2F2"/>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F1F2F2"/>
          </w:tcPr>
          <w:p>
            <w:pPr>
              <w:jc w:val="right"/>
              <w:ind w:right="169"/>
              <w:spacing w:after="0"/>
              <w:rPr>
                <w:sz w:val="20"/>
                <w:szCs w:val="20"/>
                <w:color w:val="auto"/>
              </w:rPr>
            </w:pPr>
            <w:r>
              <w:rPr>
                <w:rFonts w:ascii="Arial" w:cs="Arial" w:eastAsia="Arial" w:hAnsi="Arial"/>
                <w:sz w:val="14"/>
                <w:szCs w:val="14"/>
                <w:color w:val="auto"/>
              </w:rPr>
              <w:t>—</w:t>
            </w:r>
          </w:p>
        </w:tc>
        <w:tc>
          <w:tcPr>
            <w:tcW w:w="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F1F2F2"/>
          </w:tcPr>
          <w:p>
            <w:pPr>
              <w:spacing w:after="0"/>
              <w:rPr>
                <w:sz w:val="19"/>
                <w:szCs w:val="19"/>
                <w:color w:val="auto"/>
              </w:rPr>
            </w:pPr>
          </w:p>
        </w:tc>
        <w:tc>
          <w:tcPr>
            <w:tcW w:w="940" w:type="dxa"/>
            <w:vAlign w:val="bottom"/>
            <w:shd w:val="clear" w:color="auto" w:fill="F1F2F2"/>
          </w:tcPr>
          <w:p>
            <w:pPr>
              <w:jc w:val="right"/>
              <w:ind w:right="229"/>
              <w:spacing w:after="0"/>
              <w:rPr>
                <w:sz w:val="20"/>
                <w:szCs w:val="20"/>
                <w:color w:val="auto"/>
              </w:rPr>
            </w:pPr>
            <w:r>
              <w:rPr>
                <w:rFonts w:ascii="Arial" w:cs="Arial" w:eastAsia="Arial" w:hAnsi="Arial"/>
                <w:sz w:val="14"/>
                <w:szCs w:val="14"/>
                <w:color w:val="auto"/>
              </w:rPr>
              <w:t>—</w:t>
            </w: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F1F2F2"/>
          </w:tcPr>
          <w:p>
            <w:pPr>
              <w:spacing w:after="0"/>
              <w:rPr>
                <w:sz w:val="19"/>
                <w:szCs w:val="19"/>
                <w:color w:val="auto"/>
              </w:rPr>
            </w:pPr>
          </w:p>
        </w:tc>
        <w:tc>
          <w:tcPr>
            <w:tcW w:w="1040" w:type="dxa"/>
            <w:vAlign w:val="bottom"/>
            <w:shd w:val="clear" w:color="auto" w:fill="F1F2F2"/>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F1F2F2"/>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54"/>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580"/>
              <w:spacing w:after="0"/>
              <w:rPr>
                <w:sz w:val="20"/>
                <w:szCs w:val="20"/>
                <w:color w:val="auto"/>
              </w:rPr>
            </w:pPr>
            <w:r>
              <w:rPr>
                <w:rFonts w:ascii="Arial" w:cs="Arial" w:eastAsia="Arial" w:hAnsi="Arial"/>
                <w:sz w:val="14"/>
                <w:szCs w:val="14"/>
                <w:b w:val="1"/>
                <w:bCs w:val="1"/>
                <w:i w:val="1"/>
                <w:iCs w:val="1"/>
                <w:color w:val="auto"/>
              </w:rPr>
              <w:t>Total</w:t>
            </w:r>
          </w:p>
        </w:tc>
        <w:tc>
          <w:tcPr>
            <w:tcW w:w="220" w:type="dxa"/>
            <w:vAlign w:val="bottom"/>
            <w:tcBorders>
              <w:right w:val="single" w:sz="8" w:color="F1F2F2"/>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F1F2F2"/>
          </w:tcPr>
          <w:p>
            <w:pPr>
              <w:jc w:val="right"/>
              <w:ind w:right="169"/>
              <w:spacing w:after="0"/>
              <w:rPr>
                <w:sz w:val="20"/>
                <w:szCs w:val="20"/>
                <w:color w:val="auto"/>
              </w:rPr>
            </w:pPr>
            <w:r>
              <w:rPr>
                <w:rFonts w:ascii="Arial" w:cs="Arial" w:eastAsia="Arial" w:hAnsi="Arial"/>
                <w:sz w:val="14"/>
                <w:szCs w:val="14"/>
                <w:b w:val="1"/>
                <w:bCs w:val="1"/>
                <w:i w:val="1"/>
                <w:iCs w:val="1"/>
                <w:color w:val="auto"/>
              </w:rPr>
              <w:t>—</w:t>
            </w:r>
          </w:p>
        </w:tc>
        <w:tc>
          <w:tcPr>
            <w:tcW w:w="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gridSpan w:val="2"/>
            <w:shd w:val="clear" w:color="auto" w:fill="F1F2F2"/>
          </w:tcPr>
          <w:p>
            <w:pPr>
              <w:jc w:val="right"/>
              <w:ind w:right="229"/>
              <w:spacing w:after="0"/>
              <w:rPr>
                <w:sz w:val="20"/>
                <w:szCs w:val="20"/>
                <w:color w:val="auto"/>
              </w:rPr>
            </w:pPr>
            <w:r>
              <w:rPr>
                <w:rFonts w:ascii="Arial" w:cs="Arial" w:eastAsia="Arial" w:hAnsi="Arial"/>
                <w:sz w:val="14"/>
                <w:szCs w:val="14"/>
                <w:b w:val="1"/>
                <w:bCs w:val="1"/>
                <w:i w:val="1"/>
                <w:iCs w:val="1"/>
                <w:color w:val="auto"/>
              </w:rPr>
              <w:t>​ 6,813,789</w:t>
            </w: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F1F2F2"/>
          </w:tcPr>
          <w:p>
            <w:pPr>
              <w:spacing w:after="0"/>
              <w:rPr>
                <w:sz w:val="22"/>
                <w:szCs w:val="22"/>
                <w:color w:val="auto"/>
              </w:rPr>
            </w:pPr>
          </w:p>
        </w:tc>
        <w:tc>
          <w:tcPr>
            <w:tcW w:w="1040" w:type="dxa"/>
            <w:vAlign w:val="bottom"/>
            <w:shd w:val="clear" w:color="auto" w:fill="F1F2F2"/>
          </w:tcPr>
          <w:p>
            <w:pPr>
              <w:jc w:val="right"/>
              <w:ind w:right="409"/>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F1F2F2"/>
          </w:tcPr>
          <w:p>
            <w:pPr>
              <w:jc w:val="center"/>
              <w:spacing w:after="0"/>
              <w:rPr>
                <w:sz w:val="20"/>
                <w:szCs w:val="20"/>
                <w:color w:val="auto"/>
              </w:rPr>
            </w:pPr>
            <w:r>
              <w:rPr>
                <w:rFonts w:ascii="Arial" w:cs="Arial" w:eastAsia="Arial" w:hAnsi="Arial"/>
                <w:sz w:val="14"/>
                <w:szCs w:val="14"/>
                <w:b w:val="1"/>
                <w:bCs w:val="1"/>
                <w:i w:val="1"/>
                <w:iCs w:val="1"/>
                <w:color w:val="auto"/>
                <w:w w:val="99"/>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F1F2F2"/>
          </w:tcPr>
          <w:p>
            <w:pPr>
              <w:jc w:val="right"/>
              <w:ind w:right="71"/>
              <w:spacing w:after="0"/>
              <w:rPr>
                <w:sz w:val="20"/>
                <w:szCs w:val="20"/>
                <w:color w:val="auto"/>
              </w:rPr>
            </w:pPr>
            <w:r>
              <w:rPr>
                <w:rFonts w:ascii="Arial" w:cs="Arial" w:eastAsia="Arial" w:hAnsi="Arial"/>
                <w:sz w:val="14"/>
                <w:szCs w:val="14"/>
                <w:b w:val="1"/>
                <w:bCs w:val="1"/>
                <w:i w:val="1"/>
                <w:iCs w:val="1"/>
                <w:color w:val="auto"/>
              </w:rPr>
              <w:t xml:space="preserve">​4,657,731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34"/>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shd w:val="clear" w:color="auto" w:fill="ACABC0"/>
          </w:tcPr>
          <w:p>
            <w:pPr>
              <w:ind w:left="40"/>
              <w:spacing w:after="0"/>
              <w:rPr>
                <w:sz w:val="20"/>
                <w:szCs w:val="20"/>
                <w:color w:val="auto"/>
              </w:rPr>
            </w:pPr>
            <w:r>
              <w:rPr>
                <w:rFonts w:ascii="Arial" w:cs="Arial" w:eastAsia="Arial" w:hAnsi="Arial"/>
                <w:sz w:val="14"/>
                <w:szCs w:val="14"/>
                <w:b w:val="1"/>
                <w:bCs w:val="1"/>
                <w:color w:val="auto"/>
              </w:rPr>
              <w:t>Christopher J. Ball</w:t>
            </w:r>
          </w:p>
        </w:tc>
        <w:tc>
          <w:tcPr>
            <w:tcW w:w="220" w:type="dxa"/>
            <w:vAlign w:val="bottom"/>
            <w:tcBorders>
              <w:right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spacing w:after="0"/>
              <w:rPr>
                <w:sz w:val="20"/>
                <w:szCs w:val="20"/>
                <w:color w:val="auto"/>
              </w:rPr>
            </w:pPr>
          </w:p>
        </w:tc>
        <w:tc>
          <w:tcPr>
            <w:tcW w:w="140" w:type="dxa"/>
            <w:vAlign w:val="bottom"/>
            <w:gridSpan w:val="2"/>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ACABC0"/>
          </w:tcPr>
          <w:p>
            <w:pPr>
              <w:spacing w:after="0"/>
              <w:rPr>
                <w:sz w:val="20"/>
                <w:szCs w:val="20"/>
                <w:color w:val="auto"/>
              </w:rPr>
            </w:pPr>
          </w:p>
        </w:tc>
        <w:tc>
          <w:tcPr>
            <w:tcW w:w="940" w:type="dxa"/>
            <w:vAlign w:val="bottom"/>
            <w:shd w:val="clear" w:color="auto" w:fill="ACABC0"/>
          </w:tcPr>
          <w:p>
            <w:pPr>
              <w:spacing w:after="0"/>
              <w:rPr>
                <w:sz w:val="20"/>
                <w:szCs w:val="20"/>
                <w:color w:val="auto"/>
              </w:rPr>
            </w:pP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spacing w:after="0"/>
              <w:rPr>
                <w:sz w:val="20"/>
                <w:szCs w:val="20"/>
                <w:color w:val="auto"/>
              </w:rPr>
            </w:pPr>
          </w:p>
        </w:tc>
        <w:tc>
          <w:tcPr>
            <w:tcW w:w="1040" w:type="dxa"/>
            <w:vAlign w:val="bottom"/>
            <w:shd w:val="clear" w:color="auto" w:fill="ACABC0"/>
          </w:tcPr>
          <w:p>
            <w:pPr>
              <w:spacing w:after="0"/>
              <w:rPr>
                <w:sz w:val="20"/>
                <w:szCs w:val="20"/>
                <w:color w:val="auto"/>
              </w:rPr>
            </w:pP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spacing w:after="0"/>
              <w:rPr>
                <w:sz w:val="20"/>
                <w:szCs w:val="20"/>
                <w:color w:val="auto"/>
              </w:rPr>
            </w:pP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shd w:val="clear" w:color="auto" w:fill="ACABC0"/>
          </w:tcPr>
          <w:p>
            <w:pPr>
              <w:spacing w:after="0"/>
              <w:rPr>
                <w:sz w:val="20"/>
                <w:szCs w:val="20"/>
                <w:color w:val="auto"/>
              </w:rPr>
            </w:pPr>
          </w:p>
        </w:tc>
        <w:tc>
          <w:tcPr>
            <w:tcW w:w="100" w:type="dxa"/>
            <w:vAlign w:val="bottom"/>
            <w:shd w:val="clear" w:color="auto" w:fill="ACABC0"/>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56"/>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shd w:val="clear" w:color="auto" w:fill="ACABC0"/>
          </w:tcPr>
          <w:p>
            <w:pPr>
              <w:ind w:left="320"/>
              <w:spacing w:after="0" w:line="256" w:lineRule="exact"/>
              <w:rPr>
                <w:sz w:val="20"/>
                <w:szCs w:val="20"/>
                <w:color w:val="auto"/>
              </w:rPr>
            </w:pPr>
            <w:r>
              <w:rPr>
                <w:rFonts w:ascii="Arial" w:cs="Arial" w:eastAsia="Arial" w:hAnsi="Arial"/>
                <w:sz w:val="14"/>
                <w:szCs w:val="14"/>
                <w:color w:val="auto"/>
              </w:rPr>
              <w:t>Equity acceleration</w:t>
            </w:r>
            <w:r>
              <w:rPr>
                <w:rFonts w:ascii="Arial" w:cs="Arial" w:eastAsia="Arial" w:hAnsi="Arial"/>
                <w:sz w:val="23"/>
                <w:szCs w:val="23"/>
                <w:color w:val="auto"/>
                <w:vertAlign w:val="superscript"/>
              </w:rPr>
              <w:t>(1)</w:t>
            </w:r>
          </w:p>
        </w:tc>
        <w:tc>
          <w:tcPr>
            <w:tcW w:w="220" w:type="dxa"/>
            <w:vAlign w:val="bottom"/>
            <w:tcBorders>
              <w:right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gridSpan w:val="2"/>
            <w:shd w:val="clear" w:color="auto" w:fill="ACABC0"/>
          </w:tcPr>
          <w:p>
            <w:pPr>
              <w:jc w:val="right"/>
              <w:ind w:right="229"/>
              <w:spacing w:after="0"/>
              <w:rPr>
                <w:sz w:val="20"/>
                <w:szCs w:val="20"/>
                <w:color w:val="auto"/>
              </w:rPr>
            </w:pPr>
            <w:r>
              <w:rPr>
                <w:rFonts w:ascii="Arial" w:cs="Arial" w:eastAsia="Arial" w:hAnsi="Arial"/>
                <w:sz w:val="14"/>
                <w:szCs w:val="14"/>
                <w:color w:val="auto"/>
              </w:rPr>
              <w:t>​ 5,963,738</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spacing w:after="0"/>
              <w:rPr>
                <w:sz w:val="22"/>
                <w:szCs w:val="22"/>
                <w:color w:val="auto"/>
              </w:rPr>
            </w:pPr>
          </w:p>
        </w:tc>
        <w:tc>
          <w:tcPr>
            <w:tcW w:w="1040" w:type="dxa"/>
            <w:vAlign w:val="bottom"/>
            <w:shd w:val="clear" w:color="auto" w:fill="ACABC0"/>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shd w:val="clear" w:color="auto" w:fill="ACABC0"/>
          </w:tcPr>
          <w:p>
            <w:pPr>
              <w:jc w:val="right"/>
              <w:spacing w:after="0"/>
              <w:rPr>
                <w:sz w:val="20"/>
                <w:szCs w:val="20"/>
                <w:color w:val="auto"/>
              </w:rPr>
            </w:pPr>
            <w:r>
              <w:rPr>
                <w:rFonts w:ascii="Arial" w:cs="Arial" w:eastAsia="Arial" w:hAnsi="Arial"/>
                <w:sz w:val="14"/>
                <w:szCs w:val="14"/>
                <w:color w:val="auto"/>
              </w:rPr>
              <w:t>5,963,738</w:t>
            </w:r>
          </w:p>
        </w:tc>
        <w:tc>
          <w:tcPr>
            <w:tcW w:w="100" w:type="dxa"/>
            <w:vAlign w:val="bottom"/>
            <w:shd w:val="clear" w:color="auto" w:fill="ACABC0"/>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41"/>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Salary payments</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tcPr>
          <w:p>
            <w:pPr>
              <w:spacing w:after="0"/>
              <w:rPr>
                <w:sz w:val="20"/>
                <w:szCs w:val="20"/>
                <w:color w:val="auto"/>
              </w:rPr>
            </w:pPr>
          </w:p>
        </w:tc>
        <w:tc>
          <w:tcPr>
            <w:tcW w:w="940" w:type="dxa"/>
            <w:vAlign w:val="bottom"/>
          </w:tcPr>
          <w:p>
            <w:pPr>
              <w:jc w:val="right"/>
              <w:ind w:right="69"/>
              <w:spacing w:after="0" w:line="241" w:lineRule="exact"/>
              <w:rPr>
                <w:sz w:val="20"/>
                <w:szCs w:val="20"/>
                <w:color w:val="auto"/>
              </w:rPr>
            </w:pPr>
            <w:r>
              <w:rPr>
                <w:rFonts w:ascii="Arial" w:cs="Arial" w:eastAsia="Arial" w:hAnsi="Arial"/>
                <w:sz w:val="14"/>
                <w:szCs w:val="14"/>
                <w:color w:val="auto"/>
                <w:w w:val="96"/>
              </w:rPr>
              <w:t>1,610,167</w:t>
            </w:r>
            <w:r>
              <w:rPr>
                <w:rFonts w:ascii="Arial" w:cs="Arial" w:eastAsia="Arial" w:hAnsi="Arial"/>
                <w:sz w:val="23"/>
                <w:szCs w:val="23"/>
                <w:color w:val="auto"/>
                <w:w w:val="96"/>
                <w:vertAlign w:val="superscript"/>
              </w:rPr>
              <w:t>(5)</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tcPr>
          <w:p>
            <w:pPr>
              <w:spacing w:after="0"/>
              <w:rPr>
                <w:sz w:val="20"/>
                <w:szCs w:val="20"/>
                <w:color w:val="auto"/>
              </w:rPr>
            </w:pPr>
          </w:p>
        </w:tc>
        <w:tc>
          <w:tcPr>
            <w:tcW w:w="1040" w:type="dxa"/>
            <w:vAlign w:val="bottom"/>
          </w:tcPr>
          <w:p>
            <w:pPr>
              <w:jc w:val="right"/>
              <w:ind w:right="249"/>
              <w:spacing w:after="0" w:line="241" w:lineRule="exact"/>
              <w:rPr>
                <w:sz w:val="20"/>
                <w:szCs w:val="20"/>
                <w:color w:val="auto"/>
              </w:rPr>
            </w:pPr>
            <w:r>
              <w:rPr>
                <w:rFonts w:ascii="Arial" w:cs="Arial" w:eastAsia="Arial" w:hAnsi="Arial"/>
                <w:sz w:val="14"/>
                <w:szCs w:val="14"/>
                <w:color w:val="auto"/>
              </w:rPr>
              <w:t>923,478</w:t>
            </w:r>
            <w:r>
              <w:rPr>
                <w:rFonts w:ascii="Arial" w:cs="Arial" w:eastAsia="Arial" w:hAnsi="Arial"/>
                <w:sz w:val="23"/>
                <w:szCs w:val="23"/>
                <w:color w:val="auto"/>
                <w:vertAlign w:val="superscript"/>
              </w:rPr>
              <w:t>(7)</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tcPr>
          <w:p>
            <w:pPr>
              <w:jc w:val="right"/>
              <w:ind w:right="71"/>
              <w:spacing w:after="0" w:line="241" w:lineRule="exact"/>
              <w:rPr>
                <w:sz w:val="20"/>
                <w:szCs w:val="20"/>
                <w:color w:val="auto"/>
              </w:rPr>
            </w:pPr>
            <w:r>
              <w:rPr>
                <w:rFonts w:ascii="Arial" w:cs="Arial" w:eastAsia="Arial" w:hAnsi="Arial"/>
                <w:sz w:val="27"/>
                <w:szCs w:val="27"/>
                <w:color w:val="auto"/>
                <w:vertAlign w:val="subscript"/>
              </w:rPr>
              <w:t>—</w:t>
            </w:r>
            <w:r>
              <w:rPr>
                <w:rFonts w:ascii="Times New Roman" w:cs="Times New Roman" w:eastAsia="Times New Roman" w:hAnsi="Times New Roman"/>
                <w:sz w:val="3"/>
                <w:szCs w:val="3"/>
                <w:color w:val="auto"/>
              </w:rPr>
              <w:t xml:space="preserve"> ​</w:t>
            </w:r>
          </w:p>
        </w:tc>
        <w:tc>
          <w:tcPr>
            <w:tcW w:w="0" w:type="dxa"/>
            <w:vAlign w:val="bottom"/>
          </w:tcPr>
          <w:p>
            <w:pPr>
              <w:spacing w:after="0"/>
              <w:rPr>
                <w:sz w:val="1"/>
                <w:szCs w:val="1"/>
                <w:color w:val="auto"/>
              </w:rPr>
            </w:pPr>
          </w:p>
        </w:tc>
      </w:tr>
      <w:tr>
        <w:trPr>
          <w:trHeight w:val="241"/>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Bonus</w:t>
            </w:r>
          </w:p>
        </w:tc>
        <w:tc>
          <w:tcPr>
            <w:tcW w:w="220" w:type="dxa"/>
            <w:vAlign w:val="bottom"/>
            <w:tcBorders>
              <w:right w:val="single" w:sz="8" w:color="ACABC0"/>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ACABC0"/>
          </w:tcPr>
          <w:p>
            <w:pPr>
              <w:spacing w:after="0"/>
              <w:rPr>
                <w:sz w:val="20"/>
                <w:szCs w:val="20"/>
                <w:color w:val="auto"/>
              </w:rPr>
            </w:pPr>
          </w:p>
        </w:tc>
        <w:tc>
          <w:tcPr>
            <w:tcW w:w="940" w:type="dxa"/>
            <w:vAlign w:val="bottom"/>
            <w:shd w:val="clear" w:color="auto" w:fill="ACABC0"/>
          </w:tcPr>
          <w:p>
            <w:pPr>
              <w:jc w:val="right"/>
              <w:ind w:right="89"/>
              <w:spacing w:after="0" w:line="241" w:lineRule="exact"/>
              <w:rPr>
                <w:sz w:val="20"/>
                <w:szCs w:val="20"/>
                <w:color w:val="auto"/>
              </w:rPr>
            </w:pPr>
            <w:r>
              <w:rPr>
                <w:rFonts w:ascii="Arial" w:cs="Arial" w:eastAsia="Arial" w:hAnsi="Arial"/>
                <w:sz w:val="14"/>
                <w:szCs w:val="14"/>
                <w:color w:val="auto"/>
              </w:rPr>
              <w:t>615,652</w:t>
            </w:r>
            <w:r>
              <w:rPr>
                <w:rFonts w:ascii="Arial" w:cs="Arial" w:eastAsia="Arial" w:hAnsi="Arial"/>
                <w:sz w:val="23"/>
                <w:szCs w:val="23"/>
                <w:color w:val="auto"/>
                <w:vertAlign w:val="superscript"/>
              </w:rPr>
              <w:t>(6)</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spacing w:after="0"/>
              <w:rPr>
                <w:sz w:val="20"/>
                <w:szCs w:val="20"/>
                <w:color w:val="auto"/>
              </w:rPr>
            </w:pPr>
          </w:p>
        </w:tc>
        <w:tc>
          <w:tcPr>
            <w:tcW w:w="1040" w:type="dxa"/>
            <w:vAlign w:val="bottom"/>
            <w:shd w:val="clear" w:color="auto" w:fill="ACABC0"/>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ACABC0"/>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20"/>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Benefits continuation</w:t>
            </w:r>
          </w:p>
        </w:tc>
        <w:tc>
          <w:tcPr>
            <w:tcW w:w="220" w:type="dxa"/>
            <w:vAlign w:val="bottom"/>
            <w:tcBorders>
              <w:right w:val="single" w:sz="8" w:color="ACABC0"/>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color w:val="auto"/>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ACABC0"/>
          </w:tcPr>
          <w:p>
            <w:pPr>
              <w:spacing w:after="0"/>
              <w:rPr>
                <w:sz w:val="19"/>
                <w:szCs w:val="19"/>
                <w:color w:val="auto"/>
              </w:rPr>
            </w:pPr>
          </w:p>
        </w:tc>
        <w:tc>
          <w:tcPr>
            <w:tcW w:w="940" w:type="dxa"/>
            <w:vAlign w:val="bottom"/>
            <w:shd w:val="clear" w:color="auto" w:fill="ACABC0"/>
          </w:tcPr>
          <w:p>
            <w:pPr>
              <w:jc w:val="right"/>
              <w:ind w:right="229"/>
              <w:spacing w:after="0"/>
              <w:rPr>
                <w:sz w:val="20"/>
                <w:szCs w:val="20"/>
                <w:color w:val="auto"/>
              </w:rPr>
            </w:pPr>
            <w:r>
              <w:rPr>
                <w:rFonts w:ascii="Arial" w:cs="Arial" w:eastAsia="Arial" w:hAnsi="Arial"/>
                <w:sz w:val="14"/>
                <w:szCs w:val="14"/>
                <w:color w:val="auto"/>
              </w:rPr>
              <w:t>—</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spacing w:after="0"/>
              <w:rPr>
                <w:sz w:val="19"/>
                <w:szCs w:val="19"/>
                <w:color w:val="auto"/>
              </w:rPr>
            </w:pPr>
          </w:p>
        </w:tc>
        <w:tc>
          <w:tcPr>
            <w:tcW w:w="1040" w:type="dxa"/>
            <w:vAlign w:val="bottom"/>
            <w:shd w:val="clear" w:color="auto" w:fill="ACABC0"/>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ACABC0"/>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62"/>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960" w:type="dxa"/>
            <w:vAlign w:val="bottom"/>
            <w:tcBorders>
              <w:right w:val="single" w:sz="8" w:color="ACABC0"/>
            </w:tcBorders>
            <w:gridSpan w:val="2"/>
          </w:tcPr>
          <w:p>
            <w:pPr>
              <w:ind w:left="320"/>
              <w:spacing w:after="0"/>
              <w:rPr>
                <w:sz w:val="20"/>
                <w:szCs w:val="20"/>
                <w:color w:val="auto"/>
              </w:rPr>
            </w:pPr>
            <w:r>
              <w:rPr>
                <w:rFonts w:ascii="Arial" w:cs="Arial" w:eastAsia="Arial" w:hAnsi="Arial"/>
                <w:sz w:val="14"/>
                <w:szCs w:val="14"/>
                <w:color w:val="auto"/>
              </w:rPr>
              <w:t xml:space="preserve">Outplacement services </w:t>
            </w:r>
            <w:r>
              <w:rPr>
                <w:rFonts w:ascii="Times New Roman" w:cs="Times New Roman" w:eastAsia="Times New Roman" w:hAnsi="Times New Roman"/>
                <w:sz w:val="3"/>
                <w:szCs w:val="3"/>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color w:val="auto"/>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ACABC0"/>
          </w:tcPr>
          <w:p>
            <w:pPr>
              <w:spacing w:after="0"/>
              <w:rPr>
                <w:sz w:val="22"/>
                <w:szCs w:val="22"/>
                <w:color w:val="auto"/>
              </w:rPr>
            </w:pPr>
          </w:p>
        </w:tc>
        <w:tc>
          <w:tcPr>
            <w:tcW w:w="940" w:type="dxa"/>
            <w:vAlign w:val="bottom"/>
            <w:shd w:val="clear" w:color="auto" w:fill="ACABC0"/>
          </w:tcPr>
          <w:p>
            <w:pPr>
              <w:jc w:val="right"/>
              <w:ind w:right="89"/>
              <w:spacing w:after="0" w:line="262" w:lineRule="exact"/>
              <w:rPr>
                <w:sz w:val="20"/>
                <w:szCs w:val="20"/>
                <w:color w:val="auto"/>
              </w:rPr>
            </w:pPr>
            <w:r>
              <w:rPr>
                <w:rFonts w:ascii="Arial" w:cs="Arial" w:eastAsia="Arial" w:hAnsi="Arial"/>
                <w:sz w:val="14"/>
                <w:szCs w:val="14"/>
                <w:color w:val="auto"/>
              </w:rPr>
              <w:t>20,700</w:t>
            </w:r>
            <w:r>
              <w:rPr>
                <w:rFonts w:ascii="Arial" w:cs="Arial" w:eastAsia="Arial" w:hAnsi="Arial"/>
                <w:sz w:val="23"/>
                <w:szCs w:val="23"/>
                <w:color w:val="auto"/>
                <w:vertAlign w:val="superscript"/>
              </w:rPr>
              <w:t>(4)</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spacing w:after="0"/>
              <w:rPr>
                <w:sz w:val="22"/>
                <w:szCs w:val="22"/>
                <w:color w:val="auto"/>
              </w:rPr>
            </w:pPr>
          </w:p>
        </w:tc>
        <w:tc>
          <w:tcPr>
            <w:tcW w:w="1040" w:type="dxa"/>
            <w:vAlign w:val="bottom"/>
            <w:shd w:val="clear" w:color="auto" w:fill="ACABC0"/>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ACABC0"/>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41"/>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Relocation</w:t>
            </w:r>
          </w:p>
        </w:tc>
        <w:tc>
          <w:tcPr>
            <w:tcW w:w="220" w:type="dxa"/>
            <w:vAlign w:val="bottom"/>
            <w:tcBorders>
              <w:right w:val="single" w:sz="8" w:color="ACABC0"/>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color w:val="auto"/>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ACABC0"/>
          </w:tcPr>
          <w:p>
            <w:pPr>
              <w:spacing w:after="0"/>
              <w:rPr>
                <w:sz w:val="20"/>
                <w:szCs w:val="20"/>
                <w:color w:val="auto"/>
              </w:rPr>
            </w:pPr>
          </w:p>
        </w:tc>
        <w:tc>
          <w:tcPr>
            <w:tcW w:w="940" w:type="dxa"/>
            <w:vAlign w:val="bottom"/>
            <w:shd w:val="clear" w:color="auto" w:fill="ACABC0"/>
          </w:tcPr>
          <w:p>
            <w:pPr>
              <w:jc w:val="right"/>
              <w:ind w:right="229"/>
              <w:spacing w:after="0"/>
              <w:rPr>
                <w:sz w:val="20"/>
                <w:szCs w:val="20"/>
                <w:color w:val="auto"/>
              </w:rPr>
            </w:pPr>
            <w:r>
              <w:rPr>
                <w:rFonts w:ascii="Arial" w:cs="Arial" w:eastAsia="Arial" w:hAnsi="Arial"/>
                <w:sz w:val="14"/>
                <w:szCs w:val="14"/>
                <w:color w:val="auto"/>
              </w:rPr>
              <w:t>—</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spacing w:after="0"/>
              <w:rPr>
                <w:sz w:val="20"/>
                <w:szCs w:val="20"/>
                <w:color w:val="auto"/>
              </w:rPr>
            </w:pPr>
          </w:p>
        </w:tc>
        <w:tc>
          <w:tcPr>
            <w:tcW w:w="1040" w:type="dxa"/>
            <w:vAlign w:val="bottom"/>
            <w:shd w:val="clear" w:color="auto" w:fill="ACABC0"/>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ACABC0"/>
          </w:tcPr>
          <w:p>
            <w:pPr>
              <w:jc w:val="right"/>
              <w:ind w:right="71"/>
              <w:spacing w:after="0" w:line="241" w:lineRule="exact"/>
              <w:rPr>
                <w:sz w:val="20"/>
                <w:szCs w:val="20"/>
                <w:color w:val="auto"/>
              </w:rPr>
            </w:pPr>
            <w:r>
              <w:rPr>
                <w:rFonts w:ascii="Arial" w:cs="Arial" w:eastAsia="Arial" w:hAnsi="Arial"/>
                <w:sz w:val="27"/>
                <w:szCs w:val="27"/>
                <w:color w:val="auto"/>
                <w:vertAlign w:val="subscript"/>
              </w:rPr>
              <w:t>—</w:t>
            </w:r>
            <w:r>
              <w:rPr>
                <w:rFonts w:ascii="Times New Roman" w:cs="Times New Roman" w:eastAsia="Times New Roman" w:hAnsi="Times New Roman"/>
                <w:sz w:val="3"/>
                <w:szCs w:val="3"/>
                <w:color w:val="auto"/>
              </w:rPr>
              <w:t xml:space="preserve"> ​</w:t>
            </w:r>
          </w:p>
        </w:tc>
        <w:tc>
          <w:tcPr>
            <w:tcW w:w="0" w:type="dxa"/>
            <w:vAlign w:val="bottom"/>
          </w:tcPr>
          <w:p>
            <w:pPr>
              <w:spacing w:after="0"/>
              <w:rPr>
                <w:sz w:val="1"/>
                <w:szCs w:val="1"/>
                <w:color w:val="auto"/>
              </w:rPr>
            </w:pPr>
          </w:p>
        </w:tc>
      </w:tr>
      <w:tr>
        <w:trPr>
          <w:trHeight w:val="241"/>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580"/>
              <w:spacing w:after="0"/>
              <w:rPr>
                <w:sz w:val="20"/>
                <w:szCs w:val="20"/>
                <w:color w:val="auto"/>
              </w:rPr>
            </w:pPr>
            <w:r>
              <w:rPr>
                <w:rFonts w:ascii="Arial" w:cs="Arial" w:eastAsia="Arial" w:hAnsi="Arial"/>
                <w:sz w:val="14"/>
                <w:szCs w:val="14"/>
                <w:b w:val="1"/>
                <w:bCs w:val="1"/>
                <w:i w:val="1"/>
                <w:iCs w:val="1"/>
                <w:color w:val="auto"/>
              </w:rPr>
              <w:t>Total</w:t>
            </w:r>
          </w:p>
        </w:tc>
        <w:tc>
          <w:tcPr>
            <w:tcW w:w="220" w:type="dxa"/>
            <w:vAlign w:val="bottom"/>
            <w:tcBorders>
              <w:right w:val="single" w:sz="8" w:color="ACABC0"/>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b w:val="1"/>
                <w:bCs w:val="1"/>
                <w:i w:val="1"/>
                <w:iCs w:val="1"/>
                <w:color w:val="auto"/>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gridSpan w:val="2"/>
            <w:shd w:val="clear" w:color="auto" w:fill="ACABC0"/>
          </w:tcPr>
          <w:p>
            <w:pPr>
              <w:jc w:val="right"/>
              <w:ind w:right="229"/>
              <w:spacing w:after="0"/>
              <w:rPr>
                <w:sz w:val="20"/>
                <w:szCs w:val="20"/>
                <w:color w:val="auto"/>
              </w:rPr>
            </w:pPr>
            <w:r>
              <w:rPr>
                <w:rFonts w:ascii="Arial" w:cs="Arial" w:eastAsia="Arial" w:hAnsi="Arial"/>
                <w:sz w:val="14"/>
                <w:szCs w:val="14"/>
                <w:b w:val="1"/>
                <w:bCs w:val="1"/>
                <w:i w:val="1"/>
                <w:iCs w:val="1"/>
                <w:color w:val="auto"/>
              </w:rPr>
              <w:t>​ 8,210,257</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spacing w:after="0"/>
              <w:rPr>
                <w:sz w:val="20"/>
                <w:szCs w:val="20"/>
                <w:color w:val="auto"/>
              </w:rPr>
            </w:pPr>
          </w:p>
        </w:tc>
        <w:tc>
          <w:tcPr>
            <w:tcW w:w="1040" w:type="dxa"/>
            <w:vAlign w:val="bottom"/>
            <w:shd w:val="clear" w:color="auto" w:fill="ACABC0"/>
          </w:tcPr>
          <w:p>
            <w:pPr>
              <w:jc w:val="right"/>
              <w:ind w:right="409"/>
              <w:spacing w:after="0"/>
              <w:rPr>
                <w:sz w:val="20"/>
                <w:szCs w:val="20"/>
                <w:color w:val="auto"/>
              </w:rPr>
            </w:pPr>
            <w:r>
              <w:rPr>
                <w:rFonts w:ascii="Arial" w:cs="Arial" w:eastAsia="Arial" w:hAnsi="Arial"/>
                <w:sz w:val="14"/>
                <w:szCs w:val="14"/>
                <w:b w:val="1"/>
                <w:bCs w:val="1"/>
                <w:i w:val="1"/>
                <w:iCs w:val="1"/>
                <w:color w:val="auto"/>
              </w:rPr>
              <w:t>923,478</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b w:val="1"/>
                <w:bCs w:val="1"/>
                <w:i w:val="1"/>
                <w:iCs w:val="1"/>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ACABC0"/>
          </w:tcPr>
          <w:p>
            <w:pPr>
              <w:jc w:val="right"/>
              <w:ind w:right="71"/>
              <w:spacing w:after="0"/>
              <w:rPr>
                <w:sz w:val="20"/>
                <w:szCs w:val="20"/>
                <w:color w:val="auto"/>
              </w:rPr>
            </w:pPr>
            <w:r>
              <w:rPr>
                <w:rFonts w:ascii="Arial" w:cs="Arial" w:eastAsia="Arial" w:hAnsi="Arial"/>
                <w:sz w:val="14"/>
                <w:szCs w:val="14"/>
                <w:b w:val="1"/>
                <w:bCs w:val="1"/>
                <w:i w:val="1"/>
                <w:iCs w:val="1"/>
                <w:color w:val="auto"/>
              </w:rPr>
              <w:t xml:space="preserve">​5,963,738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26"/>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shd w:val="clear" w:color="auto" w:fill="F1F2F2"/>
          </w:tcPr>
          <w:p>
            <w:pPr>
              <w:ind w:left="40"/>
              <w:spacing w:after="0"/>
              <w:rPr>
                <w:sz w:val="20"/>
                <w:szCs w:val="20"/>
                <w:color w:val="auto"/>
              </w:rPr>
            </w:pPr>
            <w:r>
              <w:rPr>
                <w:rFonts w:ascii="Arial" w:cs="Arial" w:eastAsia="Arial" w:hAnsi="Arial"/>
                <w:sz w:val="14"/>
                <w:szCs w:val="14"/>
                <w:b w:val="1"/>
                <w:bCs w:val="1"/>
                <w:color w:val="auto"/>
              </w:rPr>
              <w:t>Richard R. Clark</w:t>
            </w:r>
          </w:p>
        </w:tc>
        <w:tc>
          <w:tcPr>
            <w:tcW w:w="220" w:type="dxa"/>
            <w:vAlign w:val="bottom"/>
            <w:tcBorders>
              <w:right w:val="single" w:sz="8" w:color="F1F2F2"/>
            </w:tcBorders>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F1F2F2"/>
          </w:tcPr>
          <w:p>
            <w:pPr>
              <w:spacing w:after="0"/>
              <w:rPr>
                <w:sz w:val="19"/>
                <w:szCs w:val="19"/>
                <w:color w:val="auto"/>
              </w:rPr>
            </w:pPr>
          </w:p>
        </w:tc>
        <w:tc>
          <w:tcPr>
            <w:tcW w:w="140" w:type="dxa"/>
            <w:vAlign w:val="bottom"/>
            <w:gridSpan w:val="2"/>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F1F2F2"/>
          </w:tcPr>
          <w:p>
            <w:pPr>
              <w:spacing w:after="0"/>
              <w:rPr>
                <w:sz w:val="19"/>
                <w:szCs w:val="19"/>
                <w:color w:val="auto"/>
              </w:rPr>
            </w:pPr>
          </w:p>
        </w:tc>
        <w:tc>
          <w:tcPr>
            <w:tcW w:w="940" w:type="dxa"/>
            <w:vAlign w:val="bottom"/>
            <w:shd w:val="clear" w:color="auto" w:fill="F1F2F2"/>
          </w:tcPr>
          <w:p>
            <w:pPr>
              <w:spacing w:after="0"/>
              <w:rPr>
                <w:sz w:val="19"/>
                <w:szCs w:val="19"/>
                <w:color w:val="auto"/>
              </w:rPr>
            </w:pP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F1F2F2"/>
          </w:tcPr>
          <w:p>
            <w:pPr>
              <w:spacing w:after="0"/>
              <w:rPr>
                <w:sz w:val="19"/>
                <w:szCs w:val="19"/>
                <w:color w:val="auto"/>
              </w:rPr>
            </w:pPr>
          </w:p>
        </w:tc>
        <w:tc>
          <w:tcPr>
            <w:tcW w:w="1040" w:type="dxa"/>
            <w:vAlign w:val="bottom"/>
            <w:shd w:val="clear" w:color="auto" w:fill="F1F2F2"/>
          </w:tcPr>
          <w:p>
            <w:pPr>
              <w:spacing w:after="0"/>
              <w:rPr>
                <w:sz w:val="19"/>
                <w:szCs w:val="19"/>
                <w:color w:val="auto"/>
              </w:rPr>
            </w:pP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F1F2F2"/>
          </w:tcPr>
          <w:p>
            <w:pPr>
              <w:spacing w:after="0"/>
              <w:rPr>
                <w:sz w:val="19"/>
                <w:szCs w:val="19"/>
                <w:color w:val="auto"/>
              </w:rPr>
            </w:pP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shd w:val="clear" w:color="auto" w:fill="F1F2F2"/>
          </w:tcPr>
          <w:p>
            <w:pPr>
              <w:spacing w:after="0"/>
              <w:rPr>
                <w:sz w:val="19"/>
                <w:szCs w:val="19"/>
                <w:color w:val="auto"/>
              </w:rPr>
            </w:pPr>
          </w:p>
        </w:tc>
        <w:tc>
          <w:tcPr>
            <w:tcW w:w="100" w:type="dxa"/>
            <w:vAlign w:val="bottom"/>
            <w:shd w:val="clear" w:color="auto" w:fill="F1F2F2"/>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56"/>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shd w:val="clear" w:color="auto" w:fill="F1F2F2"/>
          </w:tcPr>
          <w:p>
            <w:pPr>
              <w:ind w:left="320"/>
              <w:spacing w:after="0" w:line="256" w:lineRule="exact"/>
              <w:rPr>
                <w:sz w:val="20"/>
                <w:szCs w:val="20"/>
                <w:color w:val="auto"/>
              </w:rPr>
            </w:pPr>
            <w:r>
              <w:rPr>
                <w:rFonts w:ascii="Arial" w:cs="Arial" w:eastAsia="Arial" w:hAnsi="Arial"/>
                <w:sz w:val="14"/>
                <w:szCs w:val="14"/>
                <w:color w:val="auto"/>
              </w:rPr>
              <w:t>Equity acceleration</w:t>
            </w:r>
            <w:r>
              <w:rPr>
                <w:rFonts w:ascii="Arial" w:cs="Arial" w:eastAsia="Arial" w:hAnsi="Arial"/>
                <w:sz w:val="23"/>
                <w:szCs w:val="23"/>
                <w:color w:val="auto"/>
                <w:vertAlign w:val="superscript"/>
              </w:rPr>
              <w:t>(1)</w:t>
            </w:r>
          </w:p>
        </w:tc>
        <w:tc>
          <w:tcPr>
            <w:tcW w:w="220" w:type="dxa"/>
            <w:vAlign w:val="bottom"/>
            <w:tcBorders>
              <w:right w:val="single" w:sz="8" w:color="F1F2F2"/>
            </w:tcBorders>
            <w:shd w:val="clear" w:color="auto" w:fill="F1F2F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F1F2F2"/>
          </w:tcPr>
          <w:p>
            <w:pPr>
              <w:jc w:val="right"/>
              <w:ind w:right="169"/>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gridSpan w:val="2"/>
            <w:shd w:val="clear" w:color="auto" w:fill="F1F2F2"/>
          </w:tcPr>
          <w:p>
            <w:pPr>
              <w:jc w:val="right"/>
              <w:ind w:right="229"/>
              <w:spacing w:after="0"/>
              <w:rPr>
                <w:sz w:val="20"/>
                <w:szCs w:val="20"/>
                <w:color w:val="auto"/>
              </w:rPr>
            </w:pPr>
            <w:r>
              <w:rPr>
                <w:rFonts w:ascii="Arial" w:cs="Arial" w:eastAsia="Arial" w:hAnsi="Arial"/>
                <w:sz w:val="14"/>
                <w:szCs w:val="14"/>
                <w:color w:val="auto"/>
              </w:rPr>
              <w:t>​ 5,963,738</w:t>
            </w: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F1F2F2"/>
          </w:tcPr>
          <w:p>
            <w:pPr>
              <w:spacing w:after="0"/>
              <w:rPr>
                <w:sz w:val="22"/>
                <w:szCs w:val="22"/>
                <w:color w:val="auto"/>
              </w:rPr>
            </w:pPr>
          </w:p>
        </w:tc>
        <w:tc>
          <w:tcPr>
            <w:tcW w:w="1040" w:type="dxa"/>
            <w:vAlign w:val="bottom"/>
            <w:shd w:val="clear" w:color="auto" w:fill="F1F2F2"/>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F1F2F2"/>
          </w:tcPr>
          <w:p>
            <w:pPr>
              <w:jc w:val="right"/>
              <w:ind w:right="71"/>
              <w:spacing w:after="0"/>
              <w:rPr>
                <w:sz w:val="20"/>
                <w:szCs w:val="20"/>
                <w:color w:val="auto"/>
              </w:rPr>
            </w:pPr>
            <w:r>
              <w:rPr>
                <w:rFonts w:ascii="Arial" w:cs="Arial" w:eastAsia="Arial" w:hAnsi="Arial"/>
                <w:sz w:val="14"/>
                <w:szCs w:val="14"/>
                <w:color w:val="auto"/>
              </w:rPr>
              <w:t xml:space="preserve">​5,963,738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41"/>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Salary payments</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tcPr>
          <w:p>
            <w:pPr>
              <w:spacing w:after="0"/>
              <w:rPr>
                <w:sz w:val="20"/>
                <w:szCs w:val="20"/>
                <w:color w:val="auto"/>
              </w:rPr>
            </w:pPr>
          </w:p>
        </w:tc>
        <w:tc>
          <w:tcPr>
            <w:tcW w:w="940" w:type="dxa"/>
            <w:vAlign w:val="bottom"/>
          </w:tcPr>
          <w:p>
            <w:pPr>
              <w:jc w:val="right"/>
              <w:ind w:right="69"/>
              <w:spacing w:after="0" w:line="241" w:lineRule="exact"/>
              <w:rPr>
                <w:sz w:val="20"/>
                <w:szCs w:val="20"/>
                <w:color w:val="auto"/>
              </w:rPr>
            </w:pPr>
            <w:r>
              <w:rPr>
                <w:rFonts w:ascii="Arial" w:cs="Arial" w:eastAsia="Arial" w:hAnsi="Arial"/>
                <w:sz w:val="14"/>
                <w:szCs w:val="14"/>
                <w:color w:val="auto"/>
                <w:w w:val="96"/>
              </w:rPr>
              <w:t>2,160,574</w:t>
            </w:r>
            <w:r>
              <w:rPr>
                <w:rFonts w:ascii="Arial" w:cs="Arial" w:eastAsia="Arial" w:hAnsi="Arial"/>
                <w:sz w:val="23"/>
                <w:szCs w:val="23"/>
                <w:color w:val="auto"/>
                <w:w w:val="96"/>
                <w:vertAlign w:val="superscript"/>
              </w:rPr>
              <w:t>(5)</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tcPr>
          <w:p>
            <w:pPr>
              <w:spacing w:after="0"/>
              <w:rPr>
                <w:sz w:val="20"/>
                <w:szCs w:val="20"/>
                <w:color w:val="auto"/>
              </w:rPr>
            </w:pPr>
          </w:p>
        </w:tc>
        <w:tc>
          <w:tcPr>
            <w:tcW w:w="104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41"/>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Bonus</w:t>
            </w:r>
          </w:p>
        </w:tc>
        <w:tc>
          <w:tcPr>
            <w:tcW w:w="220" w:type="dxa"/>
            <w:vAlign w:val="bottom"/>
            <w:tcBorders>
              <w:right w:val="single" w:sz="8" w:color="F1F2F2"/>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F1F2F2"/>
          </w:tcPr>
          <w:p>
            <w:pPr>
              <w:jc w:val="right"/>
              <w:ind w:right="169"/>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F1F2F2"/>
          </w:tcPr>
          <w:p>
            <w:pPr>
              <w:spacing w:after="0"/>
              <w:rPr>
                <w:sz w:val="20"/>
                <w:szCs w:val="20"/>
                <w:color w:val="auto"/>
              </w:rPr>
            </w:pPr>
          </w:p>
        </w:tc>
        <w:tc>
          <w:tcPr>
            <w:tcW w:w="940" w:type="dxa"/>
            <w:vAlign w:val="bottom"/>
            <w:shd w:val="clear" w:color="auto" w:fill="F1F2F2"/>
          </w:tcPr>
          <w:p>
            <w:pPr>
              <w:jc w:val="right"/>
              <w:ind w:right="89"/>
              <w:spacing w:after="0" w:line="241" w:lineRule="exact"/>
              <w:rPr>
                <w:sz w:val="20"/>
                <w:szCs w:val="20"/>
                <w:color w:val="auto"/>
              </w:rPr>
            </w:pPr>
            <w:r>
              <w:rPr>
                <w:rFonts w:ascii="Arial" w:cs="Arial" w:eastAsia="Arial" w:hAnsi="Arial"/>
                <w:sz w:val="14"/>
                <w:szCs w:val="14"/>
                <w:color w:val="auto"/>
              </w:rPr>
              <w:t>668,749</w:t>
            </w:r>
            <w:r>
              <w:rPr>
                <w:rFonts w:ascii="Arial" w:cs="Arial" w:eastAsia="Arial" w:hAnsi="Arial"/>
                <w:sz w:val="23"/>
                <w:szCs w:val="23"/>
                <w:color w:val="auto"/>
                <w:vertAlign w:val="superscript"/>
              </w:rPr>
              <w:t>(6)</w:t>
            </w: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F1F2F2"/>
          </w:tcPr>
          <w:p>
            <w:pPr>
              <w:spacing w:after="0"/>
              <w:rPr>
                <w:sz w:val="20"/>
                <w:szCs w:val="20"/>
                <w:color w:val="auto"/>
              </w:rPr>
            </w:pPr>
          </w:p>
        </w:tc>
        <w:tc>
          <w:tcPr>
            <w:tcW w:w="1040" w:type="dxa"/>
            <w:vAlign w:val="bottom"/>
            <w:shd w:val="clear" w:color="auto" w:fill="F1F2F2"/>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F1F2F2"/>
          </w:tcPr>
          <w:p>
            <w:pPr>
              <w:jc w:val="right"/>
              <w:ind w:right="71"/>
              <w:spacing w:after="0" w:line="241" w:lineRule="exact"/>
              <w:rPr>
                <w:sz w:val="20"/>
                <w:szCs w:val="20"/>
                <w:color w:val="auto"/>
              </w:rPr>
            </w:pPr>
            <w:r>
              <w:rPr>
                <w:rFonts w:ascii="Arial" w:cs="Arial" w:eastAsia="Arial" w:hAnsi="Arial"/>
                <w:sz w:val="27"/>
                <w:szCs w:val="27"/>
                <w:color w:val="auto"/>
                <w:vertAlign w:val="subscript"/>
              </w:rPr>
              <w:t>—</w:t>
            </w:r>
            <w:r>
              <w:rPr>
                <w:rFonts w:ascii="Times New Roman" w:cs="Times New Roman" w:eastAsia="Times New Roman" w:hAnsi="Times New Roman"/>
                <w:sz w:val="3"/>
                <w:szCs w:val="3"/>
                <w:color w:val="auto"/>
              </w:rPr>
              <w:t xml:space="preserve"> ​</w:t>
            </w:r>
          </w:p>
        </w:tc>
        <w:tc>
          <w:tcPr>
            <w:tcW w:w="0" w:type="dxa"/>
            <w:vAlign w:val="bottom"/>
          </w:tcPr>
          <w:p>
            <w:pPr>
              <w:spacing w:after="0"/>
              <w:rPr>
                <w:sz w:val="1"/>
                <w:szCs w:val="1"/>
                <w:color w:val="auto"/>
              </w:rPr>
            </w:pPr>
          </w:p>
        </w:tc>
      </w:tr>
      <w:tr>
        <w:trPr>
          <w:trHeight w:val="241"/>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Benefits continuation</w:t>
            </w:r>
          </w:p>
        </w:tc>
        <w:tc>
          <w:tcPr>
            <w:tcW w:w="220" w:type="dxa"/>
            <w:vAlign w:val="bottom"/>
            <w:tcBorders>
              <w:right w:val="single" w:sz="8" w:color="F1F2F2"/>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F1F2F2"/>
          </w:tcPr>
          <w:p>
            <w:pPr>
              <w:jc w:val="right"/>
              <w:ind w:right="169"/>
              <w:spacing w:after="0"/>
              <w:rPr>
                <w:sz w:val="20"/>
                <w:szCs w:val="20"/>
                <w:color w:val="auto"/>
              </w:rPr>
            </w:pPr>
            <w:r>
              <w:rPr>
                <w:rFonts w:ascii="Arial" w:cs="Arial" w:eastAsia="Arial" w:hAnsi="Arial"/>
                <w:sz w:val="14"/>
                <w:szCs w:val="14"/>
                <w:color w:val="auto"/>
              </w:rPr>
              <w:t>—</w:t>
            </w:r>
          </w:p>
        </w:tc>
        <w:tc>
          <w:tcPr>
            <w:tcW w:w="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F1F2F2"/>
          </w:tcPr>
          <w:p>
            <w:pPr>
              <w:ind w:left="280"/>
              <w:spacing w:after="0"/>
              <w:rPr>
                <w:sz w:val="20"/>
                <w:szCs w:val="20"/>
                <w:color w:val="auto"/>
              </w:rPr>
            </w:pPr>
            <w:r>
              <w:rPr>
                <w:rFonts w:ascii="Arial" w:cs="Arial" w:eastAsia="Arial" w:hAnsi="Arial"/>
                <w:sz w:val="14"/>
                <w:szCs w:val="14"/>
                <w:color w:val="auto"/>
              </w:rPr>
              <w:t>​</w:t>
            </w:r>
          </w:p>
        </w:tc>
        <w:tc>
          <w:tcPr>
            <w:tcW w:w="940" w:type="dxa"/>
            <w:vAlign w:val="bottom"/>
            <w:shd w:val="clear" w:color="auto" w:fill="F1F2F2"/>
          </w:tcPr>
          <w:p>
            <w:pPr>
              <w:jc w:val="right"/>
              <w:ind w:right="89"/>
              <w:spacing w:after="0" w:line="241" w:lineRule="exact"/>
              <w:rPr>
                <w:sz w:val="20"/>
                <w:szCs w:val="20"/>
                <w:color w:val="auto"/>
              </w:rPr>
            </w:pPr>
            <w:r>
              <w:rPr>
                <w:rFonts w:ascii="Arial" w:cs="Arial" w:eastAsia="Arial" w:hAnsi="Arial"/>
                <w:sz w:val="14"/>
                <w:szCs w:val="14"/>
                <w:color w:val="auto"/>
              </w:rPr>
              <w:t>43,443</w:t>
            </w:r>
            <w:r>
              <w:rPr>
                <w:rFonts w:ascii="Arial" w:cs="Arial" w:eastAsia="Arial" w:hAnsi="Arial"/>
                <w:sz w:val="23"/>
                <w:szCs w:val="23"/>
                <w:color w:val="auto"/>
                <w:vertAlign w:val="superscript"/>
              </w:rPr>
              <w:t>(3)</w:t>
            </w: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F1F2F2"/>
          </w:tcPr>
          <w:p>
            <w:pPr>
              <w:spacing w:after="0"/>
              <w:rPr>
                <w:sz w:val="20"/>
                <w:szCs w:val="20"/>
                <w:color w:val="auto"/>
              </w:rPr>
            </w:pPr>
          </w:p>
        </w:tc>
        <w:tc>
          <w:tcPr>
            <w:tcW w:w="1040" w:type="dxa"/>
            <w:vAlign w:val="bottom"/>
            <w:shd w:val="clear" w:color="auto" w:fill="F1F2F2"/>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F1F2F2"/>
          </w:tcPr>
          <w:p>
            <w:pPr>
              <w:jc w:val="right"/>
              <w:ind w:right="71"/>
              <w:spacing w:after="0" w:line="241" w:lineRule="exact"/>
              <w:rPr>
                <w:sz w:val="20"/>
                <w:szCs w:val="20"/>
                <w:color w:val="auto"/>
              </w:rPr>
            </w:pPr>
            <w:r>
              <w:rPr>
                <w:rFonts w:ascii="Arial" w:cs="Arial" w:eastAsia="Arial" w:hAnsi="Arial"/>
                <w:sz w:val="27"/>
                <w:szCs w:val="27"/>
                <w:color w:val="auto"/>
                <w:vertAlign w:val="subscript"/>
              </w:rPr>
              <w:t>—</w:t>
            </w:r>
            <w:r>
              <w:rPr>
                <w:rFonts w:ascii="Times New Roman" w:cs="Times New Roman" w:eastAsia="Times New Roman" w:hAnsi="Times New Roman"/>
                <w:sz w:val="3"/>
                <w:szCs w:val="3"/>
                <w:color w:val="auto"/>
              </w:rPr>
              <w:t xml:space="preserve"> ​</w:t>
            </w:r>
          </w:p>
        </w:tc>
        <w:tc>
          <w:tcPr>
            <w:tcW w:w="0" w:type="dxa"/>
            <w:vAlign w:val="bottom"/>
          </w:tcPr>
          <w:p>
            <w:pPr>
              <w:spacing w:after="0"/>
              <w:rPr>
                <w:sz w:val="1"/>
                <w:szCs w:val="1"/>
                <w:color w:val="auto"/>
              </w:rPr>
            </w:pPr>
          </w:p>
        </w:tc>
      </w:tr>
      <w:tr>
        <w:trPr>
          <w:trHeight w:val="241"/>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960" w:type="dxa"/>
            <w:vAlign w:val="bottom"/>
            <w:tcBorders>
              <w:right w:val="single" w:sz="8" w:color="F1F2F2"/>
            </w:tcBorders>
            <w:gridSpan w:val="2"/>
          </w:tcPr>
          <w:p>
            <w:pPr>
              <w:ind w:left="320"/>
              <w:spacing w:after="0"/>
              <w:rPr>
                <w:sz w:val="20"/>
                <w:szCs w:val="20"/>
                <w:color w:val="auto"/>
              </w:rPr>
            </w:pPr>
            <w:r>
              <w:rPr>
                <w:rFonts w:ascii="Arial" w:cs="Arial" w:eastAsia="Arial" w:hAnsi="Arial"/>
                <w:sz w:val="14"/>
                <w:szCs w:val="14"/>
                <w:color w:val="auto"/>
              </w:rPr>
              <w:t xml:space="preserve">Outplacement services </w:t>
            </w:r>
            <w:r>
              <w:rPr>
                <w:rFonts w:ascii="Times New Roman" w:cs="Times New Roman" w:eastAsia="Times New Roman" w:hAnsi="Times New Roman"/>
                <w:sz w:val="3"/>
                <w:szCs w:val="3"/>
                <w:color w:val="auto"/>
              </w:rPr>
              <w:t>​   ​</w:t>
            </w:r>
          </w:p>
        </w:tc>
        <w:tc>
          <w:tcPr>
            <w:tcW w:w="1140" w:type="dxa"/>
            <w:vAlign w:val="bottom"/>
            <w:shd w:val="clear" w:color="auto" w:fill="F1F2F2"/>
          </w:tcPr>
          <w:p>
            <w:pPr>
              <w:jc w:val="right"/>
              <w:ind w:right="169"/>
              <w:spacing w:after="0"/>
              <w:rPr>
                <w:sz w:val="20"/>
                <w:szCs w:val="20"/>
                <w:color w:val="auto"/>
              </w:rPr>
            </w:pPr>
            <w:r>
              <w:rPr>
                <w:rFonts w:ascii="Arial" w:cs="Arial" w:eastAsia="Arial" w:hAnsi="Arial"/>
                <w:sz w:val="14"/>
                <w:szCs w:val="14"/>
                <w:color w:val="auto"/>
              </w:rPr>
              <w:t>—</w:t>
            </w:r>
          </w:p>
        </w:tc>
        <w:tc>
          <w:tcPr>
            <w:tcW w:w="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F1F2F2"/>
          </w:tcPr>
          <w:p>
            <w:pPr>
              <w:spacing w:after="0"/>
              <w:rPr>
                <w:sz w:val="20"/>
                <w:szCs w:val="20"/>
                <w:color w:val="auto"/>
              </w:rPr>
            </w:pPr>
          </w:p>
        </w:tc>
        <w:tc>
          <w:tcPr>
            <w:tcW w:w="940" w:type="dxa"/>
            <w:vAlign w:val="bottom"/>
            <w:shd w:val="clear" w:color="auto" w:fill="F1F2F2"/>
          </w:tcPr>
          <w:p>
            <w:pPr>
              <w:jc w:val="right"/>
              <w:ind w:right="89"/>
              <w:spacing w:after="0" w:line="241" w:lineRule="exact"/>
              <w:rPr>
                <w:sz w:val="20"/>
                <w:szCs w:val="20"/>
                <w:color w:val="auto"/>
              </w:rPr>
            </w:pPr>
            <w:r>
              <w:rPr>
                <w:rFonts w:ascii="Arial" w:cs="Arial" w:eastAsia="Arial" w:hAnsi="Arial"/>
                <w:sz w:val="14"/>
                <w:szCs w:val="14"/>
                <w:color w:val="auto"/>
              </w:rPr>
              <w:t>20,700</w:t>
            </w:r>
            <w:r>
              <w:rPr>
                <w:rFonts w:ascii="Arial" w:cs="Arial" w:eastAsia="Arial" w:hAnsi="Arial"/>
                <w:sz w:val="23"/>
                <w:szCs w:val="23"/>
                <w:color w:val="auto"/>
                <w:vertAlign w:val="superscript"/>
              </w:rPr>
              <w:t>(4)</w:t>
            </w: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F1F2F2"/>
          </w:tcPr>
          <w:p>
            <w:pPr>
              <w:spacing w:after="0"/>
              <w:rPr>
                <w:sz w:val="20"/>
                <w:szCs w:val="20"/>
                <w:color w:val="auto"/>
              </w:rPr>
            </w:pPr>
          </w:p>
        </w:tc>
        <w:tc>
          <w:tcPr>
            <w:tcW w:w="1040" w:type="dxa"/>
            <w:vAlign w:val="bottom"/>
            <w:shd w:val="clear" w:color="auto" w:fill="F1F2F2"/>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F1F2F2"/>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20"/>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Relocation</w:t>
            </w:r>
          </w:p>
        </w:tc>
        <w:tc>
          <w:tcPr>
            <w:tcW w:w="220" w:type="dxa"/>
            <w:vAlign w:val="bottom"/>
            <w:tcBorders>
              <w:right w:val="single" w:sz="8" w:color="F1F2F2"/>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F1F2F2"/>
          </w:tcPr>
          <w:p>
            <w:pPr>
              <w:jc w:val="right"/>
              <w:ind w:right="169"/>
              <w:spacing w:after="0"/>
              <w:rPr>
                <w:sz w:val="20"/>
                <w:szCs w:val="20"/>
                <w:color w:val="auto"/>
              </w:rPr>
            </w:pPr>
            <w:r>
              <w:rPr>
                <w:rFonts w:ascii="Arial" w:cs="Arial" w:eastAsia="Arial" w:hAnsi="Arial"/>
                <w:sz w:val="14"/>
                <w:szCs w:val="14"/>
                <w:color w:val="auto"/>
              </w:rPr>
              <w:t>—</w:t>
            </w:r>
          </w:p>
        </w:tc>
        <w:tc>
          <w:tcPr>
            <w:tcW w:w="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F1F2F2"/>
          </w:tcPr>
          <w:p>
            <w:pPr>
              <w:spacing w:after="0"/>
              <w:rPr>
                <w:sz w:val="19"/>
                <w:szCs w:val="19"/>
                <w:color w:val="auto"/>
              </w:rPr>
            </w:pPr>
          </w:p>
        </w:tc>
        <w:tc>
          <w:tcPr>
            <w:tcW w:w="940" w:type="dxa"/>
            <w:vAlign w:val="bottom"/>
            <w:shd w:val="clear" w:color="auto" w:fill="F1F2F2"/>
          </w:tcPr>
          <w:p>
            <w:pPr>
              <w:jc w:val="right"/>
              <w:ind w:right="229"/>
              <w:spacing w:after="0"/>
              <w:rPr>
                <w:sz w:val="20"/>
                <w:szCs w:val="20"/>
                <w:color w:val="auto"/>
              </w:rPr>
            </w:pPr>
            <w:r>
              <w:rPr>
                <w:rFonts w:ascii="Arial" w:cs="Arial" w:eastAsia="Arial" w:hAnsi="Arial"/>
                <w:sz w:val="14"/>
                <w:szCs w:val="14"/>
                <w:color w:val="auto"/>
              </w:rPr>
              <w:t>—</w:t>
            </w: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F1F2F2"/>
          </w:tcPr>
          <w:p>
            <w:pPr>
              <w:spacing w:after="0"/>
              <w:rPr>
                <w:sz w:val="19"/>
                <w:szCs w:val="19"/>
                <w:color w:val="auto"/>
              </w:rPr>
            </w:pPr>
          </w:p>
        </w:tc>
        <w:tc>
          <w:tcPr>
            <w:tcW w:w="1040" w:type="dxa"/>
            <w:vAlign w:val="bottom"/>
            <w:shd w:val="clear" w:color="auto" w:fill="F1F2F2"/>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F1F2F2"/>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54"/>
        </w:trPr>
        <w:tc>
          <w:tcPr>
            <w:tcW w:w="80" w:type="dxa"/>
            <w:vAlign w:val="bottom"/>
            <w:tcBorders>
              <w:right w:val="single" w:sz="8" w:color="F1F2F2"/>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580"/>
              <w:spacing w:after="0"/>
              <w:rPr>
                <w:sz w:val="20"/>
                <w:szCs w:val="20"/>
                <w:color w:val="auto"/>
              </w:rPr>
            </w:pPr>
            <w:r>
              <w:rPr>
                <w:rFonts w:ascii="Arial" w:cs="Arial" w:eastAsia="Arial" w:hAnsi="Arial"/>
                <w:sz w:val="14"/>
                <w:szCs w:val="14"/>
                <w:b w:val="1"/>
                <w:bCs w:val="1"/>
                <w:i w:val="1"/>
                <w:iCs w:val="1"/>
                <w:color w:val="auto"/>
              </w:rPr>
              <w:t>Total</w:t>
            </w:r>
          </w:p>
        </w:tc>
        <w:tc>
          <w:tcPr>
            <w:tcW w:w="220" w:type="dxa"/>
            <w:vAlign w:val="bottom"/>
            <w:tcBorders>
              <w:right w:val="single" w:sz="8" w:color="F1F2F2"/>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F1F2F2"/>
          </w:tcPr>
          <w:p>
            <w:pPr>
              <w:jc w:val="right"/>
              <w:ind w:right="169"/>
              <w:spacing w:after="0"/>
              <w:rPr>
                <w:sz w:val="20"/>
                <w:szCs w:val="20"/>
                <w:color w:val="auto"/>
              </w:rPr>
            </w:pPr>
            <w:r>
              <w:rPr>
                <w:rFonts w:ascii="Arial" w:cs="Arial" w:eastAsia="Arial" w:hAnsi="Arial"/>
                <w:sz w:val="14"/>
                <w:szCs w:val="14"/>
                <w:b w:val="1"/>
                <w:bCs w:val="1"/>
                <w:i w:val="1"/>
                <w:iCs w:val="1"/>
                <w:color w:val="auto"/>
              </w:rPr>
              <w:t>—</w:t>
            </w:r>
          </w:p>
        </w:tc>
        <w:tc>
          <w:tcPr>
            <w:tcW w:w="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gridSpan w:val="2"/>
            <w:shd w:val="clear" w:color="auto" w:fill="F1F2F2"/>
          </w:tcPr>
          <w:p>
            <w:pPr>
              <w:jc w:val="right"/>
              <w:ind w:right="229"/>
              <w:spacing w:after="0"/>
              <w:rPr>
                <w:sz w:val="20"/>
                <w:szCs w:val="20"/>
                <w:color w:val="auto"/>
              </w:rPr>
            </w:pPr>
            <w:r>
              <w:rPr>
                <w:rFonts w:ascii="Arial" w:cs="Arial" w:eastAsia="Arial" w:hAnsi="Arial"/>
                <w:sz w:val="14"/>
                <w:szCs w:val="14"/>
                <w:b w:val="1"/>
                <w:bCs w:val="1"/>
                <w:i w:val="1"/>
                <w:iCs w:val="1"/>
                <w:color w:val="auto"/>
              </w:rPr>
              <w:t>​ 8,857,204</w:t>
            </w: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F1F2F2"/>
          </w:tcPr>
          <w:p>
            <w:pPr>
              <w:spacing w:after="0"/>
              <w:rPr>
                <w:sz w:val="22"/>
                <w:szCs w:val="22"/>
                <w:color w:val="auto"/>
              </w:rPr>
            </w:pPr>
          </w:p>
        </w:tc>
        <w:tc>
          <w:tcPr>
            <w:tcW w:w="1040" w:type="dxa"/>
            <w:vAlign w:val="bottom"/>
            <w:shd w:val="clear" w:color="auto" w:fill="F1F2F2"/>
          </w:tcPr>
          <w:p>
            <w:pPr>
              <w:jc w:val="right"/>
              <w:ind w:right="409"/>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F1F2F2"/>
          </w:tcPr>
          <w:p>
            <w:pPr>
              <w:jc w:val="center"/>
              <w:spacing w:after="0"/>
              <w:rPr>
                <w:sz w:val="20"/>
                <w:szCs w:val="20"/>
                <w:color w:val="auto"/>
              </w:rPr>
            </w:pPr>
            <w:r>
              <w:rPr>
                <w:rFonts w:ascii="Arial" w:cs="Arial" w:eastAsia="Arial" w:hAnsi="Arial"/>
                <w:sz w:val="14"/>
                <w:szCs w:val="14"/>
                <w:b w:val="1"/>
                <w:bCs w:val="1"/>
                <w:i w:val="1"/>
                <w:iCs w:val="1"/>
                <w:color w:val="auto"/>
                <w:w w:val="99"/>
              </w:rPr>
              <w:t>—</w:t>
            </w:r>
          </w:p>
        </w:tc>
        <w:tc>
          <w:tcPr>
            <w:tcW w:w="100" w:type="dxa"/>
            <w:vAlign w:val="bottom"/>
            <w:shd w:val="clear" w:color="auto" w:fill="F1F2F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F1F2F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F1F2F2"/>
          </w:tcPr>
          <w:p>
            <w:pPr>
              <w:jc w:val="right"/>
              <w:ind w:right="71"/>
              <w:spacing w:after="0"/>
              <w:rPr>
                <w:sz w:val="20"/>
                <w:szCs w:val="20"/>
                <w:color w:val="auto"/>
              </w:rPr>
            </w:pPr>
            <w:r>
              <w:rPr>
                <w:rFonts w:ascii="Arial" w:cs="Arial" w:eastAsia="Arial" w:hAnsi="Arial"/>
                <w:sz w:val="14"/>
                <w:szCs w:val="14"/>
                <w:b w:val="1"/>
                <w:bCs w:val="1"/>
                <w:i w:val="1"/>
                <w:iCs w:val="1"/>
                <w:color w:val="auto"/>
              </w:rPr>
              <w:t xml:space="preserve">​5,963,738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34"/>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shd w:val="clear" w:color="auto" w:fill="ACABC0"/>
          </w:tcPr>
          <w:p>
            <w:pPr>
              <w:ind w:left="40"/>
              <w:spacing w:after="0"/>
              <w:rPr>
                <w:sz w:val="20"/>
                <w:szCs w:val="20"/>
                <w:color w:val="auto"/>
              </w:rPr>
            </w:pPr>
            <w:r>
              <w:rPr>
                <w:rFonts w:ascii="Arial" w:cs="Arial" w:eastAsia="Arial" w:hAnsi="Arial"/>
                <w:sz w:val="14"/>
                <w:szCs w:val="14"/>
                <w:b w:val="1"/>
                <w:bCs w:val="1"/>
                <w:color w:val="auto"/>
              </w:rPr>
              <w:t>Jason E. Doughty</w:t>
            </w:r>
          </w:p>
        </w:tc>
        <w:tc>
          <w:tcPr>
            <w:tcW w:w="220" w:type="dxa"/>
            <w:vAlign w:val="bottom"/>
            <w:tcBorders>
              <w:right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spacing w:after="0"/>
              <w:rPr>
                <w:sz w:val="20"/>
                <w:szCs w:val="20"/>
                <w:color w:val="auto"/>
              </w:rPr>
            </w:pPr>
          </w:p>
        </w:tc>
        <w:tc>
          <w:tcPr>
            <w:tcW w:w="140" w:type="dxa"/>
            <w:vAlign w:val="bottom"/>
            <w:gridSpan w:val="2"/>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ACABC0"/>
          </w:tcPr>
          <w:p>
            <w:pPr>
              <w:spacing w:after="0"/>
              <w:rPr>
                <w:sz w:val="20"/>
                <w:szCs w:val="20"/>
                <w:color w:val="auto"/>
              </w:rPr>
            </w:pPr>
          </w:p>
        </w:tc>
        <w:tc>
          <w:tcPr>
            <w:tcW w:w="940" w:type="dxa"/>
            <w:vAlign w:val="bottom"/>
            <w:shd w:val="clear" w:color="auto" w:fill="ACABC0"/>
          </w:tcPr>
          <w:p>
            <w:pPr>
              <w:spacing w:after="0"/>
              <w:rPr>
                <w:sz w:val="20"/>
                <w:szCs w:val="20"/>
                <w:color w:val="auto"/>
              </w:rPr>
            </w:pP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spacing w:after="0"/>
              <w:rPr>
                <w:sz w:val="20"/>
                <w:szCs w:val="20"/>
                <w:color w:val="auto"/>
              </w:rPr>
            </w:pPr>
          </w:p>
        </w:tc>
        <w:tc>
          <w:tcPr>
            <w:tcW w:w="1040" w:type="dxa"/>
            <w:vAlign w:val="bottom"/>
            <w:shd w:val="clear" w:color="auto" w:fill="ACABC0"/>
          </w:tcPr>
          <w:p>
            <w:pPr>
              <w:spacing w:after="0"/>
              <w:rPr>
                <w:sz w:val="20"/>
                <w:szCs w:val="20"/>
                <w:color w:val="auto"/>
              </w:rPr>
            </w:pP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spacing w:after="0"/>
              <w:rPr>
                <w:sz w:val="20"/>
                <w:szCs w:val="20"/>
                <w:color w:val="auto"/>
              </w:rPr>
            </w:pP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shd w:val="clear" w:color="auto" w:fill="ACABC0"/>
          </w:tcPr>
          <w:p>
            <w:pPr>
              <w:spacing w:after="0"/>
              <w:rPr>
                <w:sz w:val="20"/>
                <w:szCs w:val="20"/>
                <w:color w:val="auto"/>
              </w:rPr>
            </w:pPr>
          </w:p>
        </w:tc>
        <w:tc>
          <w:tcPr>
            <w:tcW w:w="100" w:type="dxa"/>
            <w:vAlign w:val="bottom"/>
            <w:shd w:val="clear" w:color="auto" w:fill="ACABC0"/>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56"/>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shd w:val="clear" w:color="auto" w:fill="ACABC0"/>
          </w:tcPr>
          <w:p>
            <w:pPr>
              <w:ind w:left="320"/>
              <w:spacing w:after="0" w:line="256" w:lineRule="exact"/>
              <w:rPr>
                <w:sz w:val="20"/>
                <w:szCs w:val="20"/>
                <w:color w:val="auto"/>
              </w:rPr>
            </w:pPr>
            <w:r>
              <w:rPr>
                <w:rFonts w:ascii="Arial" w:cs="Arial" w:eastAsia="Arial" w:hAnsi="Arial"/>
                <w:sz w:val="14"/>
                <w:szCs w:val="14"/>
                <w:color w:val="auto"/>
              </w:rPr>
              <w:t>Equity acceleration</w:t>
            </w:r>
            <w:r>
              <w:rPr>
                <w:rFonts w:ascii="Arial" w:cs="Arial" w:eastAsia="Arial" w:hAnsi="Arial"/>
                <w:sz w:val="23"/>
                <w:szCs w:val="23"/>
                <w:color w:val="auto"/>
                <w:vertAlign w:val="superscript"/>
              </w:rPr>
              <w:t>(1)</w:t>
            </w:r>
          </w:p>
        </w:tc>
        <w:tc>
          <w:tcPr>
            <w:tcW w:w="220" w:type="dxa"/>
            <w:vAlign w:val="bottom"/>
            <w:tcBorders>
              <w:right w:val="single" w:sz="8" w:color="ACABC0"/>
            </w:tcBorders>
            <w:shd w:val="clear" w:color="auto" w:fill="ACABC0"/>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gridSpan w:val="2"/>
            <w:shd w:val="clear" w:color="auto" w:fill="ACABC0"/>
          </w:tcPr>
          <w:p>
            <w:pPr>
              <w:jc w:val="right"/>
              <w:ind w:right="229"/>
              <w:spacing w:after="0"/>
              <w:rPr>
                <w:sz w:val="20"/>
                <w:szCs w:val="20"/>
                <w:color w:val="auto"/>
              </w:rPr>
            </w:pPr>
            <w:r>
              <w:rPr>
                <w:rFonts w:ascii="Arial" w:cs="Arial" w:eastAsia="Arial" w:hAnsi="Arial"/>
                <w:sz w:val="14"/>
                <w:szCs w:val="14"/>
                <w:color w:val="auto"/>
              </w:rPr>
              <w:t>​ 4,223,958</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spacing w:after="0"/>
              <w:rPr>
                <w:sz w:val="22"/>
                <w:szCs w:val="22"/>
                <w:color w:val="auto"/>
              </w:rPr>
            </w:pPr>
          </w:p>
        </w:tc>
        <w:tc>
          <w:tcPr>
            <w:tcW w:w="1040" w:type="dxa"/>
            <w:vAlign w:val="bottom"/>
            <w:shd w:val="clear" w:color="auto" w:fill="ACABC0"/>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ACABC0"/>
          </w:tcPr>
          <w:p>
            <w:pPr>
              <w:jc w:val="right"/>
              <w:ind w:right="71"/>
              <w:spacing w:after="0"/>
              <w:rPr>
                <w:sz w:val="20"/>
                <w:szCs w:val="20"/>
                <w:color w:val="auto"/>
              </w:rPr>
            </w:pPr>
            <w:r>
              <w:rPr>
                <w:rFonts w:ascii="Arial" w:cs="Arial" w:eastAsia="Arial" w:hAnsi="Arial"/>
                <w:sz w:val="14"/>
                <w:szCs w:val="14"/>
                <w:color w:val="auto"/>
              </w:rPr>
              <w:t xml:space="preserve">​4,223,958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41"/>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Salary payments</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tcPr>
          <w:p>
            <w:pPr>
              <w:spacing w:after="0"/>
              <w:rPr>
                <w:sz w:val="20"/>
                <w:szCs w:val="20"/>
                <w:color w:val="auto"/>
              </w:rPr>
            </w:pPr>
          </w:p>
        </w:tc>
        <w:tc>
          <w:tcPr>
            <w:tcW w:w="940" w:type="dxa"/>
            <w:vAlign w:val="bottom"/>
          </w:tcPr>
          <w:p>
            <w:pPr>
              <w:jc w:val="right"/>
              <w:ind w:right="89"/>
              <w:spacing w:after="0" w:line="241" w:lineRule="exact"/>
              <w:rPr>
                <w:sz w:val="20"/>
                <w:szCs w:val="20"/>
                <w:color w:val="auto"/>
              </w:rPr>
            </w:pPr>
            <w:r>
              <w:rPr>
                <w:rFonts w:ascii="Arial" w:cs="Arial" w:eastAsia="Arial" w:hAnsi="Arial"/>
                <w:sz w:val="14"/>
                <w:szCs w:val="14"/>
                <w:color w:val="auto"/>
                <w:w w:val="93"/>
              </w:rPr>
              <w:t>1,292,178</w:t>
            </w:r>
            <w:r>
              <w:rPr>
                <w:rFonts w:ascii="Arial" w:cs="Arial" w:eastAsia="Arial" w:hAnsi="Arial"/>
                <w:sz w:val="23"/>
                <w:szCs w:val="23"/>
                <w:color w:val="auto"/>
                <w:w w:val="93"/>
                <w:vertAlign w:val="superscript"/>
              </w:rPr>
              <w:t>(5)</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tcPr>
          <w:p>
            <w:pPr>
              <w:spacing w:after="0"/>
              <w:rPr>
                <w:sz w:val="20"/>
                <w:szCs w:val="20"/>
                <w:color w:val="auto"/>
              </w:rPr>
            </w:pPr>
          </w:p>
        </w:tc>
        <w:tc>
          <w:tcPr>
            <w:tcW w:w="1040" w:type="dxa"/>
            <w:vAlign w:val="bottom"/>
          </w:tcPr>
          <w:p>
            <w:pPr>
              <w:jc w:val="right"/>
              <w:ind w:right="249"/>
              <w:spacing w:after="0" w:line="241" w:lineRule="exact"/>
              <w:rPr>
                <w:sz w:val="20"/>
                <w:szCs w:val="20"/>
                <w:color w:val="auto"/>
              </w:rPr>
            </w:pPr>
            <w:r>
              <w:rPr>
                <w:rFonts w:ascii="Arial" w:cs="Arial" w:eastAsia="Arial" w:hAnsi="Arial"/>
                <w:sz w:val="14"/>
                <w:szCs w:val="14"/>
                <w:color w:val="auto"/>
              </w:rPr>
              <w:t>466,620</w:t>
            </w:r>
            <w:r>
              <w:rPr>
                <w:rFonts w:ascii="Arial" w:cs="Arial" w:eastAsia="Arial" w:hAnsi="Arial"/>
                <w:sz w:val="23"/>
                <w:szCs w:val="23"/>
                <w:color w:val="auto"/>
                <w:vertAlign w:val="superscript"/>
              </w:rPr>
              <w:t>(7)</w:t>
            </w: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7"/>
                <w:szCs w:val="7"/>
                <w:color w:val="auto"/>
                <w:vertAlign w:val="superscript"/>
              </w:rPr>
              <w:t>​</w:t>
            </w:r>
          </w:p>
        </w:tc>
        <w:tc>
          <w:tcPr>
            <w:tcW w:w="0" w:type="dxa"/>
            <w:vAlign w:val="bottom"/>
          </w:tcPr>
          <w:p>
            <w:pPr>
              <w:spacing w:after="0"/>
              <w:rPr>
                <w:sz w:val="1"/>
                <w:szCs w:val="1"/>
                <w:color w:val="auto"/>
              </w:rPr>
            </w:pPr>
          </w:p>
        </w:tc>
      </w:tr>
      <w:tr>
        <w:trPr>
          <w:trHeight w:val="241"/>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Bonus</w:t>
            </w:r>
          </w:p>
        </w:tc>
        <w:tc>
          <w:tcPr>
            <w:tcW w:w="220" w:type="dxa"/>
            <w:vAlign w:val="bottom"/>
            <w:tcBorders>
              <w:right w:val="single" w:sz="8" w:color="ACABC0"/>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shd w:val="clear" w:color="auto" w:fill="ACABC0"/>
          </w:tcPr>
          <w:p>
            <w:pPr>
              <w:spacing w:after="0"/>
              <w:rPr>
                <w:sz w:val="20"/>
                <w:szCs w:val="20"/>
                <w:color w:val="auto"/>
              </w:rPr>
            </w:pPr>
          </w:p>
        </w:tc>
        <w:tc>
          <w:tcPr>
            <w:tcW w:w="940" w:type="dxa"/>
            <w:vAlign w:val="bottom"/>
            <w:shd w:val="clear" w:color="auto" w:fill="ACABC0"/>
          </w:tcPr>
          <w:p>
            <w:pPr>
              <w:jc w:val="right"/>
              <w:ind w:right="89"/>
              <w:spacing w:after="0" w:line="241" w:lineRule="exact"/>
              <w:rPr>
                <w:sz w:val="20"/>
                <w:szCs w:val="20"/>
                <w:color w:val="auto"/>
              </w:rPr>
            </w:pPr>
            <w:r>
              <w:rPr>
                <w:rFonts w:ascii="Arial" w:cs="Arial" w:eastAsia="Arial" w:hAnsi="Arial"/>
                <w:sz w:val="14"/>
                <w:szCs w:val="14"/>
                <w:color w:val="auto"/>
              </w:rPr>
              <w:t>349,965</w:t>
            </w:r>
            <w:r>
              <w:rPr>
                <w:rFonts w:ascii="Arial" w:cs="Arial" w:eastAsia="Arial" w:hAnsi="Arial"/>
                <w:sz w:val="23"/>
                <w:szCs w:val="23"/>
                <w:color w:val="auto"/>
                <w:vertAlign w:val="superscript"/>
              </w:rPr>
              <w:t>(6)</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spacing w:after="0"/>
              <w:rPr>
                <w:sz w:val="20"/>
                <w:szCs w:val="20"/>
                <w:color w:val="auto"/>
              </w:rPr>
            </w:pPr>
          </w:p>
        </w:tc>
        <w:tc>
          <w:tcPr>
            <w:tcW w:w="1040" w:type="dxa"/>
            <w:vAlign w:val="bottom"/>
            <w:shd w:val="clear" w:color="auto" w:fill="ACABC0"/>
          </w:tcPr>
          <w:p>
            <w:pPr>
              <w:jc w:val="right"/>
              <w:ind w:right="249"/>
              <w:spacing w:after="0" w:line="241" w:lineRule="exact"/>
              <w:rPr>
                <w:sz w:val="20"/>
                <w:szCs w:val="20"/>
                <w:color w:val="auto"/>
              </w:rPr>
            </w:pPr>
            <w:r>
              <w:rPr>
                <w:rFonts w:ascii="Arial" w:cs="Arial" w:eastAsia="Arial" w:hAnsi="Arial"/>
                <w:sz w:val="14"/>
                <w:szCs w:val="14"/>
                <w:color w:val="auto"/>
              </w:rPr>
              <w:t>349,965</w:t>
            </w:r>
            <w:r>
              <w:rPr>
                <w:rFonts w:ascii="Arial" w:cs="Arial" w:eastAsia="Arial" w:hAnsi="Arial"/>
                <w:sz w:val="23"/>
                <w:szCs w:val="23"/>
                <w:color w:val="auto"/>
                <w:vertAlign w:val="superscript"/>
              </w:rPr>
              <w:t>(7)</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ACABC0"/>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41"/>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Benefits continuation</w:t>
            </w:r>
          </w:p>
        </w:tc>
        <w:tc>
          <w:tcPr>
            <w:tcW w:w="220" w:type="dxa"/>
            <w:vAlign w:val="bottom"/>
            <w:tcBorders>
              <w:right w:val="single" w:sz="8" w:color="ACABC0"/>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color w:val="auto"/>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ACABC0"/>
          </w:tcPr>
          <w:p>
            <w:pPr>
              <w:ind w:left="280"/>
              <w:spacing w:after="0"/>
              <w:rPr>
                <w:sz w:val="20"/>
                <w:szCs w:val="20"/>
                <w:color w:val="auto"/>
              </w:rPr>
            </w:pPr>
            <w:r>
              <w:rPr>
                <w:rFonts w:ascii="Arial" w:cs="Arial" w:eastAsia="Arial" w:hAnsi="Arial"/>
                <w:sz w:val="14"/>
                <w:szCs w:val="14"/>
                <w:color w:val="auto"/>
              </w:rPr>
              <w:t>​</w:t>
            </w:r>
          </w:p>
        </w:tc>
        <w:tc>
          <w:tcPr>
            <w:tcW w:w="940" w:type="dxa"/>
            <w:vAlign w:val="bottom"/>
            <w:shd w:val="clear" w:color="auto" w:fill="ACABC0"/>
          </w:tcPr>
          <w:p>
            <w:pPr>
              <w:jc w:val="right"/>
              <w:ind w:right="89"/>
              <w:spacing w:after="0" w:line="241" w:lineRule="exact"/>
              <w:rPr>
                <w:sz w:val="20"/>
                <w:szCs w:val="20"/>
                <w:color w:val="auto"/>
              </w:rPr>
            </w:pPr>
            <w:r>
              <w:rPr>
                <w:rFonts w:ascii="Arial" w:cs="Arial" w:eastAsia="Arial" w:hAnsi="Arial"/>
                <w:sz w:val="14"/>
                <w:szCs w:val="14"/>
                <w:color w:val="auto"/>
              </w:rPr>
              <w:t>60,605</w:t>
            </w:r>
            <w:r>
              <w:rPr>
                <w:rFonts w:ascii="Arial" w:cs="Arial" w:eastAsia="Arial" w:hAnsi="Arial"/>
                <w:sz w:val="23"/>
                <w:szCs w:val="23"/>
                <w:color w:val="auto"/>
                <w:vertAlign w:val="superscript"/>
              </w:rPr>
              <w:t>(3)</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ind w:left="4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ACABC0"/>
          </w:tcPr>
          <w:p>
            <w:pPr>
              <w:jc w:val="right"/>
              <w:ind w:right="249"/>
              <w:spacing w:after="0" w:line="241" w:lineRule="exact"/>
              <w:rPr>
                <w:sz w:val="20"/>
                <w:szCs w:val="20"/>
                <w:color w:val="auto"/>
              </w:rPr>
            </w:pPr>
            <w:r>
              <w:rPr>
                <w:rFonts w:ascii="Arial" w:cs="Arial" w:eastAsia="Arial" w:hAnsi="Arial"/>
                <w:sz w:val="14"/>
                <w:szCs w:val="14"/>
                <w:color w:val="auto"/>
              </w:rPr>
              <w:t>30,303</w:t>
            </w:r>
            <w:r>
              <w:rPr>
                <w:rFonts w:ascii="Arial" w:cs="Arial" w:eastAsia="Arial" w:hAnsi="Arial"/>
                <w:sz w:val="23"/>
                <w:szCs w:val="23"/>
                <w:color w:val="auto"/>
                <w:vertAlign w:val="superscript"/>
              </w:rPr>
              <w:t>(7)</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ACABC0"/>
          </w:tcPr>
          <w:p>
            <w:pPr>
              <w:jc w:val="right"/>
              <w:ind w:right="71"/>
              <w:spacing w:after="0" w:line="241" w:lineRule="exact"/>
              <w:rPr>
                <w:sz w:val="20"/>
                <w:szCs w:val="20"/>
                <w:color w:val="auto"/>
              </w:rPr>
            </w:pPr>
            <w:r>
              <w:rPr>
                <w:rFonts w:ascii="Arial" w:cs="Arial" w:eastAsia="Arial" w:hAnsi="Arial"/>
                <w:sz w:val="27"/>
                <w:szCs w:val="27"/>
                <w:color w:val="auto"/>
                <w:vertAlign w:val="subscript"/>
              </w:rPr>
              <w:t>—</w:t>
            </w:r>
            <w:r>
              <w:rPr>
                <w:rFonts w:ascii="Times New Roman" w:cs="Times New Roman" w:eastAsia="Times New Roman" w:hAnsi="Times New Roman"/>
                <w:sz w:val="3"/>
                <w:szCs w:val="3"/>
                <w:color w:val="auto"/>
              </w:rPr>
              <w:t xml:space="preserve"> ​</w:t>
            </w:r>
          </w:p>
        </w:tc>
        <w:tc>
          <w:tcPr>
            <w:tcW w:w="0" w:type="dxa"/>
            <w:vAlign w:val="bottom"/>
          </w:tcPr>
          <w:p>
            <w:pPr>
              <w:spacing w:after="0"/>
              <w:rPr>
                <w:sz w:val="1"/>
                <w:szCs w:val="1"/>
                <w:color w:val="auto"/>
              </w:rPr>
            </w:pPr>
          </w:p>
        </w:tc>
      </w:tr>
      <w:tr>
        <w:trPr>
          <w:trHeight w:val="241"/>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960" w:type="dxa"/>
            <w:vAlign w:val="bottom"/>
            <w:tcBorders>
              <w:right w:val="single" w:sz="8" w:color="ACABC0"/>
            </w:tcBorders>
            <w:gridSpan w:val="2"/>
          </w:tcPr>
          <w:p>
            <w:pPr>
              <w:ind w:left="320"/>
              <w:spacing w:after="0"/>
              <w:rPr>
                <w:sz w:val="20"/>
                <w:szCs w:val="20"/>
                <w:color w:val="auto"/>
              </w:rPr>
            </w:pPr>
            <w:r>
              <w:rPr>
                <w:rFonts w:ascii="Arial" w:cs="Arial" w:eastAsia="Arial" w:hAnsi="Arial"/>
                <w:sz w:val="14"/>
                <w:szCs w:val="14"/>
                <w:color w:val="auto"/>
              </w:rPr>
              <w:t xml:space="preserve">Outplacement services </w:t>
            </w:r>
            <w:r>
              <w:rPr>
                <w:rFonts w:ascii="Times New Roman" w:cs="Times New Roman" w:eastAsia="Times New Roman" w:hAnsi="Times New Roman"/>
                <w:sz w:val="3"/>
                <w:szCs w:val="3"/>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color w:val="auto"/>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ACABC0"/>
          </w:tcPr>
          <w:p>
            <w:pPr>
              <w:spacing w:after="0"/>
              <w:rPr>
                <w:sz w:val="20"/>
                <w:szCs w:val="20"/>
                <w:color w:val="auto"/>
              </w:rPr>
            </w:pPr>
          </w:p>
        </w:tc>
        <w:tc>
          <w:tcPr>
            <w:tcW w:w="940" w:type="dxa"/>
            <w:vAlign w:val="bottom"/>
            <w:shd w:val="clear" w:color="auto" w:fill="ACABC0"/>
          </w:tcPr>
          <w:p>
            <w:pPr>
              <w:jc w:val="right"/>
              <w:ind w:right="89"/>
              <w:spacing w:after="0" w:line="241" w:lineRule="exact"/>
              <w:rPr>
                <w:sz w:val="20"/>
                <w:szCs w:val="20"/>
                <w:color w:val="auto"/>
              </w:rPr>
            </w:pPr>
            <w:r>
              <w:rPr>
                <w:rFonts w:ascii="Arial" w:cs="Arial" w:eastAsia="Arial" w:hAnsi="Arial"/>
                <w:sz w:val="14"/>
                <w:szCs w:val="14"/>
                <w:color w:val="auto"/>
              </w:rPr>
              <w:t>20,700</w:t>
            </w:r>
            <w:r>
              <w:rPr>
                <w:rFonts w:ascii="Arial" w:cs="Arial" w:eastAsia="Arial" w:hAnsi="Arial"/>
                <w:sz w:val="23"/>
                <w:szCs w:val="23"/>
                <w:color w:val="auto"/>
                <w:vertAlign w:val="superscript"/>
              </w:rPr>
              <w:t>(4)</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spacing w:after="0"/>
              <w:rPr>
                <w:sz w:val="20"/>
                <w:szCs w:val="20"/>
                <w:color w:val="auto"/>
              </w:rPr>
            </w:pPr>
          </w:p>
        </w:tc>
        <w:tc>
          <w:tcPr>
            <w:tcW w:w="1040" w:type="dxa"/>
            <w:vAlign w:val="bottom"/>
            <w:shd w:val="clear" w:color="auto" w:fill="ACABC0"/>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ACABC0"/>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41"/>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320"/>
              <w:spacing w:after="0"/>
              <w:rPr>
                <w:sz w:val="20"/>
                <w:szCs w:val="20"/>
                <w:color w:val="auto"/>
              </w:rPr>
            </w:pPr>
            <w:r>
              <w:rPr>
                <w:rFonts w:ascii="Arial" w:cs="Arial" w:eastAsia="Arial" w:hAnsi="Arial"/>
                <w:sz w:val="14"/>
                <w:szCs w:val="14"/>
                <w:color w:val="auto"/>
              </w:rPr>
              <w:t>Relocation</w:t>
            </w:r>
          </w:p>
        </w:tc>
        <w:tc>
          <w:tcPr>
            <w:tcW w:w="220" w:type="dxa"/>
            <w:vAlign w:val="bottom"/>
            <w:tcBorders>
              <w:right w:val="single" w:sz="8" w:color="ACABC0"/>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color w:val="auto"/>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ACABC0"/>
          </w:tcPr>
          <w:p>
            <w:pPr>
              <w:spacing w:after="0"/>
              <w:rPr>
                <w:sz w:val="20"/>
                <w:szCs w:val="20"/>
                <w:color w:val="auto"/>
              </w:rPr>
            </w:pPr>
          </w:p>
        </w:tc>
        <w:tc>
          <w:tcPr>
            <w:tcW w:w="940" w:type="dxa"/>
            <w:vAlign w:val="bottom"/>
            <w:shd w:val="clear" w:color="auto" w:fill="ACABC0"/>
          </w:tcPr>
          <w:p>
            <w:pPr>
              <w:jc w:val="right"/>
              <w:ind w:right="89"/>
              <w:spacing w:after="0" w:line="241" w:lineRule="exact"/>
              <w:rPr>
                <w:sz w:val="20"/>
                <w:szCs w:val="20"/>
                <w:color w:val="auto"/>
              </w:rPr>
            </w:pPr>
            <w:r>
              <w:rPr>
                <w:rFonts w:ascii="Arial" w:cs="Arial" w:eastAsia="Arial" w:hAnsi="Arial"/>
                <w:sz w:val="14"/>
                <w:szCs w:val="14"/>
                <w:color w:val="auto"/>
              </w:rPr>
              <w:t>29,370</w:t>
            </w:r>
            <w:r>
              <w:rPr>
                <w:rFonts w:ascii="Arial" w:cs="Arial" w:eastAsia="Arial" w:hAnsi="Arial"/>
                <w:sz w:val="23"/>
                <w:szCs w:val="23"/>
                <w:color w:val="auto"/>
                <w:vertAlign w:val="superscript"/>
              </w:rPr>
              <w:t>(8)</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shd w:val="clear" w:color="auto" w:fill="ACABC0"/>
          </w:tcPr>
          <w:p>
            <w:pPr>
              <w:spacing w:after="0"/>
              <w:rPr>
                <w:sz w:val="20"/>
                <w:szCs w:val="20"/>
                <w:color w:val="auto"/>
              </w:rPr>
            </w:pPr>
          </w:p>
        </w:tc>
        <w:tc>
          <w:tcPr>
            <w:tcW w:w="1040" w:type="dxa"/>
            <w:vAlign w:val="bottom"/>
            <w:shd w:val="clear" w:color="auto" w:fill="ACABC0"/>
          </w:tcPr>
          <w:p>
            <w:pPr>
              <w:jc w:val="right"/>
              <w:ind w:right="409"/>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ACABC0"/>
          </w:tcPr>
          <w:p>
            <w:pPr>
              <w:jc w:val="right"/>
              <w:ind w:right="7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28"/>
        </w:trPr>
        <w:tc>
          <w:tcPr>
            <w:tcW w:w="80" w:type="dxa"/>
            <w:vAlign w:val="bottom"/>
            <w:tcBorders>
              <w:right w:val="single" w:sz="8" w:color="ACABC0"/>
            </w:tcBorders>
          </w:tcPr>
          <w:p>
            <w:pPr>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ind w:left="580"/>
              <w:spacing w:after="0"/>
              <w:rPr>
                <w:sz w:val="20"/>
                <w:szCs w:val="20"/>
                <w:color w:val="auto"/>
              </w:rPr>
            </w:pPr>
            <w:r>
              <w:rPr>
                <w:rFonts w:ascii="Arial" w:cs="Arial" w:eastAsia="Arial" w:hAnsi="Arial"/>
                <w:sz w:val="14"/>
                <w:szCs w:val="14"/>
                <w:b w:val="1"/>
                <w:bCs w:val="1"/>
                <w:i w:val="1"/>
                <w:iCs w:val="1"/>
                <w:color w:val="auto"/>
              </w:rPr>
              <w:t>Total</w:t>
            </w:r>
          </w:p>
        </w:tc>
        <w:tc>
          <w:tcPr>
            <w:tcW w:w="220" w:type="dxa"/>
            <w:vAlign w:val="bottom"/>
            <w:tcBorders>
              <w:right w:val="single" w:sz="8" w:color="ACABC0"/>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shd w:val="clear" w:color="auto" w:fill="ACABC0"/>
          </w:tcPr>
          <w:p>
            <w:pPr>
              <w:jc w:val="right"/>
              <w:ind w:right="169"/>
              <w:spacing w:after="0"/>
              <w:rPr>
                <w:sz w:val="20"/>
                <w:szCs w:val="20"/>
                <w:color w:val="auto"/>
              </w:rPr>
            </w:pPr>
            <w:r>
              <w:rPr>
                <w:rFonts w:ascii="Arial" w:cs="Arial" w:eastAsia="Arial" w:hAnsi="Arial"/>
                <w:sz w:val="14"/>
                <w:szCs w:val="14"/>
                <w:b w:val="1"/>
                <w:bCs w:val="1"/>
                <w:i w:val="1"/>
                <w:iCs w:val="1"/>
                <w:color w:val="auto"/>
              </w:rPr>
              <w:t>—</w:t>
            </w:r>
          </w:p>
        </w:tc>
        <w:tc>
          <w:tcPr>
            <w:tcW w:w="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gridSpan w:val="2"/>
            <w:shd w:val="clear" w:color="auto" w:fill="ACABC0"/>
          </w:tcPr>
          <w:p>
            <w:pPr>
              <w:jc w:val="right"/>
              <w:ind w:right="229"/>
              <w:spacing w:after="0"/>
              <w:rPr>
                <w:sz w:val="20"/>
                <w:szCs w:val="20"/>
                <w:color w:val="auto"/>
              </w:rPr>
            </w:pPr>
            <w:r>
              <w:rPr>
                <w:rFonts w:ascii="Arial" w:cs="Arial" w:eastAsia="Arial" w:hAnsi="Arial"/>
                <w:sz w:val="14"/>
                <w:szCs w:val="14"/>
                <w:b w:val="1"/>
                <w:bCs w:val="1"/>
                <w:i w:val="1"/>
                <w:iCs w:val="1"/>
                <w:color w:val="auto"/>
              </w:rPr>
              <w:t>​ 5,976,776</w:t>
            </w:r>
          </w:p>
        </w:tc>
        <w:tc>
          <w:tcPr>
            <w:tcW w:w="14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520" w:type="dxa"/>
            <w:vAlign w:val="bottom"/>
            <w:gridSpan w:val="2"/>
            <w:shd w:val="clear" w:color="auto" w:fill="ACABC0"/>
          </w:tcPr>
          <w:p>
            <w:pPr>
              <w:jc w:val="right"/>
              <w:ind w:right="409"/>
              <w:spacing w:after="0"/>
              <w:rPr>
                <w:sz w:val="20"/>
                <w:szCs w:val="20"/>
                <w:color w:val="auto"/>
              </w:rPr>
            </w:pPr>
            <w:r>
              <w:rPr>
                <w:rFonts w:ascii="Arial" w:cs="Arial" w:eastAsia="Arial" w:hAnsi="Arial"/>
                <w:sz w:val="14"/>
                <w:szCs w:val="14"/>
                <w:b w:val="1"/>
                <w:bCs w:val="1"/>
                <w:i w:val="1"/>
                <w:iCs w:val="1"/>
                <w:color w:val="auto"/>
              </w:rPr>
              <w:t>​ 846,888</w:t>
            </w:r>
          </w:p>
        </w:tc>
        <w:tc>
          <w:tcPr>
            <w:tcW w:w="120" w:type="dxa"/>
            <w:vAlign w:val="bottom"/>
            <w:shd w:val="clear" w:color="auto" w:fill="ACABC0"/>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shd w:val="clear" w:color="auto" w:fill="ACABC0"/>
          </w:tcPr>
          <w:p>
            <w:pPr>
              <w:jc w:val="center"/>
              <w:spacing w:after="0"/>
              <w:rPr>
                <w:sz w:val="20"/>
                <w:szCs w:val="20"/>
                <w:color w:val="auto"/>
              </w:rPr>
            </w:pPr>
            <w:r>
              <w:rPr>
                <w:rFonts w:ascii="Arial" w:cs="Arial" w:eastAsia="Arial" w:hAnsi="Arial"/>
                <w:sz w:val="14"/>
                <w:szCs w:val="14"/>
                <w:b w:val="1"/>
                <w:bCs w:val="1"/>
                <w:i w:val="1"/>
                <w:iCs w:val="1"/>
                <w:color w:val="auto"/>
                <w:w w:val="99"/>
              </w:rPr>
              <w:t>—</w:t>
            </w:r>
          </w:p>
        </w:tc>
        <w:tc>
          <w:tcPr>
            <w:tcW w:w="100" w:type="dxa"/>
            <w:vAlign w:val="bottom"/>
            <w:shd w:val="clear" w:color="auto" w:fill="ACABC0"/>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ACABC0"/>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ACABC0"/>
          </w:tcPr>
          <w:p>
            <w:pPr>
              <w:jc w:val="right"/>
              <w:ind w:right="71"/>
              <w:spacing w:after="0"/>
              <w:rPr>
                <w:sz w:val="20"/>
                <w:szCs w:val="20"/>
                <w:color w:val="auto"/>
              </w:rPr>
            </w:pPr>
            <w:r>
              <w:rPr>
                <w:rFonts w:ascii="Arial" w:cs="Arial" w:eastAsia="Arial" w:hAnsi="Arial"/>
                <w:sz w:val="14"/>
                <w:szCs w:val="14"/>
                <w:b w:val="1"/>
                <w:bCs w:val="1"/>
                <w:i w:val="1"/>
                <w:iCs w:val="1"/>
                <w:color w:val="auto"/>
              </w:rPr>
              <w:t xml:space="preserve">​4,223,958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-5959475</wp:posOffset>
            </wp:positionV>
            <wp:extent cx="5305425" cy="60534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305425" cy="6053455"/>
                    </a:xfrm>
                    <a:prstGeom prst="rect">
                      <a:avLst/>
                    </a:prstGeom>
                    <a:noFill/>
                  </pic:spPr>
                </pic:pic>
              </a:graphicData>
            </a:graphic>
          </wp:anchor>
        </w:drawing>
      </w:r>
    </w:p>
    <w:p>
      <w:pPr>
        <w:spacing w:after="0" w:line="163" w:lineRule="exact"/>
        <w:rPr>
          <w:sz w:val="20"/>
          <w:szCs w:val="20"/>
          <w:color w:val="auto"/>
        </w:rPr>
      </w:pPr>
    </w:p>
    <w:p>
      <w:pPr>
        <w:ind w:left="680" w:right="359" w:hanging="354"/>
        <w:spacing w:after="0" w:line="230" w:lineRule="auto"/>
        <w:tabs>
          <w:tab w:leader="none" w:pos="6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Each named executive officer holds RSU and PSU awards that were unvested as of December 31, 2021. Under the terms of the applicable award agreements, these awards are subject to accelerated vesting under specified circumstances. The amounts in the table are based on the closing price of a share on December 31, 2021. For PSUs, if</w:t>
      </w:r>
    </w:p>
    <w:p>
      <w:pPr>
        <w:ind w:left="680" w:right="959"/>
        <w:spacing w:after="0" w:line="241" w:lineRule="auto"/>
        <w:rPr>
          <w:rFonts w:ascii="Arial" w:cs="Arial" w:eastAsia="Arial" w:hAnsi="Arial"/>
          <w:sz w:val="15"/>
          <w:szCs w:val="15"/>
          <w:color w:val="auto"/>
        </w:rPr>
      </w:pPr>
      <w:r>
        <w:rPr>
          <w:rFonts w:ascii="Arial" w:cs="Arial" w:eastAsia="Arial" w:hAnsi="Arial"/>
          <w:sz w:val="15"/>
          <w:szCs w:val="15"/>
          <w:color w:val="auto"/>
        </w:rPr>
        <w:t>(i) the awards remain subject to the satisfaction of the specified relative TSR goal following such termination of employment or (ii) the specified relative TSR goal is calculated based on actual achievement as</w:t>
      </w:r>
    </w:p>
    <w:p>
      <w:pPr>
        <w:spacing w:after="0" w:line="92"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54</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920" w:type="dxa"/>
            <w:vAlign w:val="bottom"/>
            <w:vMerge w:val="continue"/>
          </w:tcPr>
          <w:p>
            <w:pPr>
              <w:spacing w:after="0"/>
              <w:rPr>
                <w:sz w:val="23"/>
                <w:szCs w:val="23"/>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765" w:gutter="0" w:footer="0" w:header="0"/>
        </w:sectPr>
      </w:pPr>
    </w:p>
    <w:bookmarkStart w:id="59" w:name="page60"/>
    <w:bookmarkEnd w:id="59"/>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57785</wp:posOffset>
            </wp:positionV>
            <wp:extent cx="530542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188" w:lineRule="exact"/>
        <w:rPr>
          <w:sz w:val="20"/>
          <w:szCs w:val="20"/>
          <w:color w:val="auto"/>
        </w:rPr>
      </w:pPr>
    </w:p>
    <w:p>
      <w:pPr>
        <w:ind w:left="680" w:right="579"/>
        <w:spacing w:after="0" w:line="242" w:lineRule="auto"/>
        <w:rPr>
          <w:sz w:val="20"/>
          <w:szCs w:val="20"/>
          <w:color w:val="auto"/>
        </w:rPr>
      </w:pPr>
      <w:r>
        <w:rPr>
          <w:rFonts w:ascii="Arial" w:cs="Arial" w:eastAsia="Arial" w:hAnsi="Arial"/>
          <w:sz w:val="15"/>
          <w:szCs w:val="15"/>
          <w:color w:val="auto"/>
        </w:rPr>
        <w:t>of a change in control, these amounts assume maximum attainment of such goal as of December 31, 2021. See “— Equity Awards” below for more details on the circumstances under which the vesting of these awards would have accelerated.</w:t>
      </w:r>
    </w:p>
    <w:p>
      <w:pPr>
        <w:spacing w:after="0" w:line="14" w:lineRule="exact"/>
        <w:rPr>
          <w:sz w:val="20"/>
          <w:szCs w:val="20"/>
          <w:color w:val="auto"/>
        </w:rPr>
      </w:pPr>
    </w:p>
    <w:p>
      <w:pPr>
        <w:ind w:left="680" w:right="379" w:hanging="354"/>
        <w:spacing w:after="0" w:line="242" w:lineRule="auto"/>
        <w:tabs>
          <w:tab w:leader="none" w:pos="6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Represents the payment of two times Mr. Inglis’ annual base salary and annual target bonus as of December 31, 2021, payable in equal monthly installments over 24 months under Mr. Inglis’ offer letter. For additional details, see “—Offer Letters” below.</w:t>
      </w:r>
    </w:p>
    <w:p>
      <w:pPr>
        <w:spacing w:after="0" w:line="13" w:lineRule="exact"/>
        <w:rPr>
          <w:rFonts w:ascii="Arial" w:cs="Arial" w:eastAsia="Arial" w:hAnsi="Arial"/>
          <w:sz w:val="15"/>
          <w:szCs w:val="15"/>
          <w:color w:val="auto"/>
        </w:rPr>
      </w:pPr>
    </w:p>
    <w:p>
      <w:pPr>
        <w:ind w:left="680" w:right="499" w:hanging="354"/>
        <w:spacing w:after="0" w:line="260" w:lineRule="auto"/>
        <w:tabs>
          <w:tab w:leader="none" w:pos="6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Represents a cash payment in an amount equal to the premium cost of continued healthcare coverage for 24 months under our severance policy (or, for Mr. Inglis, under his offer letter).</w:t>
      </w:r>
    </w:p>
    <w:p>
      <w:pPr>
        <w:spacing w:after="0" w:line="1" w:lineRule="exact"/>
        <w:rPr>
          <w:rFonts w:ascii="Arial" w:cs="Arial" w:eastAsia="Arial" w:hAnsi="Arial"/>
          <w:sz w:val="15"/>
          <w:szCs w:val="15"/>
          <w:color w:val="auto"/>
        </w:rPr>
      </w:pPr>
    </w:p>
    <w:p>
      <w:pPr>
        <w:ind w:left="680" w:hanging="354"/>
        <w:spacing w:after="0"/>
        <w:tabs>
          <w:tab w:leader="none" w:pos="6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Represents the cost of outplacement services for 18 months under our severance policy.</w:t>
      </w:r>
    </w:p>
    <w:p>
      <w:pPr>
        <w:spacing w:after="0" w:line="41" w:lineRule="exact"/>
        <w:rPr>
          <w:rFonts w:ascii="Arial" w:cs="Arial" w:eastAsia="Arial" w:hAnsi="Arial"/>
          <w:sz w:val="15"/>
          <w:szCs w:val="15"/>
          <w:color w:val="auto"/>
        </w:rPr>
      </w:pPr>
    </w:p>
    <w:p>
      <w:pPr>
        <w:ind w:left="680" w:right="499" w:hanging="354"/>
        <w:spacing w:after="0" w:line="233" w:lineRule="auto"/>
        <w:tabs>
          <w:tab w:leader="none" w:pos="6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Represents a lump-sum cash severance payment under our severance policy equal to 24 months of base salary plus four additional weeks of base salary for each year of recognized service (for Mr. Shah, 44 additional weeks; for</w:t>
      </w:r>
    </w:p>
    <w:p>
      <w:pPr>
        <w:ind w:left="680" w:right="639"/>
        <w:spacing w:after="0" w:line="241" w:lineRule="auto"/>
        <w:rPr>
          <w:rFonts w:ascii="Arial" w:cs="Arial" w:eastAsia="Arial" w:hAnsi="Arial"/>
          <w:sz w:val="15"/>
          <w:szCs w:val="15"/>
          <w:color w:val="auto"/>
        </w:rPr>
      </w:pPr>
      <w:r>
        <w:rPr>
          <w:rFonts w:ascii="Arial" w:cs="Arial" w:eastAsia="Arial" w:hAnsi="Arial"/>
          <w:sz w:val="15"/>
          <w:szCs w:val="15"/>
          <w:color w:val="auto"/>
        </w:rPr>
        <w:t>Mr. Clark, 64 additional weeks; for Mr. Ball, 32 additional weeks; and for Mr. Doughty, 40 additional weeks) and any additional amounts payable for any partial year of service.</w:t>
      </w:r>
    </w:p>
    <w:p>
      <w:pPr>
        <w:spacing w:after="0" w:line="14" w:lineRule="exact"/>
        <w:rPr>
          <w:rFonts w:ascii="Arial" w:cs="Arial" w:eastAsia="Arial" w:hAnsi="Arial"/>
          <w:sz w:val="15"/>
          <w:szCs w:val="15"/>
          <w:color w:val="auto"/>
        </w:rPr>
      </w:pPr>
    </w:p>
    <w:p>
      <w:pPr>
        <w:ind w:left="680" w:right="519" w:hanging="354"/>
        <w:spacing w:after="0" w:line="260" w:lineRule="auto"/>
        <w:tabs>
          <w:tab w:leader="none" w:pos="6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Under our severance policy, each of our named executive officers is entitled to a prorated portion of his annual target bonus for the year of termination, if not paid prior to the date of termination.</w:t>
      </w:r>
    </w:p>
    <w:p>
      <w:pPr>
        <w:spacing w:after="0" w:line="1" w:lineRule="exact"/>
        <w:rPr>
          <w:rFonts w:ascii="Arial" w:cs="Arial" w:eastAsia="Arial" w:hAnsi="Arial"/>
          <w:sz w:val="15"/>
          <w:szCs w:val="15"/>
          <w:color w:val="auto"/>
        </w:rPr>
      </w:pPr>
    </w:p>
    <w:p>
      <w:pPr>
        <w:ind w:left="680" w:right="339" w:hanging="354"/>
        <w:spacing w:after="0" w:line="234" w:lineRule="auto"/>
        <w:tabs>
          <w:tab w:leader="none" w:pos="6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Represents payments of annual base salary for Mr. Ball (for 18 months) and Mr. Doughty (for 12 months). In addition, for Mr. Doughty, represents (i) 12 months of estimated bonus payments (based on the target amount of his bonus) and (ii) reimbursement of the cost of medical and dental insurance and each of his dependents for 12 months pursuant to his offer letter (Mr. Ball is currently on a UK Health Plan, which is not eligible for COBRA reimbursement). For additional details, see “—Offer Letters” below.</w:t>
      </w:r>
    </w:p>
    <w:p>
      <w:pPr>
        <w:spacing w:after="0" w:line="16" w:lineRule="exact"/>
        <w:rPr>
          <w:rFonts w:ascii="Arial" w:cs="Arial" w:eastAsia="Arial" w:hAnsi="Arial"/>
          <w:sz w:val="15"/>
          <w:szCs w:val="15"/>
          <w:color w:val="auto"/>
        </w:rPr>
      </w:pPr>
    </w:p>
    <w:p>
      <w:pPr>
        <w:ind w:left="680" w:right="439" w:hanging="354"/>
        <w:spacing w:after="0" w:line="234" w:lineRule="auto"/>
        <w:tabs>
          <w:tab w:leader="none" w:pos="6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Represents reasonable and customary costs that we estimate would be incurred in moving Mr. Doughty and his family back to his former residence location, if solely as a result of a “change in control” (as defined in the LTIP and summarized below under “—Equity Awards—Definitions”), Mr. Doughty is required to relocate to a location outside of the Dallas/Fort Worth area, pursuant to the terms of his offer letter. This estimate is based on the costs incurred in moving Mr. Doughty and his family to the Dallas/Fort Worth area. For additional details, see “—Offer Letters” below.</w:t>
      </w:r>
    </w:p>
    <w:p>
      <w:pPr>
        <w:spacing w:after="0" w:line="65" w:lineRule="exact"/>
        <w:rPr>
          <w:sz w:val="20"/>
          <w:szCs w:val="20"/>
          <w:color w:val="auto"/>
        </w:rPr>
      </w:pPr>
    </w:p>
    <w:p>
      <w:pPr>
        <w:ind w:left="640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130175</wp:posOffset>
            </wp:positionV>
            <wp:extent cx="693801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-149860</wp:posOffset>
            </wp:positionV>
            <wp:extent cx="594995" cy="1701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0" w:name="page61"/>
    <w:bookmarkEnd w:id="60"/>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57785</wp:posOffset>
            </wp:positionV>
            <wp:extent cx="530542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Offer Letters</w:t>
      </w:r>
    </w:p>
    <w:p>
      <w:pPr>
        <w:spacing w:after="0" w:line="129" w:lineRule="exact"/>
        <w:rPr>
          <w:sz w:val="20"/>
          <w:szCs w:val="20"/>
          <w:color w:val="auto"/>
        </w:rPr>
      </w:pPr>
    </w:p>
    <w:p>
      <w:pPr>
        <w:ind w:left="320" w:right="40"/>
        <w:spacing w:after="0" w:line="257" w:lineRule="auto"/>
        <w:rPr>
          <w:sz w:val="20"/>
          <w:szCs w:val="20"/>
          <w:color w:val="auto"/>
        </w:rPr>
      </w:pPr>
      <w:r>
        <w:rPr>
          <w:rFonts w:ascii="Arial" w:cs="Arial" w:eastAsia="Arial" w:hAnsi="Arial"/>
          <w:sz w:val="16"/>
          <w:szCs w:val="16"/>
          <w:color w:val="auto"/>
        </w:rPr>
        <w:t>The offer letter agreements we have entered into with each of our current named executive officers (other than Mr. Clark and Mr. Shah) provide for specified termination payments and benefits, as follows:</w:t>
      </w:r>
    </w:p>
    <w:p>
      <w:pPr>
        <w:spacing w:after="0" w:line="69" w:lineRule="exact"/>
        <w:rPr>
          <w:sz w:val="20"/>
          <w:szCs w:val="20"/>
          <w:color w:val="auto"/>
        </w:rPr>
      </w:pPr>
    </w:p>
    <w:p>
      <w:pPr>
        <w:ind w:left="1040" w:hanging="357"/>
        <w:spacing w:after="0" w:line="248" w:lineRule="auto"/>
        <w:tabs>
          <w:tab w:leader="none" w:pos="1040" w:val="left"/>
        </w:tabs>
        <w:numPr>
          <w:ilvl w:val="0"/>
          <w:numId w:val="75"/>
        </w:numPr>
        <w:rPr>
          <w:rFonts w:ascii="Arial" w:cs="Arial" w:eastAsia="Arial" w:hAnsi="Arial"/>
          <w:sz w:val="16"/>
          <w:szCs w:val="16"/>
          <w:color w:val="2A3D6C"/>
        </w:rPr>
      </w:pPr>
      <w:r>
        <w:rPr>
          <w:rFonts w:ascii="Arial" w:cs="Arial" w:eastAsia="Arial" w:hAnsi="Arial"/>
          <w:sz w:val="16"/>
          <w:szCs w:val="16"/>
          <w:color w:val="auto"/>
        </w:rPr>
        <w:t>On a termination of Mr. Inglis’ employment by us without “cause” or by him for “good reason” (as such terms are defined in his offer letter and summarized below under “—Equity Awards—Definitions”), Mr. Inglis is entitled to cash severance in an amount equal to two times the sum of his base salary and target bonus (payable in equal monthly installments over 24 months) and (ii) continued medical and dental coverage for him and his dependents for 24 months, subject to his execution of a general release of claims.</w:t>
      </w:r>
    </w:p>
    <w:p>
      <w:pPr>
        <w:spacing w:after="0" w:line="75" w:lineRule="exact"/>
        <w:rPr>
          <w:rFonts w:ascii="Arial" w:cs="Arial" w:eastAsia="Arial" w:hAnsi="Arial"/>
          <w:sz w:val="16"/>
          <w:szCs w:val="16"/>
          <w:color w:val="2A3D6C"/>
        </w:rPr>
      </w:pPr>
    </w:p>
    <w:p>
      <w:pPr>
        <w:ind w:left="1040" w:right="80" w:hanging="357"/>
        <w:spacing w:after="0" w:line="282" w:lineRule="auto"/>
        <w:tabs>
          <w:tab w:leader="none" w:pos="1040" w:val="left"/>
        </w:tabs>
        <w:numPr>
          <w:ilvl w:val="0"/>
          <w:numId w:val="75"/>
        </w:numPr>
        <w:rPr>
          <w:rFonts w:ascii="Arial" w:cs="Arial" w:eastAsia="Arial" w:hAnsi="Arial"/>
          <w:sz w:val="16"/>
          <w:szCs w:val="16"/>
          <w:color w:val="2A3D6C"/>
        </w:rPr>
      </w:pPr>
      <w:r>
        <w:rPr>
          <w:rFonts w:ascii="Arial" w:cs="Arial" w:eastAsia="Arial" w:hAnsi="Arial"/>
          <w:sz w:val="16"/>
          <w:szCs w:val="16"/>
          <w:color w:val="auto"/>
        </w:rPr>
        <w:t>If the employment of each of Messrs. Ball and Doughty is terminated through no fault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52" w:right="419"/>
        <w:spacing w:after="0" w:line="267" w:lineRule="auto"/>
        <w:rPr>
          <w:sz w:val="20"/>
          <w:szCs w:val="20"/>
          <w:color w:val="auto"/>
        </w:rPr>
      </w:pPr>
      <w:r>
        <w:rPr>
          <w:rFonts w:ascii="Arial" w:cs="Arial" w:eastAsia="Arial" w:hAnsi="Arial"/>
          <w:sz w:val="15"/>
          <w:szCs w:val="15"/>
          <w:color w:val="auto"/>
        </w:rPr>
        <w:t>of his own or his position is eliminated and he is not offered a comparable position in Dallas, Texas then Messrs. Ball and Doughty will receive (a) his annual base salary and (b) reimbursement of the COBRA cost of medical and dental insurance for him and his dependents, in each case for a specified period (18 months for Mr. Ball and 12 months for Mr. Doughty). Mr. Doughty will also receive 12 months of estimated bonus payments.</w:t>
      </w:r>
    </w:p>
    <w:p>
      <w:pPr>
        <w:spacing w:after="0" w:line="63" w:lineRule="exact"/>
        <w:rPr>
          <w:sz w:val="20"/>
          <w:szCs w:val="20"/>
          <w:color w:val="auto"/>
        </w:rPr>
      </w:pPr>
    </w:p>
    <w:p>
      <w:pPr>
        <w:ind w:left="352" w:right="559" w:hanging="352"/>
        <w:spacing w:after="0" w:line="250" w:lineRule="auto"/>
        <w:tabs>
          <w:tab w:leader="none" w:pos="352" w:val="left"/>
        </w:tabs>
        <w:numPr>
          <w:ilvl w:val="0"/>
          <w:numId w:val="76"/>
        </w:numPr>
        <w:rPr>
          <w:rFonts w:ascii="Arial" w:cs="Arial" w:eastAsia="Arial" w:hAnsi="Arial"/>
          <w:sz w:val="16"/>
          <w:szCs w:val="16"/>
          <w:color w:val="2A3D6C"/>
        </w:rPr>
      </w:pPr>
      <w:r>
        <w:rPr>
          <w:rFonts w:ascii="Arial" w:cs="Arial" w:eastAsia="Arial" w:hAnsi="Arial"/>
          <w:sz w:val="16"/>
          <w:szCs w:val="16"/>
          <w:color w:val="auto"/>
        </w:rPr>
        <w:t>Mr. Doughty is also entitled to payment of reasonable and customary expenses associated with him and his family moving back to Houston, Texas under the circumstances described in footnote 8 to the “Potential Payments Upon Termination or Change in Control” table above.</w:t>
      </w:r>
    </w:p>
    <w:p>
      <w:pPr>
        <w:spacing w:after="0" w:line="420" w:lineRule="exact"/>
        <w:rPr>
          <w:sz w:val="20"/>
          <w:szCs w:val="20"/>
          <w:color w:val="auto"/>
        </w:rPr>
      </w:pPr>
    </w:p>
    <w:p>
      <w:pPr>
        <w:sectPr>
          <w:pgSz w:w="11900" w:h="16838" w:orient="portrait"/>
          <w:cols w:equalWidth="0" w:num="2">
            <w:col w:w="4380" w:space="588"/>
            <w:col w:w="4051"/>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Severance Policy</w:t>
      </w:r>
    </w:p>
    <w:p>
      <w:pPr>
        <w:spacing w:after="0" w:line="129" w:lineRule="exact"/>
        <w:rPr>
          <w:sz w:val="20"/>
          <w:szCs w:val="20"/>
          <w:color w:val="auto"/>
        </w:rPr>
      </w:pPr>
    </w:p>
    <w:p>
      <w:pPr>
        <w:ind w:left="320" w:right="60"/>
        <w:spacing w:after="0" w:line="250" w:lineRule="auto"/>
        <w:rPr>
          <w:sz w:val="20"/>
          <w:szCs w:val="20"/>
          <w:color w:val="auto"/>
        </w:rPr>
      </w:pPr>
      <w:r>
        <w:rPr>
          <w:rFonts w:ascii="Arial" w:cs="Arial" w:eastAsia="Arial" w:hAnsi="Arial"/>
          <w:sz w:val="16"/>
          <w:szCs w:val="16"/>
          <w:color w:val="auto"/>
        </w:rPr>
        <w:t>Our severance policy is designed to encourage continuity of management and other employees after a change in control. The policy provides severance benefits to regular full-time U.S. employees whose employment is terminated in connection with a “change in control” (as defined in the LTIP and summarized below) as a result of:</w:t>
      </w:r>
    </w:p>
    <w:p>
      <w:pPr>
        <w:spacing w:after="0" w:line="78" w:lineRule="exact"/>
        <w:rPr>
          <w:sz w:val="20"/>
          <w:szCs w:val="20"/>
          <w:color w:val="auto"/>
        </w:rPr>
      </w:pPr>
    </w:p>
    <w:p>
      <w:pPr>
        <w:ind w:left="1040" w:hanging="357"/>
        <w:spacing w:after="0"/>
        <w:tabs>
          <w:tab w:leader="none" w:pos="1040" w:val="left"/>
        </w:tabs>
        <w:numPr>
          <w:ilvl w:val="0"/>
          <w:numId w:val="77"/>
        </w:numPr>
        <w:rPr>
          <w:rFonts w:ascii="Arial" w:cs="Arial" w:eastAsia="Arial" w:hAnsi="Arial"/>
          <w:sz w:val="16"/>
          <w:szCs w:val="16"/>
          <w:color w:val="2A3D6C"/>
        </w:rPr>
      </w:pPr>
      <w:r>
        <w:rPr>
          <w:rFonts w:ascii="Arial" w:cs="Arial" w:eastAsia="Arial" w:hAnsi="Arial"/>
          <w:sz w:val="16"/>
          <w:szCs w:val="16"/>
          <w:color w:val="auto"/>
        </w:rPr>
        <w:t>work force reduction;</w:t>
      </w:r>
    </w:p>
    <w:p>
      <w:pPr>
        <w:spacing w:after="0" w:line="110" w:lineRule="exact"/>
        <w:rPr>
          <w:rFonts w:ascii="Arial" w:cs="Arial" w:eastAsia="Arial" w:hAnsi="Arial"/>
          <w:sz w:val="16"/>
          <w:szCs w:val="16"/>
          <w:color w:val="2A3D6C"/>
        </w:rPr>
      </w:pPr>
    </w:p>
    <w:p>
      <w:pPr>
        <w:ind w:left="1040" w:hanging="357"/>
        <w:spacing w:after="0" w:line="282" w:lineRule="auto"/>
        <w:tabs>
          <w:tab w:leader="none" w:pos="1040" w:val="left"/>
        </w:tabs>
        <w:numPr>
          <w:ilvl w:val="0"/>
          <w:numId w:val="77"/>
        </w:numPr>
        <w:rPr>
          <w:rFonts w:ascii="Arial" w:cs="Arial" w:eastAsia="Arial" w:hAnsi="Arial"/>
          <w:sz w:val="16"/>
          <w:szCs w:val="16"/>
          <w:color w:val="2A3D6C"/>
        </w:rPr>
      </w:pPr>
      <w:r>
        <w:rPr>
          <w:rFonts w:ascii="Arial" w:cs="Arial" w:eastAsia="Arial" w:hAnsi="Arial"/>
          <w:sz w:val="16"/>
          <w:szCs w:val="16"/>
          <w:color w:val="auto"/>
        </w:rPr>
        <w:t>departmental reorganization that results in job elimination;</w:t>
      </w:r>
    </w:p>
    <w:p>
      <w:pPr>
        <w:spacing w:after="0" w:line="49" w:lineRule="exact"/>
        <w:rPr>
          <w:rFonts w:ascii="Arial" w:cs="Arial" w:eastAsia="Arial" w:hAnsi="Arial"/>
          <w:sz w:val="16"/>
          <w:szCs w:val="16"/>
          <w:color w:val="2A3D6C"/>
        </w:rPr>
      </w:pPr>
    </w:p>
    <w:p>
      <w:pPr>
        <w:ind w:left="1040" w:hanging="357"/>
        <w:spacing w:after="0" w:line="257" w:lineRule="auto"/>
        <w:tabs>
          <w:tab w:leader="none" w:pos="1040" w:val="left"/>
        </w:tabs>
        <w:numPr>
          <w:ilvl w:val="0"/>
          <w:numId w:val="77"/>
        </w:numPr>
        <w:rPr>
          <w:rFonts w:ascii="Arial" w:cs="Arial" w:eastAsia="Arial" w:hAnsi="Arial"/>
          <w:sz w:val="16"/>
          <w:szCs w:val="16"/>
          <w:color w:val="2A3D6C"/>
        </w:rPr>
      </w:pPr>
      <w:r>
        <w:rPr>
          <w:rFonts w:ascii="Arial" w:cs="Arial" w:eastAsia="Arial" w:hAnsi="Arial"/>
          <w:sz w:val="16"/>
          <w:szCs w:val="16"/>
          <w:color w:val="auto"/>
        </w:rPr>
        <w:t>departmental reorganization that results in a material diminution of the skills, requirements, aptitudes or other criteria of the position, if the employee declines an offer of continued</w:t>
      </w:r>
    </w:p>
    <w:p>
      <w:pPr>
        <w:spacing w:after="0" w:line="89"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56</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920" w:type="dxa"/>
            <w:vAlign w:val="bottom"/>
            <w:vMerge w:val="continue"/>
          </w:tcPr>
          <w:p>
            <w:pPr>
              <w:spacing w:after="0"/>
              <w:rPr>
                <w:sz w:val="23"/>
                <w:szCs w:val="23"/>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352" w:right="679"/>
        <w:spacing w:after="0" w:line="263" w:lineRule="auto"/>
        <w:rPr>
          <w:sz w:val="20"/>
          <w:szCs w:val="20"/>
          <w:color w:val="auto"/>
        </w:rPr>
      </w:pPr>
      <w:r>
        <w:rPr>
          <w:rFonts w:ascii="Arial" w:cs="Arial" w:eastAsia="Arial" w:hAnsi="Arial"/>
          <w:sz w:val="16"/>
          <w:szCs w:val="16"/>
          <w:color w:val="auto"/>
        </w:rPr>
        <w:t>employment in the altered position or in another position that the Company deems comparable in its reasonable discretion; or</w:t>
      </w:r>
    </w:p>
    <w:p>
      <w:pPr>
        <w:spacing w:after="0" w:line="65" w:lineRule="exact"/>
        <w:rPr>
          <w:sz w:val="20"/>
          <w:szCs w:val="20"/>
          <w:color w:val="auto"/>
        </w:rPr>
      </w:pPr>
    </w:p>
    <w:p>
      <w:pPr>
        <w:ind w:left="352" w:right="399" w:hanging="352"/>
        <w:spacing w:after="0" w:line="257" w:lineRule="auto"/>
        <w:tabs>
          <w:tab w:leader="none" w:pos="352" w:val="left"/>
        </w:tabs>
        <w:numPr>
          <w:ilvl w:val="0"/>
          <w:numId w:val="78"/>
        </w:numPr>
        <w:rPr>
          <w:rFonts w:ascii="Arial" w:cs="Arial" w:eastAsia="Arial" w:hAnsi="Arial"/>
          <w:sz w:val="16"/>
          <w:szCs w:val="16"/>
          <w:color w:val="2A3D6C"/>
        </w:rPr>
      </w:pPr>
      <w:r>
        <w:rPr>
          <w:rFonts w:ascii="Arial" w:cs="Arial" w:eastAsia="Arial" w:hAnsi="Arial"/>
          <w:sz w:val="16"/>
          <w:szCs w:val="16"/>
          <w:color w:val="auto"/>
        </w:rPr>
        <w:t>relocation of the job functions outside of a 50-mile radius, if the employee is not offered employment at the new location or declines an offer of employment at the new location.</w:t>
      </w:r>
    </w:p>
    <w:p>
      <w:pPr>
        <w:sectPr>
          <w:pgSz w:w="11900" w:h="16838" w:orient="portrait"/>
          <w:cols w:equalWidth="0" w:num="2">
            <w:col w:w="4300" w:space="668"/>
            <w:col w:w="4051"/>
          </w:cols>
          <w:pgMar w:left="1440" w:top="262" w:right="1440" w:bottom="1440" w:gutter="0" w:footer="0" w:header="0"/>
          <w:type w:val="continuous"/>
        </w:sectPr>
      </w:pPr>
    </w:p>
    <w:bookmarkStart w:id="61" w:name="page62"/>
    <w:bookmarkEnd w:id="61"/>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right"/>
        <w:ind w:right="339"/>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26" w:lineRule="exact"/>
        <w:rPr>
          <w:sz w:val="20"/>
          <w:szCs w:val="20"/>
          <w:color w:val="auto"/>
        </w:rPr>
      </w:pPr>
    </w:p>
    <w:p>
      <w:pPr>
        <w:ind w:left="320" w:right="140"/>
        <w:spacing w:after="0" w:line="263" w:lineRule="auto"/>
        <w:rPr>
          <w:sz w:val="20"/>
          <w:szCs w:val="20"/>
          <w:color w:val="auto"/>
        </w:rPr>
      </w:pPr>
      <w:r>
        <w:rPr>
          <w:rFonts w:ascii="Arial" w:cs="Arial" w:eastAsia="Arial" w:hAnsi="Arial"/>
          <w:sz w:val="16"/>
          <w:szCs w:val="16"/>
          <w:color w:val="auto"/>
        </w:rPr>
        <w:t>In 2021, prior to its amendment in January 2022, the severance policy provided for the following termination benefits:</w:t>
      </w:r>
    </w:p>
    <w:p>
      <w:pPr>
        <w:spacing w:after="0" w:line="65" w:lineRule="exact"/>
        <w:rPr>
          <w:sz w:val="20"/>
          <w:szCs w:val="20"/>
          <w:color w:val="auto"/>
        </w:rPr>
      </w:pPr>
    </w:p>
    <w:p>
      <w:pPr>
        <w:ind w:left="1040" w:hanging="357"/>
        <w:spacing w:after="0" w:line="252" w:lineRule="auto"/>
        <w:tabs>
          <w:tab w:leader="none" w:pos="1040" w:val="left"/>
        </w:tabs>
        <w:numPr>
          <w:ilvl w:val="0"/>
          <w:numId w:val="79"/>
        </w:numPr>
        <w:rPr>
          <w:rFonts w:ascii="Arial" w:cs="Arial" w:eastAsia="Arial" w:hAnsi="Arial"/>
          <w:sz w:val="16"/>
          <w:szCs w:val="16"/>
          <w:color w:val="2A3D6C"/>
        </w:rPr>
      </w:pPr>
      <w:r>
        <w:rPr>
          <w:rFonts w:ascii="Arial" w:cs="Arial" w:eastAsia="Arial" w:hAnsi="Arial"/>
          <w:sz w:val="16"/>
          <w:szCs w:val="16"/>
          <w:color w:val="auto"/>
        </w:rPr>
        <w:t>a lump-sum cash severance payment in an amount determined based on the employee’s title, years of service and base salary (for our named executive officers, this amount equals 24 months of base salary plus four additional weeks of base salary for each year of service);</w:t>
      </w:r>
    </w:p>
    <w:p>
      <w:pPr>
        <w:spacing w:after="0" w:line="72" w:lineRule="exact"/>
        <w:rPr>
          <w:rFonts w:ascii="Arial" w:cs="Arial" w:eastAsia="Arial" w:hAnsi="Arial"/>
          <w:sz w:val="16"/>
          <w:szCs w:val="16"/>
          <w:color w:val="2A3D6C"/>
        </w:rPr>
      </w:pPr>
    </w:p>
    <w:p>
      <w:pPr>
        <w:ind w:left="1040" w:right="140" w:hanging="357"/>
        <w:spacing w:after="0" w:line="263" w:lineRule="auto"/>
        <w:tabs>
          <w:tab w:leader="none" w:pos="1040" w:val="left"/>
        </w:tabs>
        <w:numPr>
          <w:ilvl w:val="0"/>
          <w:numId w:val="79"/>
        </w:numPr>
        <w:rPr>
          <w:rFonts w:ascii="Arial" w:cs="Arial" w:eastAsia="Arial" w:hAnsi="Arial"/>
          <w:sz w:val="16"/>
          <w:szCs w:val="16"/>
          <w:color w:val="2A3D6C"/>
        </w:rPr>
      </w:pPr>
      <w:r>
        <w:rPr>
          <w:rFonts w:ascii="Arial" w:cs="Arial" w:eastAsia="Arial" w:hAnsi="Arial"/>
          <w:sz w:val="16"/>
          <w:szCs w:val="16"/>
          <w:color w:val="auto"/>
        </w:rPr>
        <w:t>a prorated portion of the employee’s target bonus for the current year, if not paid prior to the date of termination;</w:t>
      </w:r>
    </w:p>
    <w:p>
      <w:pPr>
        <w:spacing w:after="0" w:line="64" w:lineRule="exact"/>
        <w:rPr>
          <w:rFonts w:ascii="Arial" w:cs="Arial" w:eastAsia="Arial" w:hAnsi="Arial"/>
          <w:sz w:val="16"/>
          <w:szCs w:val="16"/>
          <w:color w:val="2A3D6C"/>
        </w:rPr>
      </w:pPr>
    </w:p>
    <w:p>
      <w:pPr>
        <w:ind w:left="1040" w:right="40" w:hanging="357"/>
        <w:spacing w:after="0" w:line="257" w:lineRule="auto"/>
        <w:tabs>
          <w:tab w:leader="none" w:pos="1040" w:val="left"/>
        </w:tabs>
        <w:numPr>
          <w:ilvl w:val="0"/>
          <w:numId w:val="79"/>
        </w:numPr>
        <w:rPr>
          <w:rFonts w:ascii="Arial" w:cs="Arial" w:eastAsia="Arial" w:hAnsi="Arial"/>
          <w:sz w:val="16"/>
          <w:szCs w:val="16"/>
          <w:color w:val="2A3D6C"/>
        </w:rPr>
      </w:pPr>
      <w:r>
        <w:rPr>
          <w:rFonts w:ascii="Arial" w:cs="Arial" w:eastAsia="Arial" w:hAnsi="Arial"/>
          <w:sz w:val="16"/>
          <w:szCs w:val="16"/>
          <w:color w:val="auto"/>
        </w:rPr>
        <w:t>a cash payment in an amount equal to the premium cost of continued healthcare coverage for a specified period (24 months for our named executive officers);</w:t>
      </w:r>
    </w:p>
    <w:p>
      <w:pPr>
        <w:spacing w:after="0" w:line="68" w:lineRule="exact"/>
        <w:rPr>
          <w:rFonts w:ascii="Arial" w:cs="Arial" w:eastAsia="Arial" w:hAnsi="Arial"/>
          <w:sz w:val="16"/>
          <w:szCs w:val="16"/>
          <w:color w:val="2A3D6C"/>
        </w:rPr>
      </w:pPr>
    </w:p>
    <w:p>
      <w:pPr>
        <w:ind w:left="1040" w:right="80" w:hanging="357"/>
        <w:spacing w:after="0" w:line="263" w:lineRule="auto"/>
        <w:tabs>
          <w:tab w:leader="none" w:pos="1040" w:val="left"/>
        </w:tabs>
        <w:numPr>
          <w:ilvl w:val="0"/>
          <w:numId w:val="79"/>
        </w:numPr>
        <w:rPr>
          <w:rFonts w:ascii="Arial" w:cs="Arial" w:eastAsia="Arial" w:hAnsi="Arial"/>
          <w:sz w:val="16"/>
          <w:szCs w:val="16"/>
          <w:color w:val="2A3D6C"/>
        </w:rPr>
      </w:pPr>
      <w:r>
        <w:rPr>
          <w:rFonts w:ascii="Arial" w:cs="Arial" w:eastAsia="Arial" w:hAnsi="Arial"/>
          <w:sz w:val="16"/>
          <w:szCs w:val="16"/>
          <w:color w:val="auto"/>
        </w:rPr>
        <w:t>outplacement services for a specified period (18 months for our named executive officers); and</w:t>
      </w:r>
    </w:p>
    <w:p>
      <w:pPr>
        <w:spacing w:after="0" w:line="64" w:lineRule="exact"/>
        <w:rPr>
          <w:rFonts w:ascii="Arial" w:cs="Arial" w:eastAsia="Arial" w:hAnsi="Arial"/>
          <w:sz w:val="16"/>
          <w:szCs w:val="16"/>
          <w:color w:val="2A3D6C"/>
        </w:rPr>
      </w:pPr>
    </w:p>
    <w:p>
      <w:pPr>
        <w:ind w:left="1040" w:hanging="357"/>
        <w:spacing w:after="0"/>
        <w:tabs>
          <w:tab w:leader="none" w:pos="1040" w:val="left"/>
        </w:tabs>
        <w:numPr>
          <w:ilvl w:val="0"/>
          <w:numId w:val="79"/>
        </w:numPr>
        <w:rPr>
          <w:rFonts w:ascii="Arial" w:cs="Arial" w:eastAsia="Arial" w:hAnsi="Arial"/>
          <w:sz w:val="16"/>
          <w:szCs w:val="16"/>
          <w:color w:val="2A3D6C"/>
        </w:rPr>
      </w:pPr>
      <w:r>
        <w:rPr>
          <w:rFonts w:ascii="Arial" w:cs="Arial" w:eastAsia="Arial" w:hAnsi="Arial"/>
          <w:sz w:val="16"/>
          <w:szCs w:val="16"/>
          <w:color w:val="auto"/>
        </w:rPr>
        <w:t>payout of unused vacation time.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339"/>
        <w:spacing w:after="0" w:line="247" w:lineRule="auto"/>
        <w:rPr>
          <w:sz w:val="20"/>
          <w:szCs w:val="20"/>
          <w:color w:val="auto"/>
        </w:rPr>
      </w:pPr>
      <w:r>
        <w:rPr>
          <w:rFonts w:ascii="Arial" w:cs="Arial" w:eastAsia="Arial" w:hAnsi="Arial"/>
          <w:sz w:val="16"/>
          <w:szCs w:val="16"/>
          <w:color w:val="auto"/>
        </w:rPr>
        <w:t>In January 2022, the Compensation Committee approved certain revisions to the severance policy, effective immediately, such that the calculation of the lump-sum cash severance payment for members of the Senior Leadership Team was amended to (i) include 24 months of base salary plus two times the annual target bonus for such executive and (ii) remove the years of service component. These changes were implemented in consultation with the Company’s independent compensation consultant after undertaking a benchmarking analysis of peer and industry executive compensation programs and were intended to simplify and align the Company’s severance policy with the lower end of peer and general industry practice.</w:t>
      </w:r>
    </w:p>
    <w:p>
      <w:pPr>
        <w:spacing w:after="0" w:line="81" w:lineRule="exact"/>
        <w:rPr>
          <w:sz w:val="20"/>
          <w:szCs w:val="20"/>
          <w:color w:val="auto"/>
        </w:rPr>
      </w:pPr>
    </w:p>
    <w:p>
      <w:pPr>
        <w:ind w:right="379"/>
        <w:spacing w:after="0" w:line="250" w:lineRule="auto"/>
        <w:rPr>
          <w:sz w:val="20"/>
          <w:szCs w:val="20"/>
          <w:color w:val="auto"/>
        </w:rPr>
      </w:pPr>
      <w:r>
        <w:rPr>
          <w:rFonts w:ascii="Arial" w:cs="Arial" w:eastAsia="Arial" w:hAnsi="Arial"/>
          <w:sz w:val="16"/>
          <w:szCs w:val="16"/>
          <w:color w:val="auto"/>
        </w:rPr>
        <w:t>Employees, including our named executive officers, who have a separate severance agreement may receive benefits under that agreement or the severance policy, but not both. To receive severance benefits under the severance policy, an employee must sign and not revoke a separation and release agreement in the form prescribed by the Company.</w:t>
      </w:r>
    </w:p>
    <w:p>
      <w:pPr>
        <w:spacing w:after="0" w:line="353" w:lineRule="exact"/>
        <w:rPr>
          <w:sz w:val="20"/>
          <w:szCs w:val="20"/>
          <w:color w:val="auto"/>
        </w:rPr>
      </w:pPr>
    </w:p>
    <w:p>
      <w:pPr>
        <w:sectPr>
          <w:pgSz w:w="11900" w:h="16838" w:orient="portrait"/>
          <w:cols w:equalWidth="0" w:num="2">
            <w:col w:w="4340" w:space="28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Equity Awards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RSUs</w:t>
      </w:r>
    </w:p>
    <w:p>
      <w:pPr>
        <w:spacing w:after="0" w:line="106" w:lineRule="exact"/>
        <w:rPr>
          <w:sz w:val="20"/>
          <w:szCs w:val="20"/>
          <w:color w:val="auto"/>
        </w:rPr>
      </w:pPr>
    </w:p>
    <w:p>
      <w:pPr>
        <w:ind w:left="320" w:right="80"/>
        <w:spacing w:after="0" w:line="250" w:lineRule="auto"/>
        <w:rPr>
          <w:sz w:val="20"/>
          <w:szCs w:val="20"/>
          <w:color w:val="auto"/>
        </w:rPr>
      </w:pPr>
      <w:r>
        <w:rPr>
          <w:rFonts w:ascii="Arial" w:cs="Arial" w:eastAsia="Arial" w:hAnsi="Arial"/>
          <w:sz w:val="16"/>
          <w:szCs w:val="16"/>
          <w:color w:val="auto"/>
        </w:rPr>
        <w:t>RSUs held by each of our named executive officers are scheduled to vest based solely on service and would have fully vested on December 31, 2021, if on that date their employment had terminated due to their death or “disability” (as defined in the LTIP and summarized below). Had we undergone a change in control on December 31, 2021, these awards would have become fully vested on the earliest to occur of:</w:t>
      </w:r>
    </w:p>
    <w:p>
      <w:pPr>
        <w:spacing w:after="0" w:line="74" w:lineRule="exact"/>
        <w:rPr>
          <w:sz w:val="20"/>
          <w:szCs w:val="20"/>
          <w:color w:val="auto"/>
        </w:rPr>
      </w:pPr>
    </w:p>
    <w:p>
      <w:pPr>
        <w:jc w:val="both"/>
        <w:ind w:left="1040" w:right="300" w:hanging="357"/>
        <w:spacing w:after="0" w:line="263" w:lineRule="auto"/>
        <w:tabs>
          <w:tab w:leader="none" w:pos="1040" w:val="left"/>
        </w:tabs>
        <w:numPr>
          <w:ilvl w:val="0"/>
          <w:numId w:val="80"/>
        </w:numPr>
        <w:rPr>
          <w:rFonts w:ascii="Arial" w:cs="Arial" w:eastAsia="Arial" w:hAnsi="Arial"/>
          <w:sz w:val="16"/>
          <w:szCs w:val="16"/>
          <w:color w:val="2A3D6C"/>
        </w:rPr>
      </w:pPr>
      <w:r>
        <w:rPr>
          <w:rFonts w:ascii="Arial" w:cs="Arial" w:eastAsia="Arial" w:hAnsi="Arial"/>
          <w:sz w:val="16"/>
          <w:szCs w:val="16"/>
          <w:color w:val="auto"/>
        </w:rPr>
        <w:t>the regularly scheduled vesting date, if the executive remained employed through the vesting date;</w:t>
      </w:r>
    </w:p>
    <w:p>
      <w:pPr>
        <w:spacing w:after="0" w:line="64" w:lineRule="exact"/>
        <w:rPr>
          <w:rFonts w:ascii="Arial" w:cs="Arial" w:eastAsia="Arial" w:hAnsi="Arial"/>
          <w:sz w:val="16"/>
          <w:szCs w:val="16"/>
          <w:color w:val="2A3D6C"/>
        </w:rPr>
      </w:pPr>
    </w:p>
    <w:p>
      <w:pPr>
        <w:ind w:left="1040" w:hanging="357"/>
        <w:spacing w:after="0" w:line="282" w:lineRule="auto"/>
        <w:tabs>
          <w:tab w:leader="none" w:pos="1040" w:val="left"/>
        </w:tabs>
        <w:numPr>
          <w:ilvl w:val="0"/>
          <w:numId w:val="80"/>
        </w:numPr>
        <w:rPr>
          <w:rFonts w:ascii="Arial" w:cs="Arial" w:eastAsia="Arial" w:hAnsi="Arial"/>
          <w:sz w:val="16"/>
          <w:szCs w:val="16"/>
          <w:color w:val="2A3D6C"/>
        </w:rPr>
      </w:pPr>
      <w:r>
        <w:rPr>
          <w:rFonts w:ascii="Arial" w:cs="Arial" w:eastAsia="Arial" w:hAnsi="Arial"/>
          <w:sz w:val="16"/>
          <w:szCs w:val="16"/>
          <w:color w:val="auto"/>
        </w:rPr>
        <w:t>termination of the executive’s employment due to his death or disability;</w:t>
      </w:r>
    </w:p>
    <w:p>
      <w:pPr>
        <w:spacing w:after="0" w:line="49" w:lineRule="exact"/>
        <w:rPr>
          <w:rFonts w:ascii="Arial" w:cs="Arial" w:eastAsia="Arial" w:hAnsi="Arial"/>
          <w:sz w:val="16"/>
          <w:szCs w:val="16"/>
          <w:color w:val="2A3D6C"/>
        </w:rPr>
      </w:pPr>
    </w:p>
    <w:p>
      <w:pPr>
        <w:ind w:left="1040" w:right="20" w:hanging="357"/>
        <w:spacing w:after="0" w:line="254" w:lineRule="auto"/>
        <w:tabs>
          <w:tab w:leader="none" w:pos="1040" w:val="left"/>
        </w:tabs>
        <w:numPr>
          <w:ilvl w:val="0"/>
          <w:numId w:val="80"/>
        </w:numPr>
        <w:rPr>
          <w:rFonts w:ascii="Arial" w:cs="Arial" w:eastAsia="Arial" w:hAnsi="Arial"/>
          <w:sz w:val="16"/>
          <w:szCs w:val="16"/>
          <w:color w:val="2A3D6C"/>
        </w:rPr>
      </w:pPr>
      <w:r>
        <w:rPr>
          <w:rFonts w:ascii="Arial" w:cs="Arial" w:eastAsia="Arial" w:hAnsi="Arial"/>
          <w:sz w:val="16"/>
          <w:szCs w:val="16"/>
          <w:color w:val="auto"/>
        </w:rPr>
        <w:t>for our named executive officers other than for Mr. Inglis, termination of the executive’s employment by us or the acquiror without cause or by him for “good reason” (as defined in the LTIP or an applicable offer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00" w:right="459"/>
        <w:spacing w:after="0" w:line="282" w:lineRule="auto"/>
        <w:rPr>
          <w:sz w:val="20"/>
          <w:szCs w:val="20"/>
          <w:color w:val="auto"/>
        </w:rPr>
      </w:pPr>
      <w:r>
        <w:rPr>
          <w:rFonts w:ascii="Arial" w:cs="Arial" w:eastAsia="Arial" w:hAnsi="Arial"/>
          <w:sz w:val="16"/>
          <w:szCs w:val="16"/>
          <w:color w:val="auto"/>
        </w:rPr>
        <w:t>letter and summarized below) within one year following a change in control; and</w:t>
      </w:r>
    </w:p>
    <w:p>
      <w:pPr>
        <w:spacing w:after="0" w:line="50" w:lineRule="exact"/>
        <w:rPr>
          <w:sz w:val="20"/>
          <w:szCs w:val="20"/>
          <w:color w:val="auto"/>
        </w:rPr>
      </w:pPr>
    </w:p>
    <w:p>
      <w:pPr>
        <w:ind w:left="700" w:right="379" w:hanging="352"/>
        <w:spacing w:after="0" w:line="247" w:lineRule="auto"/>
        <w:tabs>
          <w:tab w:leader="none" w:pos="700" w:val="left"/>
        </w:tabs>
        <w:numPr>
          <w:ilvl w:val="0"/>
          <w:numId w:val="81"/>
        </w:numPr>
        <w:rPr>
          <w:rFonts w:ascii="Arial" w:cs="Arial" w:eastAsia="Arial" w:hAnsi="Arial"/>
          <w:sz w:val="16"/>
          <w:szCs w:val="16"/>
          <w:color w:val="2A3D6C"/>
        </w:rPr>
      </w:pPr>
      <w:r>
        <w:rPr>
          <w:rFonts w:ascii="Arial" w:cs="Arial" w:eastAsia="Arial" w:hAnsi="Arial"/>
          <w:sz w:val="16"/>
          <w:szCs w:val="16"/>
          <w:color w:val="auto"/>
        </w:rPr>
        <w:t>for awards granted to Mr. Inglis, (i) the first anniversary of a change in control, if Mr. Inglis remains employed through the anniversary date, or (ii) the later of the date of termination or the change in control, if Mr. Inglis’ employment is terminated by us without cause or by him for good reason during the period beginning three months before, and ending one year after, such change in control, provided that any termination during the period beginning three months before such change in control was at the request of a third party that had taken steps reasonably calculated to effectuate such change in control or that otherwise arose in connection with or anticipation of such change in control.</w:t>
      </w:r>
    </w:p>
    <w:p>
      <w:pPr>
        <w:spacing w:after="0" w:line="77" w:lineRule="exact"/>
        <w:rPr>
          <w:sz w:val="20"/>
          <w:szCs w:val="20"/>
          <w:color w:val="auto"/>
        </w:rPr>
      </w:pPr>
    </w:p>
    <w:p>
      <w:pPr>
        <w:ind w:right="379"/>
        <w:spacing w:after="0" w:line="282" w:lineRule="auto"/>
        <w:rPr>
          <w:sz w:val="20"/>
          <w:szCs w:val="20"/>
          <w:color w:val="auto"/>
        </w:rPr>
      </w:pPr>
      <w:r>
        <w:rPr>
          <w:rFonts w:ascii="Arial" w:cs="Arial" w:eastAsia="Arial" w:hAnsi="Arial"/>
          <w:sz w:val="16"/>
          <w:szCs w:val="16"/>
          <w:color w:val="auto"/>
        </w:rPr>
        <w:t>These RSUs would have been forfeited on termination of employment under any other circumstances.</w:t>
      </w:r>
    </w:p>
    <w:p>
      <w:pPr>
        <w:spacing w:after="0" w:line="55" w:lineRule="exact"/>
        <w:rPr>
          <w:sz w:val="20"/>
          <w:szCs w:val="20"/>
          <w:color w:val="auto"/>
        </w:rPr>
      </w:pPr>
    </w:p>
    <w:p>
      <w:pPr>
        <w:ind w:left="178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121285</wp:posOffset>
            </wp:positionV>
            <wp:extent cx="693801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-158750</wp:posOffset>
            </wp:positionV>
            <wp:extent cx="594995" cy="1701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2">
            <w:col w:w="4340" w:space="280"/>
            <w:col w:w="4399"/>
          </w:cols>
          <w:pgMar w:left="1440" w:top="262" w:right="1440" w:bottom="1440" w:gutter="0" w:footer="0" w:header="0"/>
          <w:type w:val="continuous"/>
        </w:sectPr>
      </w:pPr>
    </w:p>
    <w:bookmarkStart w:id="62" w:name="page63"/>
    <w:bookmarkEnd w:id="62"/>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57785</wp:posOffset>
            </wp:positionV>
            <wp:extent cx="530542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PSUs</w:t>
      </w:r>
    </w:p>
    <w:p>
      <w:pPr>
        <w:spacing w:after="0" w:line="106" w:lineRule="exact"/>
        <w:rPr>
          <w:sz w:val="20"/>
          <w:szCs w:val="20"/>
          <w:color w:val="auto"/>
        </w:rPr>
      </w:pPr>
    </w:p>
    <w:p>
      <w:pPr>
        <w:ind w:left="320"/>
        <w:spacing w:after="0" w:line="252" w:lineRule="auto"/>
        <w:rPr>
          <w:sz w:val="20"/>
          <w:szCs w:val="20"/>
          <w:color w:val="auto"/>
        </w:rPr>
      </w:pPr>
      <w:r>
        <w:rPr>
          <w:rFonts w:ascii="Arial" w:cs="Arial" w:eastAsia="Arial" w:hAnsi="Arial"/>
          <w:sz w:val="16"/>
          <w:szCs w:val="16"/>
          <w:color w:val="auto"/>
        </w:rPr>
        <w:t>For PSUs held by our named executive officers, the service condition would have been fully attained on December 31, 2021, if on that date the executive’s employment had terminated due to his death or disability, and such awards would have remained subject to the performance condition.</w:t>
      </w:r>
    </w:p>
    <w:p>
      <w:pPr>
        <w:spacing w:after="0" w:line="73" w:lineRule="exact"/>
        <w:rPr>
          <w:sz w:val="20"/>
          <w:szCs w:val="20"/>
          <w:color w:val="auto"/>
        </w:rPr>
      </w:pPr>
    </w:p>
    <w:p>
      <w:pPr>
        <w:ind w:left="320" w:right="80"/>
        <w:spacing w:after="0" w:line="248" w:lineRule="auto"/>
        <w:rPr>
          <w:sz w:val="20"/>
          <w:szCs w:val="20"/>
          <w:color w:val="auto"/>
        </w:rPr>
      </w:pPr>
      <w:r>
        <w:rPr>
          <w:rFonts w:ascii="Arial" w:cs="Arial" w:eastAsia="Arial" w:hAnsi="Arial"/>
          <w:sz w:val="16"/>
          <w:szCs w:val="16"/>
          <w:color w:val="auto"/>
        </w:rPr>
        <w:t>Had the executive terminated his employment without good reason at any time, or had his employment been terminated by us without cause or by him for good reason at any time other than on, or within one year after, a change in control, then any portion of the PSU award for which the applicable service condition had been satisfied as of such termination date would have remained subject to the applicable performance condition, and any remaining portion of the award would have been forfeited without any payment to the executive.</w:t>
      </w:r>
    </w:p>
    <w:p>
      <w:pPr>
        <w:spacing w:after="0" w:line="78" w:lineRule="exact"/>
        <w:rPr>
          <w:sz w:val="20"/>
          <w:szCs w:val="20"/>
          <w:color w:val="auto"/>
        </w:rPr>
      </w:pPr>
    </w:p>
    <w:p>
      <w:pPr>
        <w:ind w:left="320" w:right="20"/>
        <w:spacing w:after="0" w:line="254" w:lineRule="auto"/>
        <w:rPr>
          <w:sz w:val="20"/>
          <w:szCs w:val="20"/>
          <w:color w:val="auto"/>
        </w:rPr>
      </w:pPr>
      <w:r>
        <w:rPr>
          <w:rFonts w:ascii="Arial" w:cs="Arial" w:eastAsia="Arial" w:hAnsi="Arial"/>
          <w:sz w:val="16"/>
          <w:szCs w:val="16"/>
          <w:color w:val="auto"/>
        </w:rPr>
        <w:t>Had we undergone a change in control on December 31, 2021, the performance condition would have been treated as set forth below, and the awards would have remained subject to the service condition to the extent not yet met: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ind w:left="700" w:right="359" w:hanging="352"/>
        <w:spacing w:after="0" w:line="254" w:lineRule="auto"/>
        <w:tabs>
          <w:tab w:leader="none" w:pos="700" w:val="left"/>
        </w:tabs>
        <w:numPr>
          <w:ilvl w:val="0"/>
          <w:numId w:val="82"/>
        </w:numPr>
        <w:rPr>
          <w:rFonts w:ascii="Arial" w:cs="Arial" w:eastAsia="Arial" w:hAnsi="Arial"/>
          <w:sz w:val="16"/>
          <w:szCs w:val="16"/>
          <w:color w:val="2A3D6C"/>
        </w:rPr>
      </w:pPr>
      <w:r>
        <w:rPr>
          <w:rFonts w:ascii="Arial" w:cs="Arial" w:eastAsia="Arial" w:hAnsi="Arial"/>
          <w:sz w:val="16"/>
          <w:szCs w:val="16"/>
          <w:color w:val="auto"/>
        </w:rPr>
        <w:t>for PSUs granted to our named executive officers (other than Mr. Inglis), the performance condition would have been determined based on actual performance as of the date of such change in control; and</w:t>
      </w:r>
    </w:p>
    <w:p>
      <w:pPr>
        <w:spacing w:after="0" w:line="70" w:lineRule="exact"/>
        <w:rPr>
          <w:rFonts w:ascii="Arial" w:cs="Arial" w:eastAsia="Arial" w:hAnsi="Arial"/>
          <w:sz w:val="16"/>
          <w:szCs w:val="16"/>
          <w:color w:val="2A3D6C"/>
        </w:rPr>
      </w:pPr>
    </w:p>
    <w:p>
      <w:pPr>
        <w:jc w:val="both"/>
        <w:ind w:left="700" w:right="339" w:hanging="352"/>
        <w:spacing w:after="0" w:line="263" w:lineRule="auto"/>
        <w:tabs>
          <w:tab w:leader="none" w:pos="700" w:val="left"/>
        </w:tabs>
        <w:numPr>
          <w:ilvl w:val="0"/>
          <w:numId w:val="82"/>
        </w:numPr>
        <w:rPr>
          <w:rFonts w:ascii="Arial" w:cs="Arial" w:eastAsia="Arial" w:hAnsi="Arial"/>
          <w:sz w:val="16"/>
          <w:szCs w:val="16"/>
          <w:color w:val="2A3D6C"/>
        </w:rPr>
      </w:pPr>
      <w:r>
        <w:rPr>
          <w:rFonts w:ascii="Arial" w:cs="Arial" w:eastAsia="Arial" w:hAnsi="Arial"/>
          <w:sz w:val="16"/>
          <w:szCs w:val="16"/>
          <w:color w:val="auto"/>
        </w:rPr>
        <w:t>for PSUs granted to Mr. Inglis, the performance condition would have been deemed attained at the maximum performance level.</w:t>
      </w:r>
    </w:p>
    <w:p>
      <w:pPr>
        <w:spacing w:after="0" w:line="65" w:lineRule="exact"/>
        <w:rPr>
          <w:sz w:val="20"/>
          <w:szCs w:val="20"/>
          <w:color w:val="auto"/>
        </w:rPr>
      </w:pPr>
    </w:p>
    <w:p>
      <w:pPr>
        <w:ind w:right="359"/>
        <w:spacing w:after="0" w:line="263" w:lineRule="auto"/>
        <w:rPr>
          <w:sz w:val="20"/>
          <w:szCs w:val="20"/>
          <w:color w:val="auto"/>
        </w:rPr>
      </w:pPr>
      <w:r>
        <w:rPr>
          <w:rFonts w:ascii="Arial" w:cs="Arial" w:eastAsia="Arial" w:hAnsi="Arial"/>
          <w:sz w:val="16"/>
          <w:szCs w:val="16"/>
          <w:color w:val="auto"/>
        </w:rPr>
        <w:t>In connection with the change in control, the PSUs would have vested or been forfeited under the same circumstances as are described above for RSUs.</w:t>
      </w:r>
    </w:p>
    <w:p>
      <w:pPr>
        <w:spacing w:after="0" w:line="65" w:lineRule="exact"/>
        <w:rPr>
          <w:sz w:val="20"/>
          <w:szCs w:val="20"/>
          <w:color w:val="auto"/>
        </w:rPr>
      </w:pPr>
    </w:p>
    <w:p>
      <w:pPr>
        <w:ind w:right="379"/>
        <w:spacing w:after="0" w:line="282" w:lineRule="auto"/>
        <w:rPr>
          <w:sz w:val="20"/>
          <w:szCs w:val="20"/>
          <w:color w:val="auto"/>
        </w:rPr>
      </w:pPr>
      <w:r>
        <w:rPr>
          <w:rFonts w:ascii="Arial" w:cs="Arial" w:eastAsia="Arial" w:hAnsi="Arial"/>
          <w:sz w:val="16"/>
          <w:szCs w:val="16"/>
          <w:color w:val="auto"/>
        </w:rPr>
        <w:t>These PSUs would have been forfeited on termination of employment under any other circumstances.</w:t>
      </w:r>
    </w:p>
    <w:p>
      <w:pPr>
        <w:spacing w:after="0" w:line="1637" w:lineRule="exact"/>
        <w:rPr>
          <w:sz w:val="20"/>
          <w:szCs w:val="20"/>
          <w:color w:val="auto"/>
        </w:rPr>
      </w:pPr>
    </w:p>
    <w:p>
      <w:pPr>
        <w:sectPr>
          <w:pgSz w:w="11900" w:h="16838" w:orient="portrait"/>
          <w:cols w:equalWidth="0" w:num="2">
            <w:col w:w="4380" w:space="24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18"/>
          <w:szCs w:val="18"/>
          <w:u w:val="single" w:color="auto"/>
          <w:color w:val="auto"/>
        </w:rPr>
        <w:t>Definitions</w:t>
      </w:r>
    </w:p>
    <w:p>
      <w:pPr>
        <w:spacing w:after="0" w:line="106" w:lineRule="exact"/>
        <w:rPr>
          <w:sz w:val="20"/>
          <w:szCs w:val="20"/>
          <w:color w:val="auto"/>
        </w:rPr>
      </w:pPr>
    </w:p>
    <w:p>
      <w:pPr>
        <w:ind w:left="320" w:right="60"/>
        <w:spacing w:after="0" w:line="254" w:lineRule="auto"/>
        <w:rPr>
          <w:sz w:val="20"/>
          <w:szCs w:val="20"/>
          <w:color w:val="auto"/>
        </w:rPr>
      </w:pPr>
      <w:r>
        <w:rPr>
          <w:rFonts w:ascii="Arial" w:cs="Arial" w:eastAsia="Arial" w:hAnsi="Arial"/>
          <w:sz w:val="16"/>
          <w:szCs w:val="16"/>
          <w:color w:val="auto"/>
        </w:rPr>
        <w:t>For purposes of the accelerated vesting of the named executive officers’ equity awards under the circumstances described above, “cause,” “change in control,” “disability” and “good reason” are defined in the LTIP (or, for Mr. Inglis, in his offer letter) as follows:</w:t>
      </w:r>
    </w:p>
    <w:p>
      <w:pPr>
        <w:spacing w:after="0" w:line="71" w:lineRule="exact"/>
        <w:rPr>
          <w:sz w:val="20"/>
          <w:szCs w:val="20"/>
          <w:color w:val="auto"/>
        </w:rPr>
      </w:pPr>
    </w:p>
    <w:p>
      <w:pPr>
        <w:ind w:left="1040" w:right="20" w:hanging="357"/>
        <w:spacing w:after="0" w:line="282" w:lineRule="auto"/>
        <w:tabs>
          <w:tab w:leader="none" w:pos="1040" w:val="left"/>
        </w:tabs>
        <w:numPr>
          <w:ilvl w:val="0"/>
          <w:numId w:val="83"/>
        </w:numPr>
        <w:rPr>
          <w:rFonts w:ascii="Arial" w:cs="Arial" w:eastAsia="Arial" w:hAnsi="Arial"/>
          <w:sz w:val="16"/>
          <w:szCs w:val="16"/>
          <w:color w:val="2A3D6C"/>
        </w:rPr>
      </w:pPr>
      <w:r>
        <w:rPr>
          <w:rFonts w:ascii="Arial" w:cs="Arial" w:eastAsia="Arial" w:hAnsi="Arial"/>
          <w:sz w:val="16"/>
          <w:szCs w:val="16"/>
          <w:color w:val="auto"/>
        </w:rPr>
        <w:t>“Cause” generally means the named executive officer’s:</w:t>
      </w:r>
    </w:p>
    <w:p>
      <w:pPr>
        <w:spacing w:after="0" w:line="50" w:lineRule="exact"/>
        <w:rPr>
          <w:sz w:val="20"/>
          <w:szCs w:val="20"/>
          <w:color w:val="auto"/>
        </w:rPr>
      </w:pPr>
    </w:p>
    <w:p>
      <w:pPr>
        <w:ind w:left="1040" w:right="240" w:hanging="357"/>
        <w:spacing w:after="0" w:line="257" w:lineRule="auto"/>
        <w:tabs>
          <w:tab w:leader="none" w:pos="10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failure (or, in the case of Mr. Inglis, material failure) to perform his duties (other than any such failure resulting from his physical or mental incapacity);</w:t>
      </w:r>
    </w:p>
    <w:p>
      <w:pPr>
        <w:spacing w:after="0" w:line="68" w:lineRule="exact"/>
        <w:rPr>
          <w:rFonts w:ascii="Arial" w:cs="Arial" w:eastAsia="Arial" w:hAnsi="Arial"/>
          <w:sz w:val="16"/>
          <w:szCs w:val="16"/>
          <w:color w:val="auto"/>
        </w:rPr>
      </w:pPr>
    </w:p>
    <w:p>
      <w:pPr>
        <w:ind w:left="1040" w:hanging="357"/>
        <w:spacing w:after="0" w:line="254" w:lineRule="auto"/>
        <w:tabs>
          <w:tab w:leader="none" w:pos="10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having engaged in misconduct, negligence or a breach of fiduciary duty (or, in the case of</w:t>
      </w:r>
    </w:p>
    <w:p>
      <w:pPr>
        <w:spacing w:after="0" w:line="1" w:lineRule="exact"/>
        <w:rPr>
          <w:rFonts w:ascii="Arial" w:cs="Arial" w:eastAsia="Arial" w:hAnsi="Arial"/>
          <w:sz w:val="16"/>
          <w:szCs w:val="16"/>
          <w:color w:val="auto"/>
        </w:rPr>
      </w:pPr>
    </w:p>
    <w:p>
      <w:pPr>
        <w:ind w:left="1040" w:right="300"/>
        <w:spacing w:after="0" w:line="253" w:lineRule="auto"/>
        <w:rPr>
          <w:rFonts w:ascii="Arial" w:cs="Arial" w:eastAsia="Arial" w:hAnsi="Arial"/>
          <w:sz w:val="16"/>
          <w:szCs w:val="16"/>
          <w:color w:val="auto"/>
        </w:rPr>
      </w:pPr>
      <w:r>
        <w:rPr>
          <w:rFonts w:ascii="Arial" w:cs="Arial" w:eastAsia="Arial" w:hAnsi="Arial"/>
          <w:sz w:val="16"/>
          <w:szCs w:val="16"/>
          <w:color w:val="auto"/>
        </w:rPr>
        <w:t>Mr. Inglis, having engaged in serious misconduct, gross negligence or a material breach of a fiduciary duty);</w:t>
      </w:r>
    </w:p>
    <w:p>
      <w:pPr>
        <w:spacing w:after="0" w:line="71" w:lineRule="exact"/>
        <w:rPr>
          <w:rFonts w:ascii="Arial" w:cs="Arial" w:eastAsia="Arial" w:hAnsi="Arial"/>
          <w:sz w:val="16"/>
          <w:szCs w:val="16"/>
          <w:color w:val="auto"/>
        </w:rPr>
      </w:pPr>
    </w:p>
    <w:p>
      <w:pPr>
        <w:ind w:left="1040" w:hanging="357"/>
        <w:spacing w:after="0" w:line="254" w:lineRule="auto"/>
        <w:tabs>
          <w:tab w:leader="none" w:pos="10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having been convicted of, or having entered a plea bargain or settlement admitting guilt or the imposition of unadjudicated probation for, any crime of moral turpitude or felony under any applicable law;</w:t>
      </w:r>
    </w:p>
    <w:p>
      <w:pPr>
        <w:spacing w:after="0" w:line="70" w:lineRule="exact"/>
        <w:rPr>
          <w:rFonts w:ascii="Arial" w:cs="Arial" w:eastAsia="Arial" w:hAnsi="Arial"/>
          <w:sz w:val="16"/>
          <w:szCs w:val="16"/>
          <w:color w:val="auto"/>
        </w:rPr>
      </w:pPr>
    </w:p>
    <w:p>
      <w:pPr>
        <w:ind w:left="1040" w:hanging="357"/>
        <w:spacing w:after="0"/>
        <w:tabs>
          <w:tab w:leader="none" w:pos="10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breach (or, in the case of Mr. Inglis, material</w:t>
      </w:r>
    </w:p>
    <w:p>
      <w:pPr>
        <w:spacing w:after="0" w:line="131"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58</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80"/>
        </w:trPr>
        <w:tc>
          <w:tcPr>
            <w:tcW w:w="920" w:type="dxa"/>
            <w:vAlign w:val="bottom"/>
            <w:vMerge w:val="continue"/>
          </w:tcPr>
          <w:p>
            <w:pPr>
              <w:spacing w:after="0"/>
              <w:rPr>
                <w:sz w:val="24"/>
                <w:szCs w:val="24"/>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700" w:right="399"/>
        <w:spacing w:after="0" w:line="257" w:lineRule="auto"/>
        <w:rPr>
          <w:sz w:val="20"/>
          <w:szCs w:val="20"/>
          <w:color w:val="auto"/>
        </w:rPr>
      </w:pPr>
      <w:r>
        <w:rPr>
          <w:rFonts w:ascii="Arial" w:cs="Arial" w:eastAsia="Arial" w:hAnsi="Arial"/>
          <w:sz w:val="16"/>
          <w:szCs w:val="16"/>
          <w:color w:val="auto"/>
        </w:rPr>
        <w:t>breach) of any restrictive covenant (and, in the case of Mr. Inglis, any notice requirement, garden leave provision or similar requirement) to which he is subject;</w:t>
      </w:r>
    </w:p>
    <w:p>
      <w:pPr>
        <w:spacing w:after="0" w:line="69" w:lineRule="exact"/>
        <w:rPr>
          <w:sz w:val="20"/>
          <w:szCs w:val="20"/>
          <w:color w:val="auto"/>
        </w:rPr>
      </w:pPr>
    </w:p>
    <w:p>
      <w:pPr>
        <w:ind w:left="700" w:right="579" w:hanging="352"/>
        <w:spacing w:after="0" w:line="254" w:lineRule="auto"/>
        <w:tabs>
          <w:tab w:leader="none" w:pos="7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breach (or, in the case of Mr. Inglis, material breach) of any of our policies, including any policy that relates to expense management, human resources or the Foreign Corrupt Practices Act;</w:t>
      </w:r>
    </w:p>
    <w:p>
      <w:pPr>
        <w:spacing w:after="0" w:line="70" w:lineRule="exact"/>
        <w:rPr>
          <w:rFonts w:ascii="Arial" w:cs="Arial" w:eastAsia="Arial" w:hAnsi="Arial"/>
          <w:sz w:val="16"/>
          <w:szCs w:val="16"/>
          <w:color w:val="auto"/>
        </w:rPr>
      </w:pPr>
    </w:p>
    <w:p>
      <w:pPr>
        <w:jc w:val="both"/>
        <w:ind w:left="700" w:right="459" w:hanging="352"/>
        <w:spacing w:after="0" w:line="263" w:lineRule="auto"/>
        <w:tabs>
          <w:tab w:leader="none" w:pos="7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unlawful use or possession of illegal drugs on our premises or while performing his duties to us; or</w:t>
      </w:r>
    </w:p>
    <w:p>
      <w:pPr>
        <w:spacing w:after="0" w:line="64" w:lineRule="exact"/>
        <w:rPr>
          <w:rFonts w:ascii="Arial" w:cs="Arial" w:eastAsia="Arial" w:hAnsi="Arial"/>
          <w:sz w:val="16"/>
          <w:szCs w:val="16"/>
          <w:color w:val="auto"/>
        </w:rPr>
      </w:pPr>
    </w:p>
    <w:p>
      <w:pPr>
        <w:jc w:val="both"/>
        <w:ind w:left="700" w:right="479" w:hanging="352"/>
        <w:spacing w:after="0" w:line="282" w:lineRule="auto"/>
        <w:tabs>
          <w:tab w:leader="none" w:pos="7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commission of an act of fraud, embezzlement or misappropriation, in each case, against us.</w:t>
      </w:r>
    </w:p>
    <w:p>
      <w:pPr>
        <w:spacing w:after="0" w:line="50" w:lineRule="exact"/>
        <w:rPr>
          <w:sz w:val="20"/>
          <w:szCs w:val="20"/>
          <w:color w:val="auto"/>
        </w:rPr>
      </w:pPr>
    </w:p>
    <w:p>
      <w:pPr>
        <w:ind w:right="419"/>
        <w:spacing w:after="0" w:line="266" w:lineRule="auto"/>
        <w:rPr>
          <w:sz w:val="20"/>
          <w:szCs w:val="20"/>
          <w:color w:val="auto"/>
        </w:rPr>
      </w:pPr>
      <w:r>
        <w:rPr>
          <w:rFonts w:ascii="Arial" w:cs="Arial" w:eastAsia="Arial" w:hAnsi="Arial"/>
          <w:sz w:val="15"/>
          <w:szCs w:val="15"/>
          <w:color w:val="auto"/>
        </w:rPr>
        <w:t>In the case of Mr. Inglis, if the Company believes that he has committed an act giving rise to cause under clauses (i), (ii), (iv) or (v) above, then, if such act or omission is reasonably susceptible of cure, we must provide</w:t>
      </w:r>
    </w:p>
    <w:p>
      <w:pPr>
        <w:spacing w:after="0" w:line="1" w:lineRule="exact"/>
        <w:rPr>
          <w:sz w:val="20"/>
          <w:szCs w:val="20"/>
          <w:color w:val="auto"/>
        </w:rPr>
      </w:pPr>
    </w:p>
    <w:p>
      <w:pPr>
        <w:ind w:right="419"/>
        <w:spacing w:after="0" w:line="250" w:lineRule="auto"/>
        <w:rPr>
          <w:sz w:val="20"/>
          <w:szCs w:val="20"/>
          <w:color w:val="auto"/>
        </w:rPr>
      </w:pPr>
      <w:r>
        <w:rPr>
          <w:rFonts w:ascii="Arial" w:cs="Arial" w:eastAsia="Arial" w:hAnsi="Arial"/>
          <w:sz w:val="16"/>
          <w:szCs w:val="16"/>
          <w:color w:val="auto"/>
        </w:rPr>
        <w:t>Mr. Inglis written notice specifying the circumstances alleged to constitute cause within 90 days of the Board’s first obtaining knowledge of such circumstances. Mr. Inglis then has 30 days to cure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583565</wp:posOffset>
            </wp:positionV>
            <wp:extent cx="693801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2">
            <w:col w:w="4380" w:space="240"/>
            <w:col w:w="4399"/>
          </w:cols>
          <w:pgMar w:left="1440" w:top="262" w:right="1440" w:bottom="1440" w:gutter="0" w:footer="0" w:header="0"/>
          <w:type w:val="continuous"/>
        </w:sectPr>
      </w:pPr>
    </w:p>
    <w:bookmarkStart w:id="63" w:name="page64"/>
    <w:bookmarkEnd w:id="63"/>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right"/>
        <w:ind w:right="339"/>
        <w:spacing w:after="0"/>
        <w:rPr>
          <w:sz w:val="20"/>
          <w:szCs w:val="20"/>
          <w:color w:val="auto"/>
        </w:rPr>
      </w:pPr>
      <w:r>
        <w:rPr>
          <w:rFonts w:ascii="Arial" w:cs="Arial" w:eastAsia="Arial" w:hAnsi="Arial"/>
          <w:sz w:val="18"/>
          <w:szCs w:val="18"/>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50800</wp:posOffset>
            </wp:positionV>
            <wp:extent cx="530542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26" w:lineRule="exact"/>
        <w:rPr>
          <w:sz w:val="20"/>
          <w:szCs w:val="20"/>
          <w:color w:val="auto"/>
        </w:rPr>
      </w:pPr>
    </w:p>
    <w:p>
      <w:pPr>
        <w:ind w:left="320" w:right="80"/>
        <w:spacing w:after="0" w:line="257" w:lineRule="auto"/>
        <w:rPr>
          <w:sz w:val="20"/>
          <w:szCs w:val="20"/>
          <w:color w:val="auto"/>
        </w:rPr>
      </w:pPr>
      <w:r>
        <w:rPr>
          <w:rFonts w:ascii="Arial" w:cs="Arial" w:eastAsia="Arial" w:hAnsi="Arial"/>
          <w:sz w:val="16"/>
          <w:szCs w:val="16"/>
          <w:color w:val="auto"/>
        </w:rPr>
        <w:t>circumstances. If he has not cured the circumstances within such 30-day period, we may terminate Mr. Inglis’ employment within 60 days after the end of such 30-day period.</w:t>
      </w:r>
    </w:p>
    <w:p>
      <w:pPr>
        <w:spacing w:after="0" w:line="69" w:lineRule="exact"/>
        <w:rPr>
          <w:sz w:val="20"/>
          <w:szCs w:val="20"/>
          <w:color w:val="auto"/>
        </w:rPr>
      </w:pPr>
    </w:p>
    <w:p>
      <w:pPr>
        <w:ind w:left="1040" w:right="340" w:hanging="357"/>
        <w:spacing w:after="0" w:line="263" w:lineRule="auto"/>
        <w:tabs>
          <w:tab w:leader="none" w:pos="1040" w:val="left"/>
        </w:tabs>
        <w:numPr>
          <w:ilvl w:val="0"/>
          <w:numId w:val="86"/>
        </w:numPr>
        <w:rPr>
          <w:rFonts w:ascii="Arial" w:cs="Arial" w:eastAsia="Arial" w:hAnsi="Arial"/>
          <w:sz w:val="16"/>
          <w:szCs w:val="16"/>
          <w:color w:val="2A3D6C"/>
        </w:rPr>
      </w:pPr>
      <w:r>
        <w:rPr>
          <w:rFonts w:ascii="Arial" w:cs="Arial" w:eastAsia="Arial" w:hAnsi="Arial"/>
          <w:sz w:val="16"/>
          <w:szCs w:val="16"/>
          <w:color w:val="auto"/>
        </w:rPr>
        <w:t>“Change in Control” generally means the occurrence of one or more of the following events:</w:t>
      </w:r>
    </w:p>
    <w:p>
      <w:pPr>
        <w:spacing w:after="0" w:line="65" w:lineRule="exact"/>
        <w:rPr>
          <w:sz w:val="20"/>
          <w:szCs w:val="20"/>
          <w:color w:val="auto"/>
        </w:rPr>
      </w:pPr>
    </w:p>
    <w:p>
      <w:pPr>
        <w:ind w:left="1040" w:hanging="357"/>
        <w:spacing w:after="0" w:line="317" w:lineRule="auto"/>
        <w:tabs>
          <w:tab w:leader="none" w:pos="10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acquisition of 50% or more of the combined voting power of our outstanding securities;</w:t>
      </w:r>
    </w:p>
    <w:p>
      <w:pPr>
        <w:spacing w:after="0" w:line="26" w:lineRule="exact"/>
        <w:rPr>
          <w:rFonts w:ascii="Arial" w:cs="Arial" w:eastAsia="Arial" w:hAnsi="Arial"/>
          <w:sz w:val="15"/>
          <w:szCs w:val="15"/>
          <w:color w:val="auto"/>
        </w:rPr>
      </w:pPr>
    </w:p>
    <w:p>
      <w:pPr>
        <w:ind w:left="1040" w:right="20" w:hanging="357"/>
        <w:spacing w:after="0" w:line="257" w:lineRule="auto"/>
        <w:tabs>
          <w:tab w:leader="none" w:pos="10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replacement of the majority of our directors during any 12-month period (other than by directors approved by a majority of our remaining directors);</w:t>
      </w:r>
    </w:p>
    <w:p>
      <w:pPr>
        <w:spacing w:after="0" w:line="68" w:lineRule="exact"/>
        <w:rPr>
          <w:rFonts w:ascii="Arial" w:cs="Arial" w:eastAsia="Arial" w:hAnsi="Arial"/>
          <w:sz w:val="16"/>
          <w:szCs w:val="16"/>
          <w:color w:val="auto"/>
        </w:rPr>
      </w:pPr>
    </w:p>
    <w:p>
      <w:pPr>
        <w:ind w:left="1040" w:right="40" w:hanging="357"/>
        <w:spacing w:after="0" w:line="250" w:lineRule="auto"/>
        <w:tabs>
          <w:tab w:leader="none" w:pos="10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consummation of our merger, amalgamation or consolidation with another entity (unless our voting securities outstanding immediately before such transaction continue to represent more than 50% of the combined voting power of the surviving or resulting entity outstanding immediately after such transaction); or</w:t>
      </w:r>
    </w:p>
    <w:p>
      <w:pPr>
        <w:spacing w:after="0" w:line="73" w:lineRule="exact"/>
        <w:rPr>
          <w:rFonts w:ascii="Arial" w:cs="Arial" w:eastAsia="Arial" w:hAnsi="Arial"/>
          <w:sz w:val="16"/>
          <w:szCs w:val="16"/>
          <w:color w:val="auto"/>
        </w:rPr>
      </w:pPr>
    </w:p>
    <w:p>
      <w:pPr>
        <w:ind w:left="1040" w:right="20" w:hanging="357"/>
        <w:spacing w:after="0" w:line="247" w:lineRule="auto"/>
        <w:tabs>
          <w:tab w:leader="none" w:pos="10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transfer of our assets having a gross fair market value of 50% or more of the total gross market value of our assets immediately before such transfer (other than any such transfer immediately after which such assets are owned directly or indirectly by our stockholders in substantially the same proportions as their ownership of our common shares immediately before such transfer), and the subsequent distribution of the proceeds from such transfer to our stockholders having a fair market value that is greater than 50% of our fair market value immediately before such transfer.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700" w:right="399" w:hanging="352"/>
        <w:spacing w:after="0" w:line="250" w:lineRule="auto"/>
        <w:tabs>
          <w:tab w:leader="none" w:pos="700" w:val="left"/>
        </w:tabs>
        <w:numPr>
          <w:ilvl w:val="0"/>
          <w:numId w:val="88"/>
        </w:numPr>
        <w:rPr>
          <w:rFonts w:ascii="Arial" w:cs="Arial" w:eastAsia="Arial" w:hAnsi="Arial"/>
          <w:sz w:val="16"/>
          <w:szCs w:val="16"/>
          <w:color w:val="2A3D6C"/>
        </w:rPr>
      </w:pPr>
      <w:r>
        <w:rPr>
          <w:rFonts w:ascii="Arial" w:cs="Arial" w:eastAsia="Arial" w:hAnsi="Arial"/>
          <w:sz w:val="16"/>
          <w:szCs w:val="16"/>
          <w:color w:val="auto"/>
        </w:rPr>
        <w:t>“Disability” generally means “disability” as defined in our long-term disability plan for the purpose of determining eligibility for benefits. If such plan contains multiple definitions of disability, then “disability” refers to that definition of disability which, if the named executive officer qualified for such benefits, would provide coverage for the longest period.</w:t>
      </w:r>
    </w:p>
    <w:p>
      <w:pPr>
        <w:spacing w:after="0" w:line="73" w:lineRule="exact"/>
        <w:rPr>
          <w:rFonts w:ascii="Arial" w:cs="Arial" w:eastAsia="Arial" w:hAnsi="Arial"/>
          <w:sz w:val="16"/>
          <w:szCs w:val="16"/>
          <w:color w:val="2A3D6C"/>
        </w:rPr>
      </w:pPr>
    </w:p>
    <w:p>
      <w:pPr>
        <w:ind w:left="700" w:right="419" w:hanging="352"/>
        <w:spacing w:after="0" w:line="263" w:lineRule="auto"/>
        <w:tabs>
          <w:tab w:leader="none" w:pos="700" w:val="left"/>
        </w:tabs>
        <w:numPr>
          <w:ilvl w:val="0"/>
          <w:numId w:val="88"/>
        </w:numPr>
        <w:rPr>
          <w:rFonts w:ascii="Arial" w:cs="Arial" w:eastAsia="Arial" w:hAnsi="Arial"/>
          <w:sz w:val="16"/>
          <w:szCs w:val="16"/>
          <w:color w:val="2A3D6C"/>
        </w:rPr>
      </w:pPr>
      <w:r>
        <w:rPr>
          <w:rFonts w:ascii="Arial" w:cs="Arial" w:eastAsia="Arial" w:hAnsi="Arial"/>
          <w:sz w:val="16"/>
          <w:szCs w:val="16"/>
          <w:color w:val="auto"/>
        </w:rPr>
        <w:t>“Good Reason” generally means the occurrence of any of the following events without the named executive officer’s consent:</w:t>
      </w:r>
    </w:p>
    <w:p>
      <w:pPr>
        <w:spacing w:after="0" w:line="65" w:lineRule="exact"/>
        <w:rPr>
          <w:sz w:val="20"/>
          <w:szCs w:val="20"/>
          <w:color w:val="auto"/>
        </w:rPr>
      </w:pPr>
    </w:p>
    <w:p>
      <w:pPr>
        <w:ind w:left="700" w:right="379" w:hanging="352"/>
        <w:spacing w:after="0" w:line="254" w:lineRule="auto"/>
        <w:tabs>
          <w:tab w:leader="none" w:pos="7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reduction in his base salary or target bonus, other than any such reduction that applies generally to similarly situated employees (or, in the case of Mr. Inglis, that applies to senior executives of the Company);</w:t>
      </w:r>
    </w:p>
    <w:p>
      <w:pPr>
        <w:spacing w:after="0" w:line="70" w:lineRule="exact"/>
        <w:rPr>
          <w:rFonts w:ascii="Arial" w:cs="Arial" w:eastAsia="Arial" w:hAnsi="Arial"/>
          <w:sz w:val="16"/>
          <w:szCs w:val="16"/>
          <w:color w:val="auto"/>
        </w:rPr>
      </w:pPr>
    </w:p>
    <w:p>
      <w:pPr>
        <w:ind w:left="700" w:right="399" w:hanging="352"/>
        <w:spacing w:after="0" w:line="282" w:lineRule="auto"/>
        <w:tabs>
          <w:tab w:leader="none" w:pos="7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relocation of his principal place of employment by more than 50 miles; or</w:t>
      </w:r>
    </w:p>
    <w:p>
      <w:pPr>
        <w:spacing w:after="0" w:line="49" w:lineRule="exact"/>
        <w:rPr>
          <w:rFonts w:ascii="Arial" w:cs="Arial" w:eastAsia="Arial" w:hAnsi="Arial"/>
          <w:sz w:val="16"/>
          <w:szCs w:val="16"/>
          <w:color w:val="auto"/>
        </w:rPr>
      </w:pPr>
    </w:p>
    <w:p>
      <w:pPr>
        <w:ind w:left="700" w:right="659" w:hanging="352"/>
        <w:spacing w:after="0" w:line="254" w:lineRule="auto"/>
        <w:tabs>
          <w:tab w:leader="none" w:pos="7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material reduction in his duties or responsibilities (in the case of our named executive officers other than Mr. Inglis, that occurs within two years after a change in control).</w:t>
      </w:r>
    </w:p>
    <w:p>
      <w:pPr>
        <w:spacing w:after="0" w:line="71" w:lineRule="exact"/>
        <w:rPr>
          <w:sz w:val="20"/>
          <w:szCs w:val="20"/>
          <w:color w:val="auto"/>
        </w:rPr>
      </w:pPr>
    </w:p>
    <w:p>
      <w:pPr>
        <w:ind w:right="399"/>
        <w:spacing w:after="0" w:line="250" w:lineRule="auto"/>
        <w:rPr>
          <w:sz w:val="20"/>
          <w:szCs w:val="20"/>
          <w:color w:val="auto"/>
        </w:rPr>
      </w:pPr>
      <w:r>
        <w:rPr>
          <w:rFonts w:ascii="Arial" w:cs="Arial" w:eastAsia="Arial" w:hAnsi="Arial"/>
          <w:sz w:val="16"/>
          <w:szCs w:val="16"/>
          <w:color w:val="auto"/>
        </w:rPr>
        <w:t>In each case, the executive must provide us with written notice specifying the circumstances alleged to constitute good reason within 90 days after the circumstances first occur. We then have 30 days to cure the circumstances. If we have not cured the circumstances within such 30-day period, the executive is required to resign within 60 days after the end of such 30-day period.</w:t>
      </w:r>
    </w:p>
    <w:p>
      <w:pPr>
        <w:spacing w:after="0" w:line="862" w:lineRule="exact"/>
        <w:rPr>
          <w:sz w:val="20"/>
          <w:szCs w:val="20"/>
          <w:color w:val="auto"/>
        </w:rPr>
      </w:pPr>
    </w:p>
    <w:p>
      <w:pPr>
        <w:sectPr>
          <w:pgSz w:w="11900" w:h="16838" w:orient="portrait"/>
          <w:cols w:equalWidth="0" w:num="2">
            <w:col w:w="4380" w:space="24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2021 CEO Pay Ratio Disclosure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Pay Ratio</w:t>
      </w:r>
    </w:p>
    <w:p>
      <w:pPr>
        <w:spacing w:after="0" w:line="109" w:lineRule="exact"/>
        <w:rPr>
          <w:sz w:val="20"/>
          <w:szCs w:val="20"/>
          <w:color w:val="auto"/>
        </w:rPr>
      </w:pPr>
    </w:p>
    <w:p>
      <w:pPr>
        <w:ind w:left="320" w:right="20"/>
        <w:spacing w:after="0" w:line="254" w:lineRule="auto"/>
        <w:rPr>
          <w:sz w:val="20"/>
          <w:szCs w:val="20"/>
          <w:color w:val="auto"/>
        </w:rPr>
      </w:pPr>
      <w:r>
        <w:rPr>
          <w:rFonts w:ascii="Arial" w:cs="Arial" w:eastAsia="Arial" w:hAnsi="Arial"/>
          <w:sz w:val="16"/>
          <w:szCs w:val="16"/>
          <w:color w:val="auto"/>
        </w:rPr>
        <w:t>In accordance with the requirements of Section 953(b) of the Dodd-Frank Act and Item 402(u) of Regulation S-K (which we collectively refer to as the “Pay Ratio Rule”), we are providing the following estimated information for 2021:</w:t>
      </w:r>
    </w:p>
    <w:p>
      <w:pPr>
        <w:spacing w:after="0" w:line="71" w:lineRule="exact"/>
        <w:rPr>
          <w:sz w:val="20"/>
          <w:szCs w:val="20"/>
          <w:color w:val="auto"/>
        </w:rPr>
      </w:pPr>
    </w:p>
    <w:p>
      <w:pPr>
        <w:ind w:left="1040" w:hanging="357"/>
        <w:spacing w:after="0" w:line="263" w:lineRule="auto"/>
        <w:tabs>
          <w:tab w:leader="none" w:pos="1040" w:val="left"/>
        </w:tabs>
        <w:numPr>
          <w:ilvl w:val="0"/>
          <w:numId w:val="90"/>
        </w:numPr>
        <w:rPr>
          <w:rFonts w:ascii="Arial" w:cs="Arial" w:eastAsia="Arial" w:hAnsi="Arial"/>
          <w:sz w:val="16"/>
          <w:szCs w:val="16"/>
          <w:color w:val="2A3D6C"/>
        </w:rPr>
      </w:pPr>
      <w:r>
        <w:rPr>
          <w:rFonts w:ascii="Arial" w:cs="Arial" w:eastAsia="Arial" w:hAnsi="Arial"/>
          <w:sz w:val="16"/>
          <w:szCs w:val="16"/>
          <w:color w:val="auto"/>
        </w:rPr>
        <w:t>the median of the annual total compensation of all our employees (except our Chief Executive Officer) was $247,115;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509270</wp:posOffset>
            </wp:positionV>
            <wp:extent cx="693801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0" w:right="679" w:hanging="352"/>
        <w:spacing w:after="0" w:line="282" w:lineRule="auto"/>
        <w:tabs>
          <w:tab w:leader="none" w:pos="360" w:val="left"/>
        </w:tabs>
        <w:numPr>
          <w:ilvl w:val="0"/>
          <w:numId w:val="91"/>
        </w:numPr>
        <w:rPr>
          <w:rFonts w:ascii="Arial" w:cs="Arial" w:eastAsia="Arial" w:hAnsi="Arial"/>
          <w:sz w:val="16"/>
          <w:szCs w:val="16"/>
          <w:color w:val="2A3D6C"/>
        </w:rPr>
      </w:pPr>
      <w:r>
        <w:rPr>
          <w:rFonts w:ascii="Arial" w:cs="Arial" w:eastAsia="Arial" w:hAnsi="Arial"/>
          <w:sz w:val="16"/>
          <w:szCs w:val="16"/>
          <w:color w:val="auto"/>
        </w:rPr>
        <w:t>the annual total compensation of our Chief Executive Officer was $6,278,682; and</w:t>
      </w:r>
    </w:p>
    <w:p>
      <w:pPr>
        <w:spacing w:after="0" w:line="49" w:lineRule="exact"/>
        <w:rPr>
          <w:rFonts w:ascii="Arial" w:cs="Arial" w:eastAsia="Arial" w:hAnsi="Arial"/>
          <w:sz w:val="16"/>
          <w:szCs w:val="16"/>
          <w:color w:val="2A3D6C"/>
        </w:rPr>
      </w:pPr>
    </w:p>
    <w:p>
      <w:pPr>
        <w:ind w:left="360" w:right="359" w:hanging="352"/>
        <w:spacing w:after="0" w:line="254" w:lineRule="auto"/>
        <w:tabs>
          <w:tab w:leader="none" w:pos="360" w:val="left"/>
        </w:tabs>
        <w:numPr>
          <w:ilvl w:val="0"/>
          <w:numId w:val="91"/>
        </w:numPr>
        <w:rPr>
          <w:rFonts w:ascii="Arial" w:cs="Arial" w:eastAsia="Arial" w:hAnsi="Arial"/>
          <w:sz w:val="16"/>
          <w:szCs w:val="16"/>
          <w:color w:val="2A3D6C"/>
        </w:rPr>
      </w:pPr>
      <w:r>
        <w:rPr>
          <w:rFonts w:ascii="Arial" w:cs="Arial" w:eastAsia="Arial" w:hAnsi="Arial"/>
          <w:sz w:val="16"/>
          <w:szCs w:val="16"/>
          <w:color w:val="auto"/>
        </w:rPr>
        <w:t>the ratio of these two amounts was approximately 25 to 1. We believe that this ratio is a reasonable estimate calculated in a manner consistent with the requirements of the Pay Ratio Rule.</w:t>
      </w:r>
    </w:p>
    <w:p>
      <w:pPr>
        <w:spacing w:after="0" w:line="264" w:lineRule="exact"/>
        <w:rPr>
          <w:sz w:val="20"/>
          <w:szCs w:val="20"/>
          <w:color w:val="auto"/>
        </w:rPr>
      </w:pPr>
    </w:p>
    <w:p>
      <w:pPr>
        <w:ind w:left="144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-158750</wp:posOffset>
            </wp:positionV>
            <wp:extent cx="594995" cy="1701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2">
            <w:col w:w="4380" w:space="580"/>
            <w:col w:w="4059"/>
          </w:cols>
          <w:pgMar w:left="1440" w:top="262" w:right="1440" w:bottom="1440" w:gutter="0" w:footer="0" w:header="0"/>
          <w:type w:val="continuous"/>
        </w:sectPr>
      </w:pPr>
    </w:p>
    <w:bookmarkStart w:id="64" w:name="page65"/>
    <w:bookmarkEnd w:id="64"/>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2A3D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57785</wp:posOffset>
            </wp:positionV>
            <wp:extent cx="530542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38" w:lineRule="exact"/>
        <w:rPr>
          <w:sz w:val="20"/>
          <w:szCs w:val="20"/>
          <w:color w:val="auto"/>
        </w:rPr>
      </w:pPr>
    </w:p>
    <w:p>
      <w:pPr>
        <w:ind w:left="320"/>
        <w:spacing w:after="0" w:line="247" w:lineRule="auto"/>
        <w:rPr>
          <w:sz w:val="20"/>
          <w:szCs w:val="20"/>
          <w:color w:val="auto"/>
        </w:rPr>
      </w:pPr>
      <w:r>
        <w:rPr>
          <w:rFonts w:ascii="Arial" w:cs="Arial" w:eastAsia="Arial" w:hAnsi="Arial"/>
          <w:sz w:val="16"/>
          <w:szCs w:val="16"/>
          <w:color w:val="auto"/>
        </w:rPr>
        <w:t>To identify the median of the annual total compensation of all of our employees (other than our Chief Executive Officer), we first identified our total employee population from which we determined our median employee. We determined that, as of December 31, 2021, our employee population consisted of 228 individuals. Our employee population consisted of our global workforce of full-time and part-time employees, as described in more detail below. We adjusted our total employee population (as described above) for purposes of identifying our median employee by excluding 10 of our employees located in certain jurisdictions outside of the United States given the relatively small number of employees in each such jurisdiction, as follows: three employees in Equatorial Guinea, one employee in São Tomé and Príncipe and six employees in Mauritania.</w:t>
      </w:r>
    </w:p>
    <w:p>
      <w:pPr>
        <w:spacing w:after="0" w:line="77" w:lineRule="exact"/>
        <w:rPr>
          <w:sz w:val="20"/>
          <w:szCs w:val="20"/>
          <w:color w:val="auto"/>
        </w:rPr>
      </w:pPr>
    </w:p>
    <w:p>
      <w:pPr>
        <w:ind w:left="320" w:right="60"/>
        <w:spacing w:after="0" w:line="254" w:lineRule="auto"/>
        <w:rPr>
          <w:sz w:val="20"/>
          <w:szCs w:val="20"/>
          <w:color w:val="auto"/>
        </w:rPr>
      </w:pPr>
      <w:r>
        <w:rPr>
          <w:rFonts w:ascii="Arial" w:cs="Arial" w:eastAsia="Arial" w:hAnsi="Arial"/>
          <w:sz w:val="16"/>
          <w:szCs w:val="16"/>
          <w:color w:val="auto"/>
        </w:rPr>
        <w:t>After taking into account the above described adjustments to our employee population as permitted by the Pay Ratio Rule, our total adjusted employee population for purposes of determining our median employee consisted of 218 individuals.</w:t>
      </w:r>
    </w:p>
    <w:p>
      <w:pPr>
        <w:spacing w:after="0" w:line="71" w:lineRule="exact"/>
        <w:rPr>
          <w:sz w:val="20"/>
          <w:szCs w:val="20"/>
          <w:color w:val="auto"/>
        </w:rPr>
      </w:pPr>
    </w:p>
    <w:p>
      <w:pPr>
        <w:ind w:left="320" w:right="100"/>
        <w:spacing w:after="0" w:line="250" w:lineRule="auto"/>
        <w:rPr>
          <w:sz w:val="20"/>
          <w:szCs w:val="20"/>
          <w:color w:val="auto"/>
        </w:rPr>
      </w:pPr>
      <w:r>
        <w:rPr>
          <w:rFonts w:ascii="Arial" w:cs="Arial" w:eastAsia="Arial" w:hAnsi="Arial"/>
          <w:sz w:val="16"/>
          <w:szCs w:val="16"/>
          <w:color w:val="auto"/>
        </w:rPr>
        <w:t>To identify our median employee from our total adjusted employee population, we compared the amount of base salary paid to each of our employees as reflected in our payroll records for 2021. In making this determination, we annualized the compensation of our full-time employees who were hired in 2021 but did not work for us for the entire fiscal year and permanent part-time employees. We identified our</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559"/>
        <w:spacing w:after="0" w:line="263" w:lineRule="auto"/>
        <w:rPr>
          <w:sz w:val="20"/>
          <w:szCs w:val="20"/>
          <w:color w:val="auto"/>
        </w:rPr>
      </w:pPr>
      <w:r>
        <w:rPr>
          <w:rFonts w:ascii="Arial" w:cs="Arial" w:eastAsia="Arial" w:hAnsi="Arial"/>
          <w:sz w:val="16"/>
          <w:szCs w:val="16"/>
          <w:color w:val="auto"/>
        </w:rPr>
        <w:t>median employee using this compensation measure, which was consistently applied to all of our employees included in the calculation.</w:t>
      </w:r>
    </w:p>
    <w:p>
      <w:pPr>
        <w:spacing w:after="0" w:line="65" w:lineRule="exact"/>
        <w:rPr>
          <w:sz w:val="20"/>
          <w:szCs w:val="20"/>
          <w:color w:val="auto"/>
        </w:rPr>
      </w:pPr>
    </w:p>
    <w:p>
      <w:pPr>
        <w:ind w:right="359"/>
        <w:spacing w:after="0" w:line="247" w:lineRule="auto"/>
        <w:rPr>
          <w:sz w:val="20"/>
          <w:szCs w:val="20"/>
          <w:color w:val="auto"/>
        </w:rPr>
      </w:pPr>
      <w:r>
        <w:rPr>
          <w:rFonts w:ascii="Arial" w:cs="Arial" w:eastAsia="Arial" w:hAnsi="Arial"/>
          <w:sz w:val="16"/>
          <w:szCs w:val="16"/>
          <w:color w:val="auto"/>
        </w:rPr>
        <w:t>We then calculated such median employee’s annual total compensation for 2021 using the same methodology we used for purposes of determining the annual total compensation of our named executive officers for 2021 (as set forth in the 2021 Summary Compensation Table of this Proxy Statement), adjusted to include the cost to the Company in 2021 of specified employee benefits that are provided on a non-discriminatory basis, including medical, dental and vision coverage, health savings account (HSA) contributions, short- and long-term disability benefits, life and accidental death and dismemberment (AD&amp;D) insurance and travel insurance benefits.</w:t>
      </w:r>
    </w:p>
    <w:p>
      <w:pPr>
        <w:spacing w:after="0" w:line="82" w:lineRule="exact"/>
        <w:rPr>
          <w:sz w:val="20"/>
          <w:szCs w:val="20"/>
          <w:color w:val="auto"/>
        </w:rPr>
      </w:pPr>
    </w:p>
    <w:p>
      <w:pPr>
        <w:ind w:right="459"/>
        <w:spacing w:after="0" w:line="272" w:lineRule="auto"/>
        <w:rPr>
          <w:sz w:val="20"/>
          <w:szCs w:val="20"/>
          <w:color w:val="auto"/>
        </w:rPr>
      </w:pPr>
      <w:r>
        <w:rPr>
          <w:rFonts w:ascii="Arial" w:cs="Arial" w:eastAsia="Arial" w:hAnsi="Arial"/>
          <w:sz w:val="15"/>
          <w:szCs w:val="15"/>
          <w:color w:val="auto"/>
        </w:rPr>
        <w:t>Our CEO’s annual total compensation for 2021 for purposes of the Pay Ratio Rule is equal to the amount reported in the “Total” column in the 2021 Summary Compensation Table, adjusted, to the extent applicable, in a similar manner as the annual total compensation of our median employee (as described above).</w:t>
      </w:r>
    </w:p>
    <w:p>
      <w:pPr>
        <w:spacing w:after="0" w:line="59" w:lineRule="exact"/>
        <w:rPr>
          <w:sz w:val="20"/>
          <w:szCs w:val="20"/>
          <w:color w:val="auto"/>
        </w:rPr>
      </w:pPr>
    </w:p>
    <w:p>
      <w:pPr>
        <w:ind w:right="559"/>
        <w:spacing w:after="0" w:line="252" w:lineRule="auto"/>
        <w:rPr>
          <w:sz w:val="20"/>
          <w:szCs w:val="20"/>
          <w:color w:val="auto"/>
        </w:rPr>
      </w:pPr>
      <w:r>
        <w:rPr>
          <w:rFonts w:ascii="Arial" w:cs="Arial" w:eastAsia="Arial" w:hAnsi="Arial"/>
          <w:sz w:val="16"/>
          <w:szCs w:val="16"/>
          <w:color w:val="auto"/>
        </w:rPr>
        <w:t>SEC rules for identifying the median employee and calculating the pay ratio allow companies to apply various methodologies and apply various assumptions and, as result, the pay ratio reported by us may not be comparable to the pay ratio reported by other companies.</w:t>
      </w:r>
    </w:p>
    <w:p>
      <w:pPr>
        <w:spacing w:after="0" w:line="173" w:lineRule="exact"/>
        <w:rPr>
          <w:sz w:val="20"/>
          <w:szCs w:val="20"/>
          <w:color w:val="auto"/>
        </w:rPr>
      </w:pPr>
    </w:p>
    <w:p>
      <w:pPr>
        <w:sectPr>
          <w:pgSz w:w="11900" w:h="16838" w:orient="portrait"/>
          <w:cols w:equalWidth="0" w:num="2">
            <w:col w:w="4380" w:space="240"/>
            <w:col w:w="4399"/>
          </w:cols>
          <w:pgMar w:left="1440" w:top="262" w:right="1440" w:bottom="1440" w:gutter="0" w:footer="0" w:header="0"/>
          <w:type w:val="continuous"/>
        </w:sect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60</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920" w:type="dxa"/>
            <w:vAlign w:val="bottom"/>
            <w:vMerge w:val="continue"/>
          </w:tcPr>
          <w:p>
            <w:pPr>
              <w:spacing w:after="0"/>
              <w:rPr>
                <w:sz w:val="23"/>
                <w:szCs w:val="23"/>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65" w:name="page66"/>
    <w:bookmarkEnd w:id="65"/>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245110</wp:posOffset>
            </wp:positionV>
            <wp:extent cx="530542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Arial" w:cs="Arial" w:eastAsia="Arial" w:hAnsi="Arial"/>
          <w:sz w:val="42"/>
          <w:szCs w:val="42"/>
          <w:color w:val="2A3D6C"/>
        </w:rPr>
        <w:t>GENERAL MATTERS</w:t>
      </w:r>
    </w:p>
    <w:p>
      <w:pPr>
        <w:sectPr>
          <w:pgSz w:w="11900" w:h="16838" w:orient="portrait"/>
          <w:cols w:equalWidth="0" w:num="1">
            <w:col w:w="9019"/>
          </w:cols>
          <w:pgMar w:left="1440" w:top="262" w:right="1440" w:bottom="1440" w:gutter="0" w:footer="0" w:header="0"/>
        </w:sectPr>
      </w:pPr>
    </w:p>
    <w:p>
      <w:pPr>
        <w:spacing w:after="0" w:line="141"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Record Date</w:t>
      </w:r>
    </w:p>
    <w:p>
      <w:pPr>
        <w:spacing w:after="0" w:line="129" w:lineRule="exact"/>
        <w:rPr>
          <w:sz w:val="20"/>
          <w:szCs w:val="20"/>
          <w:color w:val="auto"/>
        </w:rPr>
      </w:pPr>
    </w:p>
    <w:p>
      <w:pPr>
        <w:ind w:left="320"/>
        <w:spacing w:after="0" w:line="257" w:lineRule="auto"/>
        <w:rPr>
          <w:sz w:val="20"/>
          <w:szCs w:val="20"/>
          <w:color w:val="auto"/>
        </w:rPr>
      </w:pPr>
      <w:r>
        <w:rPr>
          <w:rFonts w:ascii="Arial" w:cs="Arial" w:eastAsia="Arial" w:hAnsi="Arial"/>
          <w:sz w:val="16"/>
          <w:szCs w:val="16"/>
          <w:color w:val="auto"/>
        </w:rPr>
        <w:t>The Board fixed the record date for the determination of stockholders entitled to notice of and to vote at the annual stockholders meeting as of the close of business on April 12, 2022. Our only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right="639"/>
        <w:spacing w:after="0" w:line="257" w:lineRule="auto"/>
        <w:rPr>
          <w:sz w:val="20"/>
          <w:szCs w:val="20"/>
          <w:color w:val="auto"/>
        </w:rPr>
      </w:pPr>
      <w:r>
        <w:rPr>
          <w:rFonts w:ascii="Arial" w:cs="Arial" w:eastAsia="Arial" w:hAnsi="Arial"/>
          <w:sz w:val="16"/>
          <w:szCs w:val="16"/>
          <w:color w:val="auto"/>
        </w:rPr>
        <w:t>voting securities are our common shares, $0.01 par value per share, of which 455,437,574 shares were outstanding as of the close of business on the record date.</w:t>
      </w:r>
    </w:p>
    <w:p>
      <w:pPr>
        <w:spacing w:after="0" w:line="117" w:lineRule="exact"/>
        <w:rPr>
          <w:sz w:val="20"/>
          <w:szCs w:val="20"/>
          <w:color w:val="auto"/>
        </w:rPr>
      </w:pPr>
    </w:p>
    <w:p>
      <w:pPr>
        <w:sectPr>
          <w:pgSz w:w="11900" w:h="16838" w:orient="portrait"/>
          <w:cols w:equalWidth="0" w:num="2">
            <w:col w:w="4300" w:space="32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Voting Your Proxy</w:t>
      </w:r>
    </w:p>
    <w:p>
      <w:pPr>
        <w:spacing w:after="0" w:line="129" w:lineRule="exact"/>
        <w:rPr>
          <w:sz w:val="20"/>
          <w:szCs w:val="20"/>
          <w:color w:val="auto"/>
        </w:rPr>
      </w:pPr>
    </w:p>
    <w:p>
      <w:pPr>
        <w:ind w:left="320"/>
        <w:spacing w:after="0" w:line="246" w:lineRule="auto"/>
        <w:rPr>
          <w:sz w:val="20"/>
          <w:szCs w:val="20"/>
          <w:color w:val="auto"/>
        </w:rPr>
      </w:pPr>
      <w:r>
        <w:rPr>
          <w:rFonts w:ascii="Arial" w:cs="Arial" w:eastAsia="Arial" w:hAnsi="Arial"/>
          <w:sz w:val="16"/>
          <w:szCs w:val="16"/>
          <w:color w:val="auto"/>
        </w:rPr>
        <w:t xml:space="preserve">Our stockholders are entitled to one vote for each common share that is owned on the record date on all matters considered at the annual stockholders meeting. You may vote your shares either in person or by proxy. To vote by proxy, you may submit your proxy and direct how to vote your shares by telephone using the toll-free number listed on the Proxy Card, via the Internet at the website listed on the Proxy Card or by marking, dating, signing and mailing the enclosed Proxy Card in the prepaid envelope provided. When using Internet or telephone voting, the voting systems will verify that you are a stockholder through the use of a company number for Kosmos Energy Ltd. and a control number unique to you. </w:t>
      </w:r>
      <w:r>
        <w:rPr>
          <w:rFonts w:ascii="Arial" w:cs="Arial" w:eastAsia="Arial" w:hAnsi="Arial"/>
          <w:sz w:val="16"/>
          <w:szCs w:val="16"/>
          <w:b w:val="1"/>
          <w:bCs w:val="1"/>
          <w:i w:val="1"/>
          <w:iCs w:val="1"/>
          <w:color w:val="auto"/>
        </w:rPr>
        <w:t>If you submit your proxy and direct how to vote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your shares via the Internet or by telephone, please do not also mail the enclosed Proxy Card. </w:t>
      </w:r>
      <w:r>
        <w:rPr>
          <w:rFonts w:ascii="Arial" w:cs="Arial" w:eastAsia="Arial" w:hAnsi="Arial"/>
          <w:sz w:val="16"/>
          <w:szCs w:val="16"/>
          <w:color w:val="auto"/>
        </w:rPr>
        <w:t>If you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vote at the virtual annual stockholders meeting, you will need the control number included on your notice of internet availability, proxy card or</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Shares Held of Record</w:t>
      </w:r>
    </w:p>
    <w:p>
      <w:pPr>
        <w:spacing w:after="0" w:line="129" w:lineRule="exact"/>
        <w:rPr>
          <w:sz w:val="20"/>
          <w:szCs w:val="20"/>
          <w:color w:val="auto"/>
        </w:rPr>
      </w:pPr>
    </w:p>
    <w:p>
      <w:pPr>
        <w:ind w:left="320"/>
        <w:spacing w:after="0" w:line="250" w:lineRule="auto"/>
        <w:rPr>
          <w:sz w:val="20"/>
          <w:szCs w:val="20"/>
          <w:color w:val="auto"/>
        </w:rPr>
      </w:pPr>
      <w:r>
        <w:rPr>
          <w:rFonts w:ascii="Arial" w:cs="Arial" w:eastAsia="Arial" w:hAnsi="Arial"/>
          <w:sz w:val="16"/>
          <w:szCs w:val="16"/>
          <w:color w:val="auto"/>
        </w:rPr>
        <w:t>If your shares are held in your name and you vote by granting a proxy, which is not subsequently revoked, the proxy holders will vote the shares in accordance with your instructions. If you submit a proxy without giving specific voting instructions, your shares will be voted in accordance with the Board’s recommendations as follows:</w:t>
      </w:r>
    </w:p>
    <w:p>
      <w:pPr>
        <w:spacing w:after="0" w:line="78" w:lineRule="exact"/>
        <w:rPr>
          <w:sz w:val="20"/>
          <w:szCs w:val="20"/>
          <w:color w:val="auto"/>
        </w:rPr>
      </w:pPr>
    </w:p>
    <w:p>
      <w:pPr>
        <w:ind w:left="320" w:right="100"/>
        <w:spacing w:after="0" w:line="263"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FOR</w:t>
      </w:r>
      <w:r>
        <w:rPr>
          <w:rFonts w:ascii="Arial" w:cs="Arial" w:eastAsia="Arial" w:hAnsi="Arial"/>
          <w:sz w:val="16"/>
          <w:szCs w:val="16"/>
          <w:color w:val="auto"/>
        </w:rPr>
        <w:t xml:space="preserve"> “ Proposal 1: To elect two Class III directors to a three-year term to serve until the 2025 annual stockholders meeting;</w:t>
      </w:r>
    </w:p>
    <w:p>
      <w:pPr>
        <w:spacing w:after="0" w:line="64" w:lineRule="exact"/>
        <w:rPr>
          <w:sz w:val="20"/>
          <w:szCs w:val="20"/>
          <w:color w:val="auto"/>
        </w:rPr>
      </w:pPr>
    </w:p>
    <w:p>
      <w:pPr>
        <w:ind w:left="320" w:right="40"/>
        <w:spacing w:after="0" w:line="257"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FOR</w:t>
      </w:r>
      <w:r>
        <w:rPr>
          <w:rFonts w:ascii="Arial" w:cs="Arial" w:eastAsia="Arial" w:hAnsi="Arial"/>
          <w:sz w:val="16"/>
          <w:szCs w:val="16"/>
          <w:color w:val="auto"/>
        </w:rPr>
        <w:t xml:space="preserve"> “ Proposal 2: To ratify the appointment of Ernst &amp; Young LLP as our independent registered public accounting firm for the fiscal year ending December 31, 2022 and to authorize the Company’s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419"/>
        <w:spacing w:after="0" w:line="250" w:lineRule="auto"/>
        <w:rPr>
          <w:sz w:val="20"/>
          <w:szCs w:val="20"/>
          <w:color w:val="auto"/>
        </w:rPr>
      </w:pPr>
      <w:r>
        <w:rPr>
          <w:rFonts w:ascii="Arial" w:cs="Arial" w:eastAsia="Arial" w:hAnsi="Arial"/>
          <w:sz w:val="16"/>
          <w:szCs w:val="16"/>
          <w:color w:val="auto"/>
        </w:rPr>
        <w:t>voting instruction form to be admitted to the virtual meeting as a stockholder, vote your shares and ask questions. Even if you currently plan to attend the virtual annual stockholders meeting, we recommend that you also submit your proxy as described above so that your vote will be counted if you later decide not to attend the virtual annual stockholders meeting.</w:t>
      </w:r>
    </w:p>
    <w:p>
      <w:pPr>
        <w:spacing w:after="0" w:line="78" w:lineRule="exact"/>
        <w:rPr>
          <w:sz w:val="20"/>
          <w:szCs w:val="20"/>
          <w:color w:val="auto"/>
        </w:rPr>
      </w:pPr>
    </w:p>
    <w:p>
      <w:pPr>
        <w:ind w:right="359"/>
        <w:spacing w:after="0" w:line="248" w:lineRule="auto"/>
        <w:rPr>
          <w:sz w:val="20"/>
          <w:szCs w:val="20"/>
          <w:color w:val="auto"/>
        </w:rPr>
      </w:pPr>
      <w:r>
        <w:rPr>
          <w:rFonts w:ascii="Arial" w:cs="Arial" w:eastAsia="Arial" w:hAnsi="Arial"/>
          <w:sz w:val="16"/>
          <w:szCs w:val="16"/>
          <w:color w:val="auto"/>
        </w:rPr>
        <w:t>If you receive more than one Proxy Card or voting instruction form, it means that your shares are registered differently or are in more than one account. Please provide voting instructions for all proxy and voting instruction cards you receive. If you wish to consolidate accounts, please contact Computershare Trust Company, N.A. or your broker, bank or other nominee. We will announce preliminary voting results at the annual stockholders meeting and publish the final results in a Current Report on Form 8-K filed within four business days after the end of the annual stockholders meeting.</w:t>
      </w:r>
    </w:p>
    <w:p>
      <w:pPr>
        <w:spacing w:after="0" w:line="200" w:lineRule="exact"/>
        <w:rPr>
          <w:sz w:val="20"/>
          <w:szCs w:val="20"/>
          <w:color w:val="auto"/>
        </w:rPr>
      </w:pPr>
    </w:p>
    <w:p>
      <w:pPr>
        <w:spacing w:after="0" w:line="387" w:lineRule="exact"/>
        <w:rPr>
          <w:sz w:val="20"/>
          <w:szCs w:val="20"/>
          <w:color w:val="auto"/>
        </w:rPr>
      </w:pPr>
    </w:p>
    <w:p>
      <w:pPr>
        <w:ind w:right="499"/>
        <w:spacing w:after="0" w:line="282" w:lineRule="auto"/>
        <w:rPr>
          <w:sz w:val="20"/>
          <w:szCs w:val="20"/>
          <w:color w:val="auto"/>
        </w:rPr>
      </w:pPr>
      <w:r>
        <w:rPr>
          <w:rFonts w:ascii="Arial" w:cs="Arial" w:eastAsia="Arial" w:hAnsi="Arial"/>
          <w:sz w:val="16"/>
          <w:szCs w:val="16"/>
          <w:color w:val="auto"/>
        </w:rPr>
        <w:t>Audit Committee of the Board of Directors to determine their remuneration; and</w:t>
      </w:r>
    </w:p>
    <w:p>
      <w:pPr>
        <w:spacing w:after="0" w:line="50" w:lineRule="exact"/>
        <w:rPr>
          <w:sz w:val="20"/>
          <w:szCs w:val="20"/>
          <w:color w:val="auto"/>
        </w:rPr>
      </w:pPr>
    </w:p>
    <w:p>
      <w:pPr>
        <w:jc w:val="both"/>
        <w:ind w:right="479"/>
        <w:spacing w:after="0" w:line="317" w:lineRule="auto"/>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FOR</w:t>
      </w:r>
      <w:r>
        <w:rPr>
          <w:rFonts w:ascii="Arial" w:cs="Arial" w:eastAsia="Arial" w:hAnsi="Arial"/>
          <w:sz w:val="15"/>
          <w:szCs w:val="15"/>
          <w:color w:val="auto"/>
        </w:rPr>
        <w:t xml:space="preserve"> “: Proposal 3: To provide a non-binding, advisory vote to approve named executive officer compensation.</w:t>
      </w:r>
    </w:p>
    <w:p>
      <w:pPr>
        <w:spacing w:after="0" w:line="26" w:lineRule="exact"/>
        <w:rPr>
          <w:sz w:val="20"/>
          <w:szCs w:val="20"/>
          <w:color w:val="auto"/>
        </w:rPr>
      </w:pPr>
    </w:p>
    <w:p>
      <w:pPr>
        <w:ind w:right="339"/>
        <w:spacing w:after="0" w:line="250" w:lineRule="auto"/>
        <w:rPr>
          <w:sz w:val="20"/>
          <w:szCs w:val="20"/>
          <w:color w:val="auto"/>
        </w:rPr>
      </w:pPr>
      <w:r>
        <w:rPr>
          <w:rFonts w:ascii="Arial" w:cs="Arial" w:eastAsia="Arial" w:hAnsi="Arial"/>
          <w:sz w:val="16"/>
          <w:szCs w:val="16"/>
          <w:color w:val="auto"/>
        </w:rPr>
        <w:t>If other matters properly come before the annual stockholders meeting, the proxy holders will vote on such matters in accordance with their best judgment. Such persons also have discretionary authority to vote to adjourn the annual stockholders meeting, including for the purpose of soliciting proxies to vote in accordance with the Board’s recommendations on any of the above items.</w:t>
      </w:r>
    </w:p>
    <w:p>
      <w:pPr>
        <w:spacing w:after="0" w:line="200" w:lineRule="exact"/>
        <w:rPr>
          <w:sz w:val="20"/>
          <w:szCs w:val="20"/>
          <w:color w:val="auto"/>
        </w:rPr>
      </w:pPr>
    </w:p>
    <w:p>
      <w:pPr>
        <w:spacing w:after="0" w:line="254" w:lineRule="exact"/>
        <w:rPr>
          <w:sz w:val="20"/>
          <w:szCs w:val="20"/>
          <w:color w:val="auto"/>
        </w:rPr>
      </w:pPr>
    </w:p>
    <w:p>
      <w:pPr>
        <w:ind w:left="178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121285</wp:posOffset>
            </wp:positionV>
            <wp:extent cx="693801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-158750</wp:posOffset>
            </wp:positionV>
            <wp:extent cx="594995" cy="1701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2">
            <w:col w:w="4320" w:space="300"/>
            <w:col w:w="4399"/>
          </w:cols>
          <w:pgMar w:left="1440" w:top="262" w:right="1440" w:bottom="1440" w:gutter="0" w:footer="0" w:header="0"/>
          <w:type w:val="continuous"/>
        </w:sectPr>
      </w:pPr>
    </w:p>
    <w:bookmarkStart w:id="66" w:name="page67"/>
    <w:bookmarkEnd w:id="66"/>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92075</wp:posOffset>
            </wp:positionV>
            <wp:extent cx="530542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313"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Shares Held in Street Name</w:t>
      </w:r>
    </w:p>
    <w:p>
      <w:pPr>
        <w:spacing w:after="0" w:line="129" w:lineRule="exact"/>
        <w:rPr>
          <w:sz w:val="20"/>
          <w:szCs w:val="20"/>
          <w:color w:val="auto"/>
        </w:rPr>
      </w:pPr>
    </w:p>
    <w:p>
      <w:pPr>
        <w:ind w:left="320"/>
        <w:spacing w:after="0" w:line="248" w:lineRule="auto"/>
        <w:rPr>
          <w:sz w:val="20"/>
          <w:szCs w:val="20"/>
          <w:color w:val="auto"/>
        </w:rPr>
      </w:pPr>
      <w:r>
        <w:rPr>
          <w:rFonts w:ascii="Arial" w:cs="Arial" w:eastAsia="Arial" w:hAnsi="Arial"/>
          <w:sz w:val="16"/>
          <w:szCs w:val="16"/>
          <w:color w:val="auto"/>
        </w:rPr>
        <w:t>If your shares are held in “street name” by your broker, bank or other nominee, you will receive a voting instruction form with this Proxy Statement. Like shares held of record, you may vote your shares held in street name at the virtual annual stockholders meeting if you have obtained a legal proxy from the holder of record for your shares or you may sign and date the enclosed voting instruction form and return it in the enclosed, postage-paid envelope. If your shares are held in street name in a brokerage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39"/>
        <w:spacing w:after="0" w:line="249" w:lineRule="auto"/>
        <w:rPr>
          <w:sz w:val="20"/>
          <w:szCs w:val="20"/>
          <w:color w:val="auto"/>
        </w:rPr>
      </w:pPr>
      <w:r>
        <w:rPr>
          <w:rFonts w:ascii="Arial" w:cs="Arial" w:eastAsia="Arial" w:hAnsi="Arial"/>
          <w:sz w:val="16"/>
          <w:szCs w:val="16"/>
          <w:color w:val="auto"/>
        </w:rPr>
        <w:t>account or by a bank or other nominee, you must provide your broker with instructions on how to vote your shares in order for your shares to be voted on these proposals. If you do not instruct your broker on how to vote these proposals, your shares will not be voted on these matters, except that your broker may exercise discretionary authority to vote your shares on routine proposals. The only routine proposal at this year’s virtual annual stockholders meeting is Proposal 2.</w:t>
      </w:r>
    </w:p>
    <w:p>
      <w:pPr>
        <w:spacing w:after="0" w:line="311" w:lineRule="exact"/>
        <w:rPr>
          <w:sz w:val="20"/>
          <w:szCs w:val="20"/>
          <w:color w:val="auto"/>
        </w:rPr>
      </w:pPr>
    </w:p>
    <w:p>
      <w:pPr>
        <w:sectPr>
          <w:pgSz w:w="11900" w:h="16838" w:orient="portrait"/>
          <w:cols w:equalWidth="0" w:num="2">
            <w:col w:w="4320" w:space="30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Revoking Your Proxy</w:t>
      </w:r>
    </w:p>
    <w:p>
      <w:pPr>
        <w:spacing w:after="0" w:line="129" w:lineRule="exact"/>
        <w:rPr>
          <w:sz w:val="20"/>
          <w:szCs w:val="20"/>
          <w:color w:val="auto"/>
        </w:rPr>
      </w:pPr>
    </w:p>
    <w:p>
      <w:pPr>
        <w:ind w:left="320" w:right="180"/>
        <w:spacing w:after="0" w:line="254" w:lineRule="auto"/>
        <w:rPr>
          <w:sz w:val="20"/>
          <w:szCs w:val="20"/>
          <w:color w:val="auto"/>
        </w:rPr>
      </w:pPr>
      <w:r>
        <w:rPr>
          <w:rFonts w:ascii="Arial" w:cs="Arial" w:eastAsia="Arial" w:hAnsi="Arial"/>
          <w:sz w:val="16"/>
          <w:szCs w:val="16"/>
          <w:color w:val="auto"/>
        </w:rPr>
        <w:t>Even after you have returned your proxy, you may revoke your proxy at any time before it is exercised by</w:t>
      </w:r>
    </w:p>
    <w:p>
      <w:pPr>
        <w:spacing w:after="0" w:line="1" w:lineRule="exact"/>
        <w:rPr>
          <w:sz w:val="20"/>
          <w:szCs w:val="20"/>
          <w:color w:val="auto"/>
        </w:rPr>
      </w:pPr>
    </w:p>
    <w:p>
      <w:pPr>
        <w:ind w:left="320" w:right="300" w:firstLine="6"/>
        <w:spacing w:after="0" w:line="244" w:lineRule="auto"/>
        <w:tabs>
          <w:tab w:leader="none" w:pos="561" w:val="left"/>
        </w:tabs>
        <w:numPr>
          <w:ilvl w:val="0"/>
          <w:numId w:val="94"/>
        </w:numPr>
        <w:rPr>
          <w:rFonts w:ascii="Arial" w:cs="Arial" w:eastAsia="Arial" w:hAnsi="Arial"/>
          <w:sz w:val="16"/>
          <w:szCs w:val="16"/>
          <w:color w:val="auto"/>
        </w:rPr>
      </w:pPr>
      <w:r>
        <w:rPr>
          <w:rFonts w:ascii="Arial" w:cs="Arial" w:eastAsia="Arial" w:hAnsi="Arial"/>
          <w:sz w:val="16"/>
          <w:szCs w:val="16"/>
          <w:color w:val="auto"/>
        </w:rPr>
        <w:t>submitting a written notice of revocation to our Corporate Secretary by mail to Kosmos Energy Ltd., 8176 Park Lane, Suite 500, Dallas, Texas 75231,</w:t>
      </w:r>
    </w:p>
    <w:p>
      <w:pPr>
        <w:spacing w:after="0" w:line="1" w:lineRule="exact"/>
        <w:rPr>
          <w:rFonts w:ascii="Arial" w:cs="Arial" w:eastAsia="Arial" w:hAnsi="Arial"/>
          <w:sz w:val="16"/>
          <w:szCs w:val="16"/>
          <w:color w:val="auto"/>
        </w:rPr>
      </w:pPr>
    </w:p>
    <w:p>
      <w:pPr>
        <w:ind w:left="320" w:firstLine="6"/>
        <w:spacing w:after="0" w:line="262" w:lineRule="auto"/>
        <w:tabs>
          <w:tab w:leader="none" w:pos="561" w:val="left"/>
        </w:tabs>
        <w:numPr>
          <w:ilvl w:val="0"/>
          <w:numId w:val="94"/>
        </w:numPr>
        <w:rPr>
          <w:rFonts w:ascii="Arial" w:cs="Arial" w:eastAsia="Arial" w:hAnsi="Arial"/>
          <w:sz w:val="16"/>
          <w:szCs w:val="16"/>
          <w:color w:val="auto"/>
        </w:rPr>
      </w:pPr>
      <w:r>
        <w:rPr>
          <w:rFonts w:ascii="Arial" w:cs="Arial" w:eastAsia="Arial" w:hAnsi="Arial"/>
          <w:sz w:val="16"/>
          <w:szCs w:val="16"/>
          <w:color w:val="auto"/>
        </w:rPr>
        <w:t>submitting a duly executed proxy bearing a later date to our Corporate Secretary by mail to Kosmos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9" w:right="339"/>
        <w:spacing w:after="0" w:line="249" w:lineRule="auto"/>
        <w:rPr>
          <w:sz w:val="20"/>
          <w:szCs w:val="20"/>
          <w:color w:val="auto"/>
        </w:rPr>
      </w:pPr>
      <w:r>
        <w:rPr>
          <w:rFonts w:ascii="Arial" w:cs="Arial" w:eastAsia="Arial" w:hAnsi="Arial"/>
          <w:sz w:val="16"/>
          <w:szCs w:val="16"/>
          <w:color w:val="auto"/>
        </w:rPr>
        <w:t>Energy Ltd., 8176 Park Lane, Suite 500, Dallas, Texas 75231,(3) using the Internet voting website or the toll-free telephone number listed on the enclosed Proxy Card to deliver a duly executed proxy bearing a later date or</w:t>
      </w:r>
    </w:p>
    <w:p>
      <w:pPr>
        <w:spacing w:after="0" w:line="2" w:lineRule="exact"/>
        <w:rPr>
          <w:sz w:val="20"/>
          <w:szCs w:val="20"/>
          <w:color w:val="auto"/>
        </w:rPr>
      </w:pPr>
    </w:p>
    <w:p>
      <w:pPr>
        <w:jc w:val="both"/>
        <w:ind w:left="9" w:right="359" w:hanging="9"/>
        <w:spacing w:after="0" w:line="253" w:lineRule="auto"/>
        <w:tabs>
          <w:tab w:leader="none" w:pos="25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attending the virtual annual stockholders meeting and voting during the meeting, which suspends the powers of the proxy holder.</w:t>
      </w:r>
    </w:p>
    <w:p>
      <w:pPr>
        <w:spacing w:after="0" w:line="106" w:lineRule="exact"/>
        <w:rPr>
          <w:sz w:val="20"/>
          <w:szCs w:val="20"/>
          <w:color w:val="auto"/>
        </w:rPr>
      </w:pPr>
    </w:p>
    <w:p>
      <w:pPr>
        <w:sectPr>
          <w:pgSz w:w="11900" w:h="16838" w:orient="portrait"/>
          <w:cols w:equalWidth="0" w:num="2">
            <w:col w:w="4340" w:space="271"/>
            <w:col w:w="4408"/>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Quorum and Vote Required</w:t>
      </w:r>
    </w:p>
    <w:p>
      <w:pPr>
        <w:spacing w:after="0" w:line="129" w:lineRule="exact"/>
        <w:rPr>
          <w:sz w:val="20"/>
          <w:szCs w:val="20"/>
          <w:color w:val="auto"/>
        </w:rPr>
      </w:pPr>
    </w:p>
    <w:p>
      <w:pPr>
        <w:ind w:left="320" w:right="80"/>
        <w:spacing w:after="0" w:line="254" w:lineRule="auto"/>
        <w:rPr>
          <w:sz w:val="20"/>
          <w:szCs w:val="20"/>
          <w:color w:val="auto"/>
        </w:rPr>
      </w:pPr>
      <w:r>
        <w:rPr>
          <w:rFonts w:ascii="Arial" w:cs="Arial" w:eastAsia="Arial" w:hAnsi="Arial"/>
          <w:sz w:val="16"/>
          <w:szCs w:val="16"/>
          <w:color w:val="auto"/>
        </w:rPr>
        <w:t>The presence virtually or by proxy of two or more stockholders representing a majority of our issued and outstanding share capital entitled to vote shall constitute a quorum to conduct business at the virtual annual stockholders meeting.</w:t>
      </w:r>
    </w:p>
    <w:p>
      <w:pPr>
        <w:spacing w:after="0" w:line="71" w:lineRule="exact"/>
        <w:rPr>
          <w:sz w:val="20"/>
          <w:szCs w:val="20"/>
          <w:color w:val="auto"/>
        </w:rPr>
      </w:pPr>
    </w:p>
    <w:p>
      <w:pPr>
        <w:ind w:left="320"/>
        <w:spacing w:after="0" w:line="248" w:lineRule="auto"/>
        <w:rPr>
          <w:sz w:val="20"/>
          <w:szCs w:val="20"/>
          <w:color w:val="auto"/>
        </w:rPr>
      </w:pPr>
      <w:r>
        <w:rPr>
          <w:rFonts w:ascii="Arial" w:cs="Arial" w:eastAsia="Arial" w:hAnsi="Arial"/>
          <w:sz w:val="16"/>
          <w:szCs w:val="16"/>
          <w:color w:val="auto"/>
        </w:rPr>
        <w:t>For Proposal 1, the election of directors, you may vote “FOR,” “AGAINST” or “ABSTAIN” for each of the director nominees. Under our Bylaws, director nominees are elected by a majority of all votes cast, subject to the Company’s director resignation policy contained in its Corporate Governance Guidelines. Abstentions and broker non-votes will have no effect on the election of directors. This means that the individuals nominated for election to the Board who receive more “FOR” votes than “AGAINST” votes (among votes properly cast in person or by proxy) will be elected.</w:t>
      </w:r>
    </w:p>
    <w:p>
      <w:pPr>
        <w:spacing w:after="0" w:line="78" w:lineRule="exact"/>
        <w:rPr>
          <w:sz w:val="20"/>
          <w:szCs w:val="20"/>
          <w:color w:val="auto"/>
        </w:rPr>
      </w:pPr>
    </w:p>
    <w:p>
      <w:pPr>
        <w:ind w:left="320" w:right="280"/>
        <w:spacing w:after="0" w:line="282" w:lineRule="auto"/>
        <w:rPr>
          <w:sz w:val="20"/>
          <w:szCs w:val="20"/>
          <w:color w:val="auto"/>
        </w:rPr>
      </w:pPr>
      <w:r>
        <w:rPr>
          <w:rFonts w:ascii="Arial" w:cs="Arial" w:eastAsia="Arial" w:hAnsi="Arial"/>
          <w:sz w:val="16"/>
          <w:szCs w:val="16"/>
          <w:color w:val="auto"/>
        </w:rPr>
        <w:t>For Proposal 2, the ratification of the selection of the Company’s independent registered public accounting</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419"/>
        <w:spacing w:after="0" w:line="248" w:lineRule="auto"/>
        <w:rPr>
          <w:sz w:val="20"/>
          <w:szCs w:val="20"/>
          <w:color w:val="auto"/>
        </w:rPr>
      </w:pPr>
      <w:r>
        <w:rPr>
          <w:rFonts w:ascii="Arial" w:cs="Arial" w:eastAsia="Arial" w:hAnsi="Arial"/>
          <w:sz w:val="16"/>
          <w:szCs w:val="16"/>
          <w:color w:val="auto"/>
        </w:rPr>
        <w:t>firm, you may vote “FOR”, “AGAINST” or “ABSTAIN” from voting on the proposal. This proposal requires the affirmative vote of a majority of all votes cast in favor of the matter. Abstentions will have no effect on the proposal. Because the ratification of the appointment of the independent auditor is considered a “routine” matter, brokers are permitted to vote on this proposal if they have not received instructions from the beneficial owners, and, therefore, there should be no broker non-votes with respect to this Proposal 2.</w:t>
      </w:r>
    </w:p>
    <w:p>
      <w:pPr>
        <w:spacing w:after="0" w:line="80" w:lineRule="exact"/>
        <w:rPr>
          <w:sz w:val="20"/>
          <w:szCs w:val="20"/>
          <w:color w:val="auto"/>
        </w:rPr>
      </w:pPr>
    </w:p>
    <w:p>
      <w:pPr>
        <w:ind w:right="439"/>
        <w:spacing w:after="0" w:line="250" w:lineRule="auto"/>
        <w:rPr>
          <w:sz w:val="20"/>
          <w:szCs w:val="20"/>
          <w:color w:val="auto"/>
        </w:rPr>
      </w:pPr>
      <w:r>
        <w:rPr>
          <w:rFonts w:ascii="Arial" w:cs="Arial" w:eastAsia="Arial" w:hAnsi="Arial"/>
          <w:sz w:val="16"/>
          <w:szCs w:val="16"/>
          <w:color w:val="auto"/>
        </w:rPr>
        <w:t>For Proposal 3, the advisory vote to approve the compensation of the Company’s named executive officers, you may vote “FOR”, “AGAINST” or “ABSTAIN” from voting on the proposal. This proposal requires the affirmative vote of a majority of all votes cast in favor of the matter. Abstentions and broker non-votes will have no effect on the proposal.</w:t>
      </w:r>
    </w:p>
    <w:p>
      <w:pPr>
        <w:spacing w:after="0" w:line="420" w:lineRule="exact"/>
        <w:rPr>
          <w:sz w:val="20"/>
          <w:szCs w:val="20"/>
          <w:color w:val="auto"/>
        </w:rPr>
      </w:pPr>
    </w:p>
    <w:p>
      <w:pPr>
        <w:sectPr>
          <w:pgSz w:w="11900" w:h="16838" w:orient="portrait"/>
          <w:cols w:equalWidth="0" w:num="2">
            <w:col w:w="4380" w:space="240"/>
            <w:col w:w="4399"/>
          </w:cols>
          <w:pgMar w:left="1440" w:top="262" w:right="1440" w:bottom="1440" w:gutter="0" w:footer="0" w:header="0"/>
          <w:type w:val="continuous"/>
        </w:sectPr>
      </w:pPr>
    </w:p>
    <w:p>
      <w:pPr>
        <w:ind w:left="320"/>
        <w:spacing w:after="0"/>
        <w:rPr>
          <w:sz w:val="20"/>
          <w:szCs w:val="20"/>
          <w:color w:val="auto"/>
        </w:rPr>
      </w:pPr>
      <w:r>
        <w:rPr>
          <w:rFonts w:ascii="Arial" w:cs="Arial" w:eastAsia="Arial" w:hAnsi="Arial"/>
          <w:sz w:val="23"/>
          <w:szCs w:val="23"/>
          <w:b w:val="1"/>
          <w:bCs w:val="1"/>
          <w:color w:val="595959"/>
        </w:rPr>
        <w:t>Cost of Solicitation</w:t>
      </w:r>
    </w:p>
    <w:p>
      <w:pPr>
        <w:spacing w:after="0" w:line="129" w:lineRule="exact"/>
        <w:rPr>
          <w:sz w:val="20"/>
          <w:szCs w:val="20"/>
          <w:color w:val="auto"/>
        </w:rPr>
      </w:pPr>
    </w:p>
    <w:p>
      <w:pPr>
        <w:ind w:left="320"/>
        <w:spacing w:after="0" w:line="250" w:lineRule="auto"/>
        <w:rPr>
          <w:sz w:val="20"/>
          <w:szCs w:val="20"/>
          <w:color w:val="auto"/>
        </w:rPr>
      </w:pPr>
      <w:r>
        <w:rPr>
          <w:rFonts w:ascii="Arial" w:cs="Arial" w:eastAsia="Arial" w:hAnsi="Arial"/>
          <w:sz w:val="16"/>
          <w:szCs w:val="16"/>
          <w:color w:val="auto"/>
        </w:rPr>
        <w:t>We will pay the cost of soliciting proxies for the annual stockholders meeting. Proxies may be solicited by the employees of Kosmos and our subsidiaries, without additional compensation, in person, or by mail, courier, telephone or email. We may also make arrangements with brokerage houses and other custodians, nominees and fiduciaries for</w:t>
      </w:r>
    </w:p>
    <w:p>
      <w:pPr>
        <w:spacing w:after="0" w:line="98"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62</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920" w:type="dxa"/>
            <w:vAlign w:val="bottom"/>
            <w:vMerge w:val="continue"/>
          </w:tcPr>
          <w:p>
            <w:pPr>
              <w:spacing w:after="0"/>
              <w:rPr>
                <w:sz w:val="23"/>
                <w:szCs w:val="23"/>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-176530</wp:posOffset>
            </wp:positionV>
            <wp:extent cx="594995" cy="1701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579"/>
        <w:spacing w:after="0" w:line="254" w:lineRule="auto"/>
        <w:rPr>
          <w:sz w:val="20"/>
          <w:szCs w:val="20"/>
          <w:color w:val="auto"/>
        </w:rPr>
      </w:pPr>
      <w:r>
        <w:rPr>
          <w:rFonts w:ascii="Arial" w:cs="Arial" w:eastAsia="Arial" w:hAnsi="Arial"/>
          <w:sz w:val="16"/>
          <w:szCs w:val="16"/>
          <w:color w:val="auto"/>
        </w:rPr>
        <w:t>the forwarding of solicitation material to the beneficial owners of shares held of record by such persons. We may reimburse such brokerage houses, custodians, nominees and fiduciaries for reasonable out-of-pocket expenses incurred by them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751205</wp:posOffset>
            </wp:positionV>
            <wp:extent cx="693801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2">
            <w:col w:w="4260" w:space="360"/>
            <w:col w:w="4399"/>
          </w:cols>
          <w:pgMar w:left="1440" w:top="262" w:right="1440" w:bottom="1440" w:gutter="0" w:footer="0" w:header="0"/>
          <w:type w:val="continuous"/>
        </w:sectPr>
      </w:pPr>
    </w:p>
    <w:bookmarkStart w:id="67" w:name="page68"/>
    <w:bookmarkEnd w:id="67"/>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92075</wp:posOffset>
            </wp:positionV>
            <wp:extent cx="530542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313"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595959"/>
        </w:rPr>
        <w:t>Annual Report</w:t>
      </w:r>
    </w:p>
    <w:p>
      <w:pPr>
        <w:spacing w:after="0" w:line="129" w:lineRule="exact"/>
        <w:rPr>
          <w:sz w:val="20"/>
          <w:szCs w:val="20"/>
          <w:color w:val="auto"/>
        </w:rPr>
      </w:pPr>
    </w:p>
    <w:p>
      <w:pPr>
        <w:ind w:left="320"/>
        <w:spacing w:after="0" w:line="246" w:lineRule="auto"/>
        <w:rPr>
          <w:sz w:val="20"/>
          <w:szCs w:val="20"/>
          <w:color w:val="auto"/>
        </w:rPr>
      </w:pPr>
      <w:r>
        <w:rPr>
          <w:rFonts w:ascii="Arial" w:cs="Arial" w:eastAsia="Arial" w:hAnsi="Arial"/>
          <w:sz w:val="16"/>
          <w:szCs w:val="16"/>
          <w:color w:val="auto"/>
        </w:rPr>
        <w:t>Our 2021 Annual Report on Form 10-K, including consolidated financial statements as of and for the fiscal year ended December 31, 2021, is being distributed to all stockholders entitled to vote at the annual stockholders meeting, together with this Proxy Statement, in satisfaction of the requirements of the SEC, the Company’s Bylaws and Delaware law. Copies of the Annual Report on Form 10-K are available at no charge upon request. To obtain additional copies of the Annual Report on Form 10-K, please contact us at Kosmos Energy Ltd., 8176 Park Lane, Suite 500, Dallas, Texas 75231, Attention: Corporate Secretary, or at telephone number +1 (214) 445-9600. The Annual Report on Form 10-K does not form any part of the materials for the solicitation of proxies. In addition, this Proxy Statement and our Annual Report on Form 10-K are available to you at no charge electronically under the SEC Filings link on the Investors’ page of our website at www.kosmosenergy.com. The information on our website is not incorporated by reference into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79"/>
        <w:spacing w:after="0" w:line="249" w:lineRule="auto"/>
        <w:rPr>
          <w:sz w:val="20"/>
          <w:szCs w:val="20"/>
          <w:color w:val="auto"/>
        </w:rPr>
      </w:pPr>
      <w:r>
        <w:rPr>
          <w:rFonts w:ascii="Arial" w:cs="Arial" w:eastAsia="Arial" w:hAnsi="Arial"/>
          <w:sz w:val="16"/>
          <w:szCs w:val="16"/>
          <w:color w:val="auto"/>
        </w:rPr>
        <w:t>The Board is not aware of any matter to be presented for action at the annual stockholders meeting of the Company other than the matters set forth herein. Should any other matter requiring a vote of stockholders arise, it is the intention of the persons named in the proxy to vote in accordance with their best judgment on such matter. The stockholders of the Company have no dissenter’s or appraisal rights in connection with any of the proposals described herein.</w:t>
      </w:r>
    </w:p>
    <w:p>
      <w:pPr>
        <w:spacing w:after="0" w:line="76" w:lineRule="exact"/>
        <w:rPr>
          <w:sz w:val="20"/>
          <w:szCs w:val="20"/>
          <w:color w:val="auto"/>
        </w:rPr>
      </w:pPr>
    </w:p>
    <w:p>
      <w:pPr>
        <w:ind w:right="379"/>
        <w:spacing w:after="0" w:line="254" w:lineRule="auto"/>
        <w:rPr>
          <w:sz w:val="20"/>
          <w:szCs w:val="20"/>
          <w:color w:val="auto"/>
        </w:rPr>
      </w:pPr>
      <w:r>
        <w:rPr>
          <w:rFonts w:ascii="Arial" w:cs="Arial" w:eastAsia="Arial" w:hAnsi="Arial"/>
          <w:sz w:val="16"/>
          <w:szCs w:val="16"/>
          <w:color w:val="auto"/>
        </w:rPr>
        <w:t>If you have any questions about the proxy materials or the annual stockholders meeting, please contact our Corporate Secretary at Kosmos Energy Ltd., 8176 Park Lane, Suite 500, Dallas, Texas 75231, or by telephone at +1 (214) 445-9600.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78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130175</wp:posOffset>
            </wp:positionV>
            <wp:extent cx="693801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-149860</wp:posOffset>
            </wp:positionV>
            <wp:extent cx="594995" cy="1701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2">
            <w:col w:w="4380" w:space="240"/>
            <w:col w:w="4399"/>
          </w:cols>
          <w:pgMar w:left="1440" w:top="262" w:right="1440" w:bottom="1440" w:gutter="0" w:footer="0" w:header="0"/>
          <w:type w:val="continuous"/>
        </w:sectPr>
      </w:pPr>
    </w:p>
    <w:bookmarkStart w:id="68" w:name="page69"/>
    <w:bookmarkEnd w:id="68"/>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245110</wp:posOffset>
            </wp:positionV>
            <wp:extent cx="530542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Arial" w:cs="Arial" w:eastAsia="Arial" w:hAnsi="Arial"/>
          <w:sz w:val="43"/>
          <w:szCs w:val="43"/>
          <w:color w:val="2A3D6C"/>
        </w:rPr>
        <w:t>HOUSEHOLDING</w:t>
      </w:r>
    </w:p>
    <w:p>
      <w:pPr>
        <w:spacing w:after="0" w:line="135" w:lineRule="exact"/>
        <w:rPr>
          <w:sz w:val="20"/>
          <w:szCs w:val="20"/>
          <w:color w:val="auto"/>
        </w:rPr>
      </w:pPr>
    </w:p>
    <w:p>
      <w:pPr>
        <w:ind w:left="320" w:right="339"/>
        <w:spacing w:after="0" w:line="252" w:lineRule="auto"/>
        <w:rPr>
          <w:sz w:val="20"/>
          <w:szCs w:val="20"/>
          <w:color w:val="auto"/>
        </w:rPr>
      </w:pPr>
      <w:r>
        <w:rPr>
          <w:rFonts w:ascii="Arial" w:cs="Arial" w:eastAsia="Arial" w:hAnsi="Arial"/>
          <w:sz w:val="16"/>
          <w:szCs w:val="16"/>
          <w:color w:val="auto"/>
        </w:rPr>
        <w:t>As permitted by applicable law, we intend to deliver only one copy of certain of our documents, including proxy statements, annual reports and information statements to stockholders residing at the same address, unless such stockholders have notified us of their desire to receive multiple copies thereof. Any such request should be directed to Kosmos Energy Ltd., 8176 Park Lane, Suite 500, Dallas, Texas 75231, Attention: Corporate Secretary, or by telephone at +1 (214) 445-9600. Stockholders who currently receive multiple copies of the Proxy Statement at their address and would like to request householding of their communications should contact their broker.</w:t>
      </w:r>
    </w:p>
    <w:p>
      <w:pPr>
        <w:spacing w:after="0" w:line="153" w:lineRule="exact"/>
        <w:rPr>
          <w:sz w:val="20"/>
          <w:szCs w:val="20"/>
          <w:color w:val="auto"/>
        </w:rPr>
      </w:pPr>
    </w:p>
    <w:p>
      <w:pPr>
        <w:ind w:left="320" w:right="659"/>
        <w:spacing w:after="0" w:line="258" w:lineRule="auto"/>
        <w:rPr>
          <w:sz w:val="20"/>
          <w:szCs w:val="20"/>
          <w:color w:val="auto"/>
        </w:rPr>
      </w:pPr>
      <w:r>
        <w:rPr>
          <w:rFonts w:ascii="Arial" w:cs="Arial" w:eastAsia="Arial" w:hAnsi="Arial"/>
          <w:sz w:val="43"/>
          <w:szCs w:val="43"/>
          <w:color w:val="2A3D6C"/>
        </w:rPr>
        <w:t>PROPOSALS OF STOCKHOLDERS FOR 2023 ANNUAL STOCKHOLDERS MEETING</w:t>
      </w:r>
    </w:p>
    <w:p>
      <w:pPr>
        <w:spacing w:after="0" w:line="26" w:lineRule="exact"/>
        <w:rPr>
          <w:sz w:val="20"/>
          <w:szCs w:val="20"/>
          <w:color w:val="auto"/>
        </w:rPr>
      </w:pPr>
    </w:p>
    <w:p>
      <w:pPr>
        <w:ind w:left="320" w:right="419"/>
        <w:spacing w:after="0" w:line="254" w:lineRule="auto"/>
        <w:rPr>
          <w:sz w:val="20"/>
          <w:szCs w:val="20"/>
          <w:color w:val="auto"/>
        </w:rPr>
      </w:pPr>
      <w:r>
        <w:rPr>
          <w:rFonts w:ascii="Arial" w:cs="Arial" w:eastAsia="Arial" w:hAnsi="Arial"/>
          <w:sz w:val="16"/>
          <w:szCs w:val="16"/>
          <w:color w:val="auto"/>
        </w:rPr>
        <w:t>Any stockholder desiring to present a stockholder proposal at our 2023 annual stockholders meeting and to have the proposal included in our related Proxy Statement must send such proposal to Kosmos Energy Ltd., 8176 Park Lane, Suite 500, Dallas, Texas 75231, Attention: Corporate Secretary, so that it is received no later than December 29, 2022. All such proposals should be in compliance with SEC rules and regulations. We will only include in our proxy materials those stockholder proposals that we receive before the deadline and that are proper for stockholder action.</w:t>
      </w:r>
    </w:p>
    <w:p>
      <w:pPr>
        <w:spacing w:after="0" w:line="71" w:lineRule="exact"/>
        <w:rPr>
          <w:sz w:val="20"/>
          <w:szCs w:val="20"/>
          <w:color w:val="auto"/>
        </w:rPr>
      </w:pPr>
    </w:p>
    <w:p>
      <w:pPr>
        <w:ind w:left="320" w:right="619"/>
        <w:spacing w:after="0" w:line="250" w:lineRule="auto"/>
        <w:rPr>
          <w:sz w:val="20"/>
          <w:szCs w:val="20"/>
          <w:color w:val="auto"/>
        </w:rPr>
      </w:pPr>
      <w:r>
        <w:rPr>
          <w:rFonts w:ascii="Arial" w:cs="Arial" w:eastAsia="Arial" w:hAnsi="Arial"/>
          <w:sz w:val="16"/>
          <w:szCs w:val="16"/>
          <w:color w:val="auto"/>
        </w:rPr>
        <w:t>Although information received after such date will not be included in the proxy materials sent to stockholders, a stockholder proposal may still be presented at the annual stockholders meeting if such proposal complies with the Company’s Bylaws. In accordance with our Bylaws, stockholder proposals may be brought before the annual stockholders meeting only if such proposal is made pursuant to written notice timely given to the Company’s Corporate Secretary accompanied by certain information. To be timely, a stockholder’s written notice must be received at the registered office of the Company not less than 90 days nor more than 120 days prior to the first anniversary of the preceding year’s annual stockholders meeting. For stockholder proposals for the 2023 annual stockholders meeting, written notice must be received between February 9, 2023 and March 11, 2023.</w:t>
      </w:r>
    </w:p>
    <w:p>
      <w:pPr>
        <w:spacing w:after="0" w:line="140"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180975</wp:posOffset>
            </wp:positionV>
            <wp:extent cx="2355215" cy="8502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355215" cy="85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 </w:t>
      </w:r>
    </w:p>
    <w:p>
      <w:pPr>
        <w:spacing w:after="0" w:line="178"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Jason E. Doughty</w:t>
      </w:r>
    </w:p>
    <w:p>
      <w:pPr>
        <w:spacing w:after="0" w:line="19" w:lineRule="exact"/>
        <w:rPr>
          <w:sz w:val="20"/>
          <w:szCs w:val="20"/>
          <w:color w:val="auto"/>
        </w:rPr>
      </w:pPr>
    </w:p>
    <w:p>
      <w:pPr>
        <w:ind w:left="4620"/>
        <w:spacing w:after="0"/>
        <w:rPr>
          <w:sz w:val="20"/>
          <w:szCs w:val="20"/>
          <w:color w:val="auto"/>
        </w:rPr>
      </w:pPr>
      <w:r>
        <w:rPr>
          <w:rFonts w:ascii="Arial" w:cs="Arial" w:eastAsia="Arial" w:hAnsi="Arial"/>
          <w:sz w:val="16"/>
          <w:szCs w:val="16"/>
          <w:i w:val="1"/>
          <w:iCs w:val="1"/>
          <w:color w:val="auto"/>
        </w:rPr>
        <w:t>Senior Vice President, General Counsel and Corporate</w:t>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6"/>
          <w:szCs w:val="16"/>
          <w:i w:val="1"/>
          <w:iCs w:val="1"/>
          <w:color w:val="auto"/>
        </w:rPr>
        <w:t>Secretary</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April 28, 2022</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Dallas, Texas</w:t>
      </w:r>
    </w:p>
    <w:p>
      <w:pPr>
        <w:spacing w:after="0" w:line="115"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64</w:t>
            </w:r>
            <w:r>
              <w:rPr>
                <w:rFonts w:ascii="Arial" w:cs="Arial" w:eastAsia="Arial" w:hAnsi="Arial"/>
                <w:sz w:val="24"/>
                <w:szCs w:val="24"/>
                <w:b w:val="1"/>
                <w:bCs w:val="1"/>
                <w:color w:val="2A3D6C"/>
              </w:rPr>
              <w:t xml:space="preserve">  |</w:t>
            </w:r>
          </w:p>
        </w:tc>
        <w:tc>
          <w:tcPr>
            <w:tcW w:w="2380" w:type="dxa"/>
            <w:vAlign w:val="bottom"/>
          </w:tcPr>
          <w:p>
            <w:pPr>
              <w:ind w:left="520"/>
              <w:spacing w:after="0"/>
              <w:rPr>
                <w:sz w:val="20"/>
                <w:szCs w:val="20"/>
                <w:color w:val="auto"/>
              </w:rPr>
            </w:pPr>
            <w:r>
              <w:rPr>
                <w:rFonts w:ascii="Arial" w:cs="Arial" w:eastAsia="Arial" w:hAnsi="Arial"/>
                <w:sz w:val="25"/>
                <w:szCs w:val="25"/>
                <w:b w:val="1"/>
                <w:bCs w:val="1"/>
                <w:color w:val="2A3D6C"/>
              </w:rPr>
              <w:t> </w:t>
            </w:r>
          </w:p>
        </w:tc>
        <w:tc>
          <w:tcPr>
            <w:tcW w:w="0" w:type="dxa"/>
            <w:vAlign w:val="bottom"/>
          </w:tcPr>
          <w:p>
            <w:pPr>
              <w:spacing w:after="0"/>
              <w:rPr>
                <w:sz w:val="1"/>
                <w:szCs w:val="1"/>
                <w:color w:val="auto"/>
              </w:rPr>
            </w:pPr>
          </w:p>
        </w:tc>
      </w:tr>
      <w:tr>
        <w:trPr>
          <w:trHeight w:val="267"/>
        </w:trPr>
        <w:tc>
          <w:tcPr>
            <w:tcW w:w="920" w:type="dxa"/>
            <w:vAlign w:val="bottom"/>
            <w:vMerge w:val="continue"/>
          </w:tcPr>
          <w:p>
            <w:pPr>
              <w:spacing w:after="0"/>
              <w:rPr>
                <w:sz w:val="23"/>
                <w:szCs w:val="23"/>
                <w:color w:val="auto"/>
              </w:rPr>
            </w:pPr>
          </w:p>
        </w:tc>
        <w:tc>
          <w:tcPr>
            <w:tcW w:w="2380" w:type="dxa"/>
            <w:vAlign w:val="bottom"/>
          </w:tcPr>
          <w:p>
            <w:pPr>
              <w:ind w:left="700"/>
              <w:spacing w:after="0"/>
              <w:rPr>
                <w:sz w:val="20"/>
                <w:szCs w:val="20"/>
                <w:color w:val="auto"/>
              </w:rPr>
            </w:pPr>
            <w:r>
              <w:rPr>
                <w:rFonts w:ascii="Arial" w:cs="Arial" w:eastAsia="Arial" w:hAnsi="Arial"/>
                <w:sz w:val="16"/>
                <w:szCs w:val="16"/>
                <w:color w:val="auto"/>
                <w:w w:val="97"/>
              </w:rPr>
              <w:t>  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94615</wp:posOffset>
            </wp:positionV>
            <wp:extent cx="693801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-185420</wp:posOffset>
            </wp:positionV>
            <wp:extent cx="594995" cy="1701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9" w:name="page70"/>
    <w:bookmarkEnd w:id="69"/>
    <w:p>
      <w:pPr>
        <w:ind w:left="3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245110</wp:posOffset>
            </wp:positionV>
            <wp:extent cx="530542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3054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right="779"/>
        <w:spacing w:after="0" w:line="273" w:lineRule="auto"/>
        <w:rPr>
          <w:sz w:val="20"/>
          <w:szCs w:val="20"/>
          <w:color w:val="auto"/>
        </w:rPr>
      </w:pPr>
      <w:r>
        <w:rPr>
          <w:rFonts w:ascii="Arial" w:cs="Arial" w:eastAsia="Arial" w:hAnsi="Arial"/>
          <w:sz w:val="43"/>
          <w:szCs w:val="43"/>
          <w:color w:val="2A3D6C"/>
        </w:rPr>
        <w:t>Annex A: North American Exploration and Production Survey Companies</w:t>
      </w:r>
    </w:p>
    <w:tbl>
      <w:tblPr>
        <w:tblLayout w:type="fixed"/>
        <w:tblInd w:w="320" w:type="dxa"/>
        <w:tblCellMar>
          <w:top w:w="0" w:type="dxa"/>
          <w:left w:w="0" w:type="dxa"/>
          <w:bottom w:w="0" w:type="dxa"/>
          <w:right w:w="0" w:type="dxa"/>
        </w:tblCellMar>
      </w:tblPr>
      <w:tr>
        <w:trPr>
          <w:trHeight w:val="187"/>
        </w:trPr>
        <w:tc>
          <w:tcPr>
            <w:tcW w:w="2700" w:type="dxa"/>
            <w:vAlign w:val="bottom"/>
          </w:tcPr>
          <w:p>
            <w:pPr>
              <w:spacing w:after="0"/>
              <w:rPr>
                <w:sz w:val="20"/>
                <w:szCs w:val="20"/>
                <w:color w:val="auto"/>
              </w:rPr>
            </w:pPr>
            <w:r>
              <w:rPr>
                <w:rFonts w:ascii="Arial" w:cs="Arial" w:eastAsia="Arial" w:hAnsi="Arial"/>
                <w:sz w:val="16"/>
                <w:szCs w:val="16"/>
                <w:color w:val="auto"/>
              </w:rPr>
              <w:t>Berry Corporation</w:t>
            </w:r>
          </w:p>
        </w:tc>
        <w:tc>
          <w:tcPr>
            <w:tcW w:w="2800" w:type="dxa"/>
            <w:vAlign w:val="bottom"/>
          </w:tcPr>
          <w:p>
            <w:pPr>
              <w:ind w:left="160"/>
              <w:spacing w:after="0"/>
              <w:rPr>
                <w:sz w:val="20"/>
                <w:szCs w:val="20"/>
                <w:color w:val="auto"/>
              </w:rPr>
            </w:pPr>
            <w:r>
              <w:rPr>
                <w:rFonts w:ascii="Arial" w:cs="Arial" w:eastAsia="Arial" w:hAnsi="Arial"/>
                <w:sz w:val="16"/>
                <w:szCs w:val="16"/>
                <w:color w:val="auto"/>
              </w:rPr>
              <w:t>Earthstone Energy, Inc.</w:t>
            </w:r>
          </w:p>
        </w:tc>
        <w:tc>
          <w:tcPr>
            <w:tcW w:w="2480" w:type="dxa"/>
            <w:vAlign w:val="bottom"/>
          </w:tcPr>
          <w:p>
            <w:pPr>
              <w:ind w:left="220"/>
              <w:spacing w:after="0"/>
              <w:rPr>
                <w:sz w:val="20"/>
                <w:szCs w:val="20"/>
                <w:color w:val="auto"/>
              </w:rPr>
            </w:pPr>
            <w:r>
              <w:rPr>
                <w:rFonts w:ascii="Arial" w:cs="Arial" w:eastAsia="Arial" w:hAnsi="Arial"/>
                <w:sz w:val="16"/>
                <w:szCs w:val="16"/>
                <w:color w:val="auto"/>
              </w:rPr>
              <w:t>Ovintiv Inc.</w:t>
            </w:r>
          </w:p>
        </w:tc>
      </w:tr>
      <w:tr>
        <w:trPr>
          <w:trHeight w:val="187"/>
        </w:trPr>
        <w:tc>
          <w:tcPr>
            <w:tcW w:w="2700" w:type="dxa"/>
            <w:vAlign w:val="bottom"/>
          </w:tcPr>
          <w:p>
            <w:pPr>
              <w:spacing w:after="0"/>
              <w:rPr>
                <w:sz w:val="20"/>
                <w:szCs w:val="20"/>
                <w:color w:val="auto"/>
              </w:rPr>
            </w:pPr>
            <w:r>
              <w:rPr>
                <w:rFonts w:ascii="Arial" w:cs="Arial" w:eastAsia="Arial" w:hAnsi="Arial"/>
                <w:sz w:val="16"/>
                <w:szCs w:val="16"/>
                <w:color w:val="auto"/>
              </w:rPr>
              <w:t>Civitas Resources, Inc.</w:t>
            </w:r>
          </w:p>
        </w:tc>
        <w:tc>
          <w:tcPr>
            <w:tcW w:w="2800" w:type="dxa"/>
            <w:vAlign w:val="bottom"/>
          </w:tcPr>
          <w:p>
            <w:pPr>
              <w:ind w:left="160"/>
              <w:spacing w:after="0"/>
              <w:rPr>
                <w:sz w:val="20"/>
                <w:szCs w:val="20"/>
                <w:color w:val="auto"/>
              </w:rPr>
            </w:pPr>
            <w:r>
              <w:rPr>
                <w:rFonts w:ascii="Arial" w:cs="Arial" w:eastAsia="Arial" w:hAnsi="Arial"/>
                <w:sz w:val="16"/>
                <w:szCs w:val="16"/>
                <w:color w:val="auto"/>
              </w:rPr>
              <w:t>EOG Resources, Inc.</w:t>
            </w:r>
          </w:p>
        </w:tc>
        <w:tc>
          <w:tcPr>
            <w:tcW w:w="2480" w:type="dxa"/>
            <w:vAlign w:val="bottom"/>
          </w:tcPr>
          <w:p>
            <w:pPr>
              <w:ind w:left="220"/>
              <w:spacing w:after="0"/>
              <w:rPr>
                <w:sz w:val="20"/>
                <w:szCs w:val="20"/>
                <w:color w:val="auto"/>
              </w:rPr>
            </w:pPr>
            <w:r>
              <w:rPr>
                <w:rFonts w:ascii="Arial" w:cs="Arial" w:eastAsia="Arial" w:hAnsi="Arial"/>
                <w:sz w:val="16"/>
                <w:szCs w:val="16"/>
                <w:color w:val="auto"/>
              </w:rPr>
              <w:t>PDC Energy, Inc.</w:t>
            </w:r>
          </w:p>
        </w:tc>
      </w:tr>
      <w:tr>
        <w:trPr>
          <w:trHeight w:val="187"/>
        </w:trPr>
        <w:tc>
          <w:tcPr>
            <w:tcW w:w="2700" w:type="dxa"/>
            <w:vAlign w:val="bottom"/>
          </w:tcPr>
          <w:p>
            <w:pPr>
              <w:spacing w:after="0"/>
              <w:rPr>
                <w:sz w:val="20"/>
                <w:szCs w:val="20"/>
                <w:color w:val="auto"/>
              </w:rPr>
            </w:pPr>
            <w:r>
              <w:rPr>
                <w:rFonts w:ascii="Arial" w:cs="Arial" w:eastAsia="Arial" w:hAnsi="Arial"/>
                <w:sz w:val="16"/>
                <w:szCs w:val="16"/>
                <w:color w:val="auto"/>
              </w:rPr>
              <w:t>Cabot Oil &amp; Gas Corporation</w:t>
            </w:r>
          </w:p>
        </w:tc>
        <w:tc>
          <w:tcPr>
            <w:tcW w:w="2800" w:type="dxa"/>
            <w:vAlign w:val="bottom"/>
          </w:tcPr>
          <w:p>
            <w:pPr>
              <w:ind w:left="160"/>
              <w:spacing w:after="0"/>
              <w:rPr>
                <w:sz w:val="20"/>
                <w:szCs w:val="20"/>
                <w:color w:val="auto"/>
              </w:rPr>
            </w:pPr>
            <w:r>
              <w:rPr>
                <w:rFonts w:ascii="Arial" w:cs="Arial" w:eastAsia="Arial" w:hAnsi="Arial"/>
                <w:sz w:val="16"/>
                <w:szCs w:val="16"/>
                <w:color w:val="auto"/>
              </w:rPr>
              <w:t>EQT Corporation</w:t>
            </w:r>
          </w:p>
        </w:tc>
        <w:tc>
          <w:tcPr>
            <w:tcW w:w="2480" w:type="dxa"/>
            <w:vAlign w:val="bottom"/>
          </w:tcPr>
          <w:p>
            <w:pPr>
              <w:ind w:left="220"/>
              <w:spacing w:after="0"/>
              <w:rPr>
                <w:sz w:val="20"/>
                <w:szCs w:val="20"/>
                <w:color w:val="auto"/>
              </w:rPr>
            </w:pPr>
            <w:r>
              <w:rPr>
                <w:rFonts w:ascii="Arial" w:cs="Arial" w:eastAsia="Arial" w:hAnsi="Arial"/>
                <w:sz w:val="16"/>
                <w:szCs w:val="16"/>
                <w:color w:val="auto"/>
              </w:rPr>
              <w:t>Ranger Oil Corporation</w:t>
            </w:r>
          </w:p>
        </w:tc>
      </w:tr>
      <w:tr>
        <w:trPr>
          <w:trHeight w:val="187"/>
        </w:trPr>
        <w:tc>
          <w:tcPr>
            <w:tcW w:w="2700" w:type="dxa"/>
            <w:vAlign w:val="bottom"/>
          </w:tcPr>
          <w:p>
            <w:pPr>
              <w:spacing w:after="0"/>
              <w:rPr>
                <w:sz w:val="20"/>
                <w:szCs w:val="20"/>
                <w:color w:val="auto"/>
              </w:rPr>
            </w:pPr>
            <w:r>
              <w:rPr>
                <w:rFonts w:ascii="Arial" w:cs="Arial" w:eastAsia="Arial" w:hAnsi="Arial"/>
                <w:sz w:val="16"/>
                <w:szCs w:val="16"/>
                <w:color w:val="auto"/>
              </w:rPr>
              <w:t>California Resources Corporation</w:t>
            </w:r>
          </w:p>
        </w:tc>
        <w:tc>
          <w:tcPr>
            <w:tcW w:w="2800" w:type="dxa"/>
            <w:vAlign w:val="bottom"/>
          </w:tcPr>
          <w:p>
            <w:pPr>
              <w:ind w:left="160"/>
              <w:spacing w:after="0"/>
              <w:rPr>
                <w:sz w:val="20"/>
                <w:szCs w:val="20"/>
                <w:color w:val="auto"/>
              </w:rPr>
            </w:pPr>
            <w:r>
              <w:rPr>
                <w:rFonts w:ascii="Arial" w:cs="Arial" w:eastAsia="Arial" w:hAnsi="Arial"/>
                <w:sz w:val="16"/>
                <w:szCs w:val="16"/>
                <w:color w:val="auto"/>
              </w:rPr>
              <w:t>Gulfport Energy Corporation</w:t>
            </w:r>
          </w:p>
        </w:tc>
        <w:tc>
          <w:tcPr>
            <w:tcW w:w="2480" w:type="dxa"/>
            <w:vAlign w:val="bottom"/>
          </w:tcPr>
          <w:p>
            <w:pPr>
              <w:ind w:left="220"/>
              <w:spacing w:after="0"/>
              <w:rPr>
                <w:sz w:val="20"/>
                <w:szCs w:val="20"/>
                <w:color w:val="auto"/>
              </w:rPr>
            </w:pPr>
            <w:r>
              <w:rPr>
                <w:rFonts w:ascii="Arial" w:cs="Arial" w:eastAsia="Arial" w:hAnsi="Arial"/>
                <w:sz w:val="16"/>
                <w:szCs w:val="16"/>
                <w:color w:val="auto"/>
              </w:rPr>
              <w:t>Pioneer Natural Resources</w:t>
            </w:r>
          </w:p>
        </w:tc>
      </w:tr>
      <w:tr>
        <w:trPr>
          <w:trHeight w:val="187"/>
        </w:trPr>
        <w:tc>
          <w:tcPr>
            <w:tcW w:w="2700" w:type="dxa"/>
            <w:vAlign w:val="bottom"/>
          </w:tcPr>
          <w:p>
            <w:pPr>
              <w:spacing w:after="0"/>
              <w:rPr>
                <w:sz w:val="20"/>
                <w:szCs w:val="20"/>
                <w:color w:val="auto"/>
              </w:rPr>
            </w:pPr>
            <w:r>
              <w:rPr>
                <w:rFonts w:ascii="Arial" w:cs="Arial" w:eastAsia="Arial" w:hAnsi="Arial"/>
                <w:sz w:val="16"/>
                <w:szCs w:val="16"/>
                <w:color w:val="auto"/>
              </w:rPr>
              <w:t>Callon Petroleum Company</w:t>
            </w:r>
          </w:p>
        </w:tc>
        <w:tc>
          <w:tcPr>
            <w:tcW w:w="2800" w:type="dxa"/>
            <w:vAlign w:val="bottom"/>
          </w:tcPr>
          <w:p>
            <w:pPr>
              <w:ind w:left="160"/>
              <w:spacing w:after="0"/>
              <w:rPr>
                <w:sz w:val="20"/>
                <w:szCs w:val="20"/>
                <w:color w:val="auto"/>
              </w:rPr>
            </w:pPr>
            <w:r>
              <w:rPr>
                <w:rFonts w:ascii="Arial" w:cs="Arial" w:eastAsia="Arial" w:hAnsi="Arial"/>
                <w:sz w:val="16"/>
                <w:szCs w:val="16"/>
                <w:color w:val="auto"/>
              </w:rPr>
              <w:t>Hess Corporation</w:t>
            </w:r>
          </w:p>
        </w:tc>
        <w:tc>
          <w:tcPr>
            <w:tcW w:w="2480" w:type="dxa"/>
            <w:vAlign w:val="bottom"/>
          </w:tcPr>
          <w:p>
            <w:pPr>
              <w:ind w:left="220"/>
              <w:spacing w:after="0"/>
              <w:rPr>
                <w:sz w:val="20"/>
                <w:szCs w:val="20"/>
                <w:color w:val="auto"/>
              </w:rPr>
            </w:pPr>
            <w:r>
              <w:rPr>
                <w:rFonts w:ascii="Arial" w:cs="Arial" w:eastAsia="Arial" w:hAnsi="Arial"/>
                <w:sz w:val="16"/>
                <w:szCs w:val="16"/>
                <w:color w:val="auto"/>
              </w:rPr>
              <w:t>Company</w:t>
            </w:r>
          </w:p>
        </w:tc>
      </w:tr>
      <w:tr>
        <w:trPr>
          <w:trHeight w:val="187"/>
        </w:trPr>
        <w:tc>
          <w:tcPr>
            <w:tcW w:w="2700" w:type="dxa"/>
            <w:vAlign w:val="bottom"/>
          </w:tcPr>
          <w:p>
            <w:pPr>
              <w:spacing w:after="0"/>
              <w:rPr>
                <w:sz w:val="20"/>
                <w:szCs w:val="20"/>
                <w:color w:val="auto"/>
              </w:rPr>
            </w:pPr>
            <w:r>
              <w:rPr>
                <w:rFonts w:ascii="Arial" w:cs="Arial" w:eastAsia="Arial" w:hAnsi="Arial"/>
                <w:sz w:val="16"/>
                <w:szCs w:val="16"/>
                <w:color w:val="auto"/>
              </w:rPr>
              <w:t>Centennial Resource Development,</w:t>
            </w:r>
          </w:p>
        </w:tc>
        <w:tc>
          <w:tcPr>
            <w:tcW w:w="2800" w:type="dxa"/>
            <w:vAlign w:val="bottom"/>
          </w:tcPr>
          <w:p>
            <w:pPr>
              <w:ind w:left="160"/>
              <w:spacing w:after="0"/>
              <w:rPr>
                <w:sz w:val="20"/>
                <w:szCs w:val="20"/>
                <w:color w:val="auto"/>
              </w:rPr>
            </w:pPr>
            <w:r>
              <w:rPr>
                <w:rFonts w:ascii="Arial" w:cs="Arial" w:eastAsia="Arial" w:hAnsi="Arial"/>
                <w:sz w:val="16"/>
                <w:szCs w:val="16"/>
                <w:color w:val="auto"/>
              </w:rPr>
              <w:t>Laredo Petroleum, Inc.</w:t>
            </w:r>
          </w:p>
        </w:tc>
        <w:tc>
          <w:tcPr>
            <w:tcW w:w="2480" w:type="dxa"/>
            <w:vAlign w:val="bottom"/>
          </w:tcPr>
          <w:p>
            <w:pPr>
              <w:ind w:left="220"/>
              <w:spacing w:after="0"/>
              <w:rPr>
                <w:sz w:val="20"/>
                <w:szCs w:val="20"/>
                <w:color w:val="auto"/>
              </w:rPr>
            </w:pPr>
            <w:r>
              <w:rPr>
                <w:rFonts w:ascii="Arial" w:cs="Arial" w:eastAsia="Arial" w:hAnsi="Arial"/>
                <w:sz w:val="16"/>
                <w:szCs w:val="16"/>
                <w:color w:val="auto"/>
              </w:rPr>
              <w:t>Range Resources Corporation</w:t>
            </w:r>
          </w:p>
        </w:tc>
      </w:tr>
      <w:tr>
        <w:trPr>
          <w:trHeight w:val="187"/>
        </w:trPr>
        <w:tc>
          <w:tcPr>
            <w:tcW w:w="2700" w:type="dxa"/>
            <w:vAlign w:val="bottom"/>
          </w:tcPr>
          <w:p>
            <w:pPr>
              <w:spacing w:after="0"/>
              <w:rPr>
                <w:sz w:val="20"/>
                <w:szCs w:val="20"/>
                <w:color w:val="auto"/>
              </w:rPr>
            </w:pPr>
            <w:r>
              <w:rPr>
                <w:rFonts w:ascii="Arial" w:cs="Arial" w:eastAsia="Arial" w:hAnsi="Arial"/>
                <w:sz w:val="16"/>
                <w:szCs w:val="16"/>
                <w:color w:val="auto"/>
              </w:rPr>
              <w:t>Inc.</w:t>
            </w:r>
          </w:p>
        </w:tc>
        <w:tc>
          <w:tcPr>
            <w:tcW w:w="2800" w:type="dxa"/>
            <w:vAlign w:val="bottom"/>
          </w:tcPr>
          <w:p>
            <w:pPr>
              <w:ind w:left="160"/>
              <w:spacing w:after="0"/>
              <w:rPr>
                <w:sz w:val="20"/>
                <w:szCs w:val="20"/>
                <w:color w:val="auto"/>
              </w:rPr>
            </w:pPr>
            <w:r>
              <w:rPr>
                <w:rFonts w:ascii="Arial" w:cs="Arial" w:eastAsia="Arial" w:hAnsi="Arial"/>
                <w:sz w:val="16"/>
                <w:szCs w:val="16"/>
                <w:color w:val="auto"/>
              </w:rPr>
              <w:t>Magnolia Oil &amp; Gas Corporation</w:t>
            </w:r>
          </w:p>
        </w:tc>
        <w:tc>
          <w:tcPr>
            <w:tcW w:w="2480" w:type="dxa"/>
            <w:vAlign w:val="bottom"/>
          </w:tcPr>
          <w:p>
            <w:pPr>
              <w:ind w:left="220"/>
              <w:spacing w:after="0"/>
              <w:rPr>
                <w:sz w:val="20"/>
                <w:szCs w:val="20"/>
                <w:color w:val="auto"/>
              </w:rPr>
            </w:pPr>
            <w:r>
              <w:rPr>
                <w:rFonts w:ascii="Arial" w:cs="Arial" w:eastAsia="Arial" w:hAnsi="Arial"/>
                <w:sz w:val="16"/>
                <w:szCs w:val="16"/>
                <w:color w:val="auto"/>
              </w:rPr>
              <w:t>SM Energy Company</w:t>
            </w:r>
          </w:p>
        </w:tc>
      </w:tr>
      <w:tr>
        <w:trPr>
          <w:trHeight w:val="187"/>
        </w:trPr>
        <w:tc>
          <w:tcPr>
            <w:tcW w:w="2700" w:type="dxa"/>
            <w:vAlign w:val="bottom"/>
          </w:tcPr>
          <w:p>
            <w:pPr>
              <w:spacing w:after="0"/>
              <w:rPr>
                <w:sz w:val="20"/>
                <w:szCs w:val="20"/>
                <w:color w:val="auto"/>
              </w:rPr>
            </w:pPr>
            <w:r>
              <w:rPr>
                <w:rFonts w:ascii="Arial" w:cs="Arial" w:eastAsia="Arial" w:hAnsi="Arial"/>
                <w:sz w:val="16"/>
                <w:szCs w:val="16"/>
                <w:color w:val="auto"/>
              </w:rPr>
              <w:t>Chesapeake Energy Corporation</w:t>
            </w:r>
          </w:p>
        </w:tc>
        <w:tc>
          <w:tcPr>
            <w:tcW w:w="2800" w:type="dxa"/>
            <w:vAlign w:val="bottom"/>
          </w:tcPr>
          <w:p>
            <w:pPr>
              <w:ind w:left="160"/>
              <w:spacing w:after="0"/>
              <w:rPr>
                <w:sz w:val="20"/>
                <w:szCs w:val="20"/>
                <w:color w:val="auto"/>
              </w:rPr>
            </w:pPr>
            <w:r>
              <w:rPr>
                <w:rFonts w:ascii="Arial" w:cs="Arial" w:eastAsia="Arial" w:hAnsi="Arial"/>
                <w:sz w:val="16"/>
                <w:szCs w:val="16"/>
                <w:color w:val="auto"/>
              </w:rPr>
              <w:t>Marathon Oil Corporation</w:t>
            </w:r>
          </w:p>
        </w:tc>
        <w:tc>
          <w:tcPr>
            <w:tcW w:w="2480" w:type="dxa"/>
            <w:vAlign w:val="bottom"/>
          </w:tcPr>
          <w:p>
            <w:pPr>
              <w:ind w:left="220"/>
              <w:spacing w:after="0"/>
              <w:rPr>
                <w:sz w:val="20"/>
                <w:szCs w:val="20"/>
                <w:color w:val="auto"/>
              </w:rPr>
            </w:pPr>
            <w:r>
              <w:rPr>
                <w:rFonts w:ascii="Arial" w:cs="Arial" w:eastAsia="Arial" w:hAnsi="Arial"/>
                <w:sz w:val="16"/>
                <w:szCs w:val="16"/>
                <w:color w:val="auto"/>
                <w:w w:val="99"/>
              </w:rPr>
              <w:t>Southwestern Energy Company</w:t>
            </w:r>
          </w:p>
        </w:tc>
      </w:tr>
      <w:tr>
        <w:trPr>
          <w:trHeight w:val="187"/>
        </w:trPr>
        <w:tc>
          <w:tcPr>
            <w:tcW w:w="2700" w:type="dxa"/>
            <w:vAlign w:val="bottom"/>
          </w:tcPr>
          <w:p>
            <w:pPr>
              <w:spacing w:after="0"/>
              <w:rPr>
                <w:sz w:val="20"/>
                <w:szCs w:val="20"/>
                <w:color w:val="auto"/>
              </w:rPr>
            </w:pPr>
            <w:r>
              <w:rPr>
                <w:rFonts w:ascii="Arial" w:cs="Arial" w:eastAsia="Arial" w:hAnsi="Arial"/>
                <w:sz w:val="16"/>
                <w:szCs w:val="16"/>
                <w:color w:val="auto"/>
              </w:rPr>
              <w:t>Cimarex Energy Company</w:t>
            </w:r>
          </w:p>
        </w:tc>
        <w:tc>
          <w:tcPr>
            <w:tcW w:w="2800" w:type="dxa"/>
            <w:vAlign w:val="bottom"/>
          </w:tcPr>
          <w:p>
            <w:pPr>
              <w:ind w:left="160"/>
              <w:spacing w:after="0"/>
              <w:rPr>
                <w:sz w:val="20"/>
                <w:szCs w:val="20"/>
                <w:color w:val="auto"/>
              </w:rPr>
            </w:pPr>
            <w:r>
              <w:rPr>
                <w:rFonts w:ascii="Arial" w:cs="Arial" w:eastAsia="Arial" w:hAnsi="Arial"/>
                <w:sz w:val="16"/>
                <w:szCs w:val="16"/>
                <w:color w:val="auto"/>
              </w:rPr>
              <w:t>Matador Resources Company</w:t>
            </w:r>
          </w:p>
        </w:tc>
        <w:tc>
          <w:tcPr>
            <w:tcW w:w="2480" w:type="dxa"/>
            <w:vAlign w:val="bottom"/>
          </w:tcPr>
          <w:p>
            <w:pPr>
              <w:ind w:left="220"/>
              <w:spacing w:after="0"/>
              <w:rPr>
                <w:sz w:val="20"/>
                <w:szCs w:val="20"/>
                <w:color w:val="auto"/>
              </w:rPr>
            </w:pPr>
            <w:r>
              <w:rPr>
                <w:rFonts w:ascii="Arial" w:cs="Arial" w:eastAsia="Arial" w:hAnsi="Arial"/>
                <w:sz w:val="16"/>
                <w:szCs w:val="16"/>
                <w:color w:val="auto"/>
              </w:rPr>
              <w:t>Talos Energy Inc.</w:t>
            </w:r>
          </w:p>
        </w:tc>
      </w:tr>
      <w:tr>
        <w:trPr>
          <w:trHeight w:val="187"/>
        </w:trPr>
        <w:tc>
          <w:tcPr>
            <w:tcW w:w="2700" w:type="dxa"/>
            <w:vAlign w:val="bottom"/>
          </w:tcPr>
          <w:p>
            <w:pPr>
              <w:spacing w:after="0"/>
              <w:rPr>
                <w:sz w:val="20"/>
                <w:szCs w:val="20"/>
                <w:color w:val="auto"/>
              </w:rPr>
            </w:pPr>
            <w:r>
              <w:rPr>
                <w:rFonts w:ascii="Arial" w:cs="Arial" w:eastAsia="Arial" w:hAnsi="Arial"/>
                <w:sz w:val="16"/>
                <w:szCs w:val="16"/>
                <w:color w:val="auto"/>
              </w:rPr>
              <w:t>Comstock Resources, Inc.</w:t>
            </w:r>
          </w:p>
        </w:tc>
        <w:tc>
          <w:tcPr>
            <w:tcW w:w="2800" w:type="dxa"/>
            <w:vAlign w:val="bottom"/>
          </w:tcPr>
          <w:p>
            <w:pPr>
              <w:ind w:left="160"/>
              <w:spacing w:after="0"/>
              <w:rPr>
                <w:sz w:val="20"/>
                <w:szCs w:val="20"/>
                <w:color w:val="auto"/>
              </w:rPr>
            </w:pPr>
            <w:r>
              <w:rPr>
                <w:rFonts w:ascii="Arial" w:cs="Arial" w:eastAsia="Arial" w:hAnsi="Arial"/>
                <w:sz w:val="16"/>
                <w:szCs w:val="16"/>
                <w:color w:val="auto"/>
              </w:rPr>
              <w:t>Murphy Oil Corporation</w:t>
            </w:r>
          </w:p>
        </w:tc>
        <w:tc>
          <w:tcPr>
            <w:tcW w:w="2480" w:type="dxa"/>
            <w:vAlign w:val="bottom"/>
          </w:tcPr>
          <w:p>
            <w:pPr>
              <w:ind w:left="220"/>
              <w:spacing w:after="0"/>
              <w:rPr>
                <w:sz w:val="20"/>
                <w:szCs w:val="20"/>
                <w:color w:val="auto"/>
              </w:rPr>
            </w:pPr>
            <w:r>
              <w:rPr>
                <w:rFonts w:ascii="Arial" w:cs="Arial" w:eastAsia="Arial" w:hAnsi="Arial"/>
                <w:sz w:val="16"/>
                <w:szCs w:val="16"/>
                <w:color w:val="auto"/>
              </w:rPr>
              <w:t>Whiting Petroleum Corporation</w:t>
            </w:r>
          </w:p>
        </w:tc>
      </w:tr>
      <w:tr>
        <w:trPr>
          <w:trHeight w:val="187"/>
        </w:trPr>
        <w:tc>
          <w:tcPr>
            <w:tcW w:w="2700" w:type="dxa"/>
            <w:vAlign w:val="bottom"/>
          </w:tcPr>
          <w:p>
            <w:pPr>
              <w:spacing w:after="0"/>
              <w:rPr>
                <w:sz w:val="20"/>
                <w:szCs w:val="20"/>
                <w:color w:val="auto"/>
              </w:rPr>
            </w:pPr>
            <w:r>
              <w:rPr>
                <w:rFonts w:ascii="Arial" w:cs="Arial" w:eastAsia="Arial" w:hAnsi="Arial"/>
                <w:sz w:val="16"/>
                <w:szCs w:val="16"/>
                <w:color w:val="auto"/>
              </w:rPr>
              <w:t>Continental Resources, Inc.</w:t>
            </w:r>
          </w:p>
        </w:tc>
        <w:tc>
          <w:tcPr>
            <w:tcW w:w="2800" w:type="dxa"/>
            <w:vAlign w:val="bottom"/>
          </w:tcPr>
          <w:p>
            <w:pPr>
              <w:ind w:left="160"/>
              <w:spacing w:after="0"/>
              <w:rPr>
                <w:sz w:val="20"/>
                <w:szCs w:val="20"/>
                <w:color w:val="auto"/>
              </w:rPr>
            </w:pPr>
            <w:r>
              <w:rPr>
                <w:rFonts w:ascii="Arial" w:cs="Arial" w:eastAsia="Arial" w:hAnsi="Arial"/>
                <w:sz w:val="16"/>
                <w:szCs w:val="16"/>
                <w:color w:val="auto"/>
              </w:rPr>
              <w:t>National Fuel Gas Company</w:t>
            </w:r>
          </w:p>
        </w:tc>
        <w:tc>
          <w:tcPr>
            <w:tcW w:w="2480" w:type="dxa"/>
            <w:vAlign w:val="bottom"/>
          </w:tcPr>
          <w:p>
            <w:pPr>
              <w:spacing w:after="0"/>
              <w:rPr>
                <w:sz w:val="16"/>
                <w:szCs w:val="16"/>
                <w:color w:val="auto"/>
              </w:rPr>
            </w:pPr>
          </w:p>
        </w:tc>
      </w:tr>
      <w:tr>
        <w:trPr>
          <w:trHeight w:val="187"/>
        </w:trPr>
        <w:tc>
          <w:tcPr>
            <w:tcW w:w="2700" w:type="dxa"/>
            <w:vAlign w:val="bottom"/>
          </w:tcPr>
          <w:p>
            <w:pPr>
              <w:spacing w:after="0"/>
              <w:rPr>
                <w:sz w:val="20"/>
                <w:szCs w:val="20"/>
                <w:color w:val="auto"/>
              </w:rPr>
            </w:pPr>
            <w:r>
              <w:rPr>
                <w:rFonts w:ascii="Arial" w:cs="Arial" w:eastAsia="Arial" w:hAnsi="Arial"/>
                <w:sz w:val="16"/>
                <w:szCs w:val="16"/>
                <w:color w:val="auto"/>
              </w:rPr>
              <w:t>Devon Energy Corporation</w:t>
            </w:r>
          </w:p>
        </w:tc>
        <w:tc>
          <w:tcPr>
            <w:tcW w:w="2800" w:type="dxa"/>
            <w:vAlign w:val="bottom"/>
          </w:tcPr>
          <w:p>
            <w:pPr>
              <w:ind w:left="160"/>
              <w:spacing w:after="0"/>
              <w:rPr>
                <w:sz w:val="20"/>
                <w:szCs w:val="20"/>
                <w:color w:val="auto"/>
              </w:rPr>
            </w:pPr>
            <w:r>
              <w:rPr>
                <w:rFonts w:ascii="Arial" w:cs="Arial" w:eastAsia="Arial" w:hAnsi="Arial"/>
                <w:sz w:val="16"/>
                <w:szCs w:val="16"/>
                <w:color w:val="auto"/>
              </w:rPr>
              <w:t>Occidental Petroleum Corporation</w:t>
            </w:r>
          </w:p>
        </w:tc>
        <w:tc>
          <w:tcPr>
            <w:tcW w:w="2480" w:type="dxa"/>
            <w:vAlign w:val="bottom"/>
          </w:tcPr>
          <w:p>
            <w:pPr>
              <w:spacing w:after="0"/>
              <w:rPr>
                <w:sz w:val="16"/>
                <w:szCs w:val="16"/>
                <w:color w:val="auto"/>
              </w:rPr>
            </w:pPr>
          </w:p>
        </w:tc>
      </w:tr>
      <w:tr>
        <w:trPr>
          <w:trHeight w:val="213"/>
        </w:trPr>
        <w:tc>
          <w:tcPr>
            <w:tcW w:w="2700" w:type="dxa"/>
            <w:vAlign w:val="bottom"/>
          </w:tcPr>
          <w:p>
            <w:pPr>
              <w:spacing w:after="0"/>
              <w:rPr>
                <w:sz w:val="20"/>
                <w:szCs w:val="20"/>
                <w:color w:val="auto"/>
              </w:rPr>
            </w:pPr>
            <w:r>
              <w:rPr>
                <w:rFonts w:ascii="Arial" w:cs="Arial" w:eastAsia="Arial" w:hAnsi="Arial"/>
                <w:sz w:val="16"/>
                <w:szCs w:val="16"/>
                <w:color w:val="auto"/>
              </w:rPr>
              <w:t>Diamondback Energy, Inc.</w:t>
            </w:r>
          </w:p>
        </w:tc>
        <w:tc>
          <w:tcPr>
            <w:tcW w:w="2800" w:type="dxa"/>
            <w:vAlign w:val="bottom"/>
          </w:tcPr>
          <w:p>
            <w:pPr>
              <w:spacing w:after="0"/>
              <w:rPr>
                <w:sz w:val="18"/>
                <w:szCs w:val="18"/>
                <w:color w:val="auto"/>
              </w:rPr>
            </w:pPr>
          </w:p>
        </w:tc>
        <w:tc>
          <w:tcPr>
            <w:tcW w:w="2480" w:type="dxa"/>
            <w:vAlign w:val="bottom"/>
          </w:tcPr>
          <w:p>
            <w:pPr>
              <w:spacing w:after="0"/>
              <w:rPr>
                <w:sz w:val="18"/>
                <w:szCs w:val="18"/>
                <w:color w:val="auto"/>
              </w:rPr>
            </w:pPr>
          </w:p>
        </w:tc>
      </w:tr>
    </w:tbl>
    <w:p>
      <w:pPr>
        <w:spacing w:after="0" w:line="8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CEO Compensation Reference Benchmarking (January 2021)</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Cimarex Energy Company</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Murphy Oil Corporation</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Southwestern Energy Company</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Range Resources Corporation</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Matador Resources Company</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PDC Energy, Inc.</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Oasis Petroleum</w:t>
      </w:r>
    </w:p>
    <w:p>
      <w:pPr>
        <w:spacing w:after="0" w:line="87" w:lineRule="exact"/>
        <w:rPr>
          <w:sz w:val="20"/>
          <w:szCs w:val="20"/>
          <w:color w:val="auto"/>
        </w:rPr>
      </w:pPr>
    </w:p>
    <w:p>
      <w:pPr>
        <w:ind w:left="6320"/>
        <w:spacing w:after="0"/>
        <w:rPr>
          <w:sz w:val="20"/>
          <w:szCs w:val="20"/>
          <w:color w:val="auto"/>
        </w:rPr>
      </w:pPr>
      <w:r>
        <w:rPr>
          <w:rFonts w:ascii="Arial" w:cs="Arial" w:eastAsia="Arial" w:hAnsi="Arial"/>
          <w:sz w:val="23"/>
          <w:szCs w:val="23"/>
          <w:color w:val="auto"/>
        </w:rPr>
        <w:t> </w:t>
      </w:r>
    </w:p>
    <w:p>
      <w:pPr>
        <w:jc w:val="right"/>
        <w:ind w:right="339"/>
        <w:spacing w:after="0"/>
        <w:rPr>
          <w:sz w:val="20"/>
          <w:szCs w:val="20"/>
          <w:color w:val="auto"/>
        </w:rPr>
      </w:pPr>
      <w:r>
        <w:rPr>
          <w:rFonts w:ascii="Arial" w:cs="Arial" w:eastAsia="Arial" w:hAnsi="Arial"/>
          <w:sz w:val="16"/>
          <w:szCs w:val="16"/>
          <w:color w:val="auto"/>
        </w:rPr>
        <w:t>  2022 Proxy Statement</w:t>
      </w:r>
      <w:r>
        <w:rPr>
          <w:rFonts w:ascii="Arial" w:cs="Arial" w:eastAsia="Arial" w:hAnsi="Arial"/>
          <w:sz w:val="24"/>
          <w:szCs w:val="24"/>
          <w:b w:val="1"/>
          <w:bCs w:val="1"/>
          <w:color w:val="2A3D6C"/>
        </w:rPr>
        <w:t xml:space="preserve">  | </w:t>
      </w:r>
      <w:r>
        <w:rPr>
          <w:rFonts w:ascii="Arial" w:cs="Arial" w:eastAsia="Arial" w:hAnsi="Arial"/>
          <w:sz w:val="16"/>
          <w:szCs w:val="16"/>
          <w:color w:val="auto"/>
        </w:rPr>
        <w:t xml:space="preserve"> </w:t>
      </w:r>
      <w:r>
        <w:rPr>
          <w:rFonts w:ascii="Arial" w:cs="Arial" w:eastAsia="Arial" w:hAnsi="Arial"/>
          <w:sz w:val="16"/>
          <w:szCs w:val="16"/>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121285</wp:posOffset>
            </wp:positionV>
            <wp:extent cx="693801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38010"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-158750</wp:posOffset>
            </wp:positionV>
            <wp:extent cx="594995" cy="1701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4995" cy="17018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92075</wp:posOffset>
            </wp:positionV>
            <wp:extent cx="7073900" cy="90887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073900" cy="908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130175</wp:posOffset>
            </wp:positionV>
            <wp:extent cx="693801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1">
            <w:col w:w="9999"/>
          </w:cols>
          <w:pgMar w:left="460" w:top="262"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92075</wp:posOffset>
            </wp:positionV>
            <wp:extent cx="6240780" cy="80772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40780" cy="807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130175</wp:posOffset>
            </wp:positionV>
            <wp:extent cx="693801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38010" cy="17145"/>
                    </a:xfrm>
                    <a:prstGeom prst="rect">
                      <a:avLst/>
                    </a:prstGeom>
                    <a:noFill/>
                  </pic:spPr>
                </pic:pic>
              </a:graphicData>
            </a:graphic>
          </wp:anchor>
        </w:drawing>
      </w:r>
    </w:p>
    <w:p>
      <w:pPr>
        <w:sectPr>
          <w:pgSz w:w="11900" w:h="16838" w:orient="portrait"/>
          <w:cols w:equalWidth="0" w:num="1">
            <w:col w:w="9999"/>
          </w:cols>
          <w:pgMar w:left="460" w:top="262"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92075</wp:posOffset>
            </wp:positionV>
            <wp:extent cx="6240780" cy="80772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40780" cy="807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9999"/>
      </w:cols>
      <w:pgMar w:left="460" w:top="2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1)"/>
      <w:numFmt w:val="decimal"/>
      <w:start w:val="3"/>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1."/>
      <w:numFmt w:val="decimal"/>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lvl w:ilvl="1">
      <w:lvlJc w:val="left"/>
      <w:lvlText w:val=" "/>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1."/>
      <w:numFmt w:val="decimal"/>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
      <w:numFmt w:val="bullet"/>
      <w:start w:val="1"/>
    </w:lvl>
  </w:abstractNum>
  <w:abstractNum w:abstractNumId="13">
    <w:nsid w:val="4F4EF005"/>
    <w:multiLevelType w:val="hybridMultilevel"/>
    <w:lvl w:ilvl="0">
      <w:lvlJc w:val="left"/>
      <w:lvlText w:val=" "/>
      <w:numFmt w:val="bullet"/>
      <w:start w:val="1"/>
    </w:lvl>
  </w:abstractNum>
  <w:abstractNum w:abstractNumId="14">
    <w:nsid w:val="23F9C13C"/>
    <w:multiLevelType w:val="hybridMultilevel"/>
    <w:lvl w:ilvl="0">
      <w:lvlJc w:val="left"/>
      <w:lvlText w:val=" "/>
      <w:numFmt w:val="bullet"/>
      <w:start w:val="1"/>
    </w:lvl>
  </w:abstractNum>
  <w:abstractNum w:abstractNumId="15">
    <w:nsid w:val="649BB77C"/>
    <w:multiLevelType w:val="hybridMultilevel"/>
    <w:lvl w:ilvl="0">
      <w:lvlJc w:val="left"/>
      <w:lvlText w:val=" "/>
      <w:numFmt w:val="bullet"/>
      <w:start w:val="1"/>
    </w:lvl>
  </w:abstractNum>
  <w:abstractNum w:abstractNumId="16">
    <w:nsid w:val="275AC794"/>
    <w:multiLevelType w:val="hybridMultilevel"/>
    <w:lvl w:ilvl="0">
      <w:lvlJc w:val="left"/>
      <w:lvlText w:val=" "/>
      <w:numFmt w:val="bullet"/>
      <w:start w:val="1"/>
    </w:lvl>
  </w:abstractNum>
  <w:abstractNum w:abstractNumId="17">
    <w:nsid w:val="39386575"/>
    <w:multiLevelType w:val="hybridMultilevel"/>
    <w:lvl w:ilvl="0">
      <w:lvlJc w:val="left"/>
      <w:lvlText w:val=" "/>
      <w:numFmt w:val="bullet"/>
      <w:start w:val="1"/>
    </w:lvl>
  </w:abstractNum>
  <w:abstractNum w:abstractNumId="18">
    <w:nsid w:val="1CF10FD8"/>
    <w:multiLevelType w:val="hybridMultilevel"/>
    <w:lvl w:ilvl="0">
      <w:lvlJc w:val="left"/>
      <w:lvlText w:val=" "/>
      <w:numFmt w:val="bullet"/>
      <w:start w:val="1"/>
    </w:lvl>
  </w:abstractNum>
  <w:abstractNum w:abstractNumId="19">
    <w:nsid w:val="180115BE"/>
    <w:multiLevelType w:val="hybridMultilevel"/>
    <w:lvl w:ilvl="0">
      <w:lvlJc w:val="left"/>
      <w:lvlText w:val=" "/>
      <w:numFmt w:val="bullet"/>
      <w:start w:val="1"/>
    </w:lvl>
  </w:abstractNum>
  <w:abstractNum w:abstractNumId="20">
    <w:nsid w:val="235BA861"/>
    <w:multiLevelType w:val="hybridMultilevel"/>
    <w:lvl w:ilvl="0">
      <w:lvlJc w:val="left"/>
      <w:lvlText w:val=" "/>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
      <w:numFmt w:val="bullet"/>
      <w:start w:val="1"/>
    </w:lvl>
  </w:abstractNum>
  <w:abstractNum w:abstractNumId="24">
    <w:nsid w:val="741226BB"/>
    <w:multiLevelType w:val="hybridMultilevel"/>
    <w:lvl w:ilvl="0">
      <w:lvlJc w:val="left"/>
      <w:lvlText w:val=" "/>
      <w:numFmt w:val="bullet"/>
      <w:start w:val="1"/>
    </w:lvl>
  </w:abstractNum>
  <w:abstractNum w:abstractNumId="25">
    <w:nsid w:val="D34B6A8"/>
    <w:multiLevelType w:val="hybridMultilevel"/>
    <w:lvl w:ilvl="0">
      <w:lvlJc w:val="left"/>
      <w:lvlText w:val=" "/>
      <w:numFmt w:val="bullet"/>
      <w:start w:val="1"/>
    </w:lvl>
  </w:abstractNum>
  <w:abstractNum w:abstractNumId="26">
    <w:nsid w:val="10233C99"/>
    <w:multiLevelType w:val="hybridMultilevel"/>
    <w:lvl w:ilvl="0">
      <w:lvlJc w:val="left"/>
      <w:lvlText w:val=" "/>
      <w:numFmt w:val="bullet"/>
      <w:start w:val="1"/>
    </w:lvl>
  </w:abstractNum>
  <w:abstractNum w:abstractNumId="27">
    <w:nsid w:val="3F6AB60F"/>
    <w:multiLevelType w:val="hybridMultilevel"/>
    <w:lvl w:ilvl="0">
      <w:lvlJc w:val="left"/>
      <w:lvlText w:val="​"/>
      <w:numFmt w:val="bullet"/>
      <w:start w:val="1"/>
    </w:lvl>
    <w:lvl w:ilvl="1">
      <w:lvlJc w:val="left"/>
      <w:lvlText w:val=" "/>
      <w:numFmt w:val="bullet"/>
      <w:start w:val="1"/>
    </w:lvl>
  </w:abstractNum>
  <w:abstractNum w:abstractNumId="28">
    <w:nsid w:val="61574095"/>
    <w:multiLevelType w:val="hybridMultilevel"/>
    <w:lvl w:ilvl="0">
      <w:lvlJc w:val="left"/>
      <w:lvlText w:val=" "/>
      <w:numFmt w:val="bullet"/>
      <w:start w:val="1"/>
    </w:lvl>
  </w:abstractNum>
  <w:abstractNum w:abstractNumId="29">
    <w:nsid w:val="7E0C57B1"/>
    <w:multiLevelType w:val="hybridMultilevel"/>
    <w:lvl w:ilvl="0">
      <w:lvlJc w:val="left"/>
      <w:lvlText w:val=" "/>
      <w:numFmt w:val="bullet"/>
      <w:start w:val="1"/>
    </w:lvl>
  </w:abstractNum>
  <w:abstractNum w:abstractNumId="30">
    <w:nsid w:val="77AE35EB"/>
    <w:multiLevelType w:val="hybridMultilevel"/>
    <w:lvl w:ilvl="0">
      <w:lvlJc w:val="left"/>
      <w:lvlText w:val=" "/>
      <w:numFmt w:val="bullet"/>
      <w:start w:val="1"/>
    </w:lvl>
  </w:abstractNum>
  <w:abstractNum w:abstractNumId="31">
    <w:nsid w:val="579BE4F1"/>
    <w:multiLevelType w:val="hybridMultilevel"/>
    <w:lvl w:ilvl="0">
      <w:lvlJc w:val="left"/>
      <w:lvlText w:val=" "/>
      <w:numFmt w:val="bullet"/>
      <w:start w:val="1"/>
    </w:lvl>
  </w:abstractNum>
  <w:abstractNum w:abstractNumId="32">
    <w:nsid w:val="310C50B3"/>
    <w:multiLevelType w:val="hybridMultilevel"/>
    <w:lvl w:ilvl="0">
      <w:lvlJc w:val="left"/>
      <w:lvlText w:val=" "/>
      <w:numFmt w:val="bullet"/>
      <w:start w:val="1"/>
    </w:lvl>
  </w:abstractNum>
  <w:abstractNum w:abstractNumId="33">
    <w:nsid w:val="5FF87E05"/>
    <w:multiLevelType w:val="hybridMultilevel"/>
    <w:lvl w:ilvl="0">
      <w:lvlJc w:val="left"/>
      <w:lvlText w:val=" "/>
      <w:numFmt w:val="bullet"/>
      <w:start w:val="1"/>
    </w:lvl>
  </w:abstractNum>
  <w:abstractNum w:abstractNumId="34">
    <w:nsid w:val="2F305DEF"/>
    <w:multiLevelType w:val="hybridMultilevel"/>
    <w:lvl w:ilvl="0">
      <w:lvlJc w:val="left"/>
      <w:lvlText w:val=" "/>
      <w:numFmt w:val="bullet"/>
      <w:start w:val="1"/>
    </w:lvl>
  </w:abstractNum>
  <w:abstractNum w:abstractNumId="35">
    <w:nsid w:val="25A70BF7"/>
    <w:multiLevelType w:val="hybridMultilevel"/>
    <w:lvl w:ilvl="0">
      <w:lvlJc w:val="left"/>
      <w:lvlText w:val="​"/>
      <w:numFmt w:val="bullet"/>
      <w:start w:val="1"/>
    </w:lvl>
    <w:lvl w:ilvl="1">
      <w:lvlJc w:val="left"/>
      <w:lvlText w:val=" "/>
      <w:numFmt w:val="bullet"/>
      <w:start w:val="1"/>
    </w:lvl>
  </w:abstractNum>
  <w:abstractNum w:abstractNumId="36">
    <w:nsid w:val="1DBABF00"/>
    <w:multiLevelType w:val="hybridMultilevel"/>
    <w:lvl w:ilvl="0">
      <w:lvlJc w:val="left"/>
      <w:lvlText w:val=" "/>
      <w:numFmt w:val="bullet"/>
      <w:start w:val="1"/>
    </w:lvl>
  </w:abstractNum>
  <w:abstractNum w:abstractNumId="37">
    <w:nsid w:val="4AD084E9"/>
    <w:multiLevelType w:val="hybridMultilevel"/>
    <w:lvl w:ilvl="0">
      <w:lvlJc w:val="left"/>
      <w:lvlText w:val=" "/>
      <w:numFmt w:val="bullet"/>
      <w:start w:val="1"/>
    </w:lvl>
  </w:abstractNum>
  <w:abstractNum w:abstractNumId="38">
    <w:nsid w:val="1F48EAA1"/>
    <w:multiLevelType w:val="hybridMultilevel"/>
    <w:lvl w:ilvl="0">
      <w:lvlJc w:val="left"/>
      <w:lvlText w:val=" "/>
      <w:numFmt w:val="bullet"/>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1)"/>
      <w:numFmt w:val="decimal"/>
      <w:start w:val="2"/>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1)"/>
      <w:numFmt w:val="decimal"/>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lvl w:ilvl="1">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1)"/>
      <w:numFmt w:val="decimal"/>
      <w:start w:val="1"/>
    </w:lvl>
    <w:lvl w:ilvl="1">
      <w:lvlJc w:val="left"/>
      <w:lvlText w:val="(%2)"/>
      <w:numFmt w:val="lowerLetter"/>
      <w:start w:val="1"/>
    </w:lvl>
  </w:abstractNum>
  <w:abstractNum w:abstractNumId="65">
    <w:nsid w:val="4962813B"/>
    <w:multiLevelType w:val="hybridMultilevel"/>
    <w:lvl w:ilvl="0">
      <w:lvlJc w:val="left"/>
      <w:lvlText w:val="%1"/>
      <w:numFmt w:val="decimal"/>
      <w:start w:val="1"/>
    </w:lvl>
    <w:lvl w:ilvl="1">
      <w:lvlJc w:val="left"/>
      <w:lvlText w:val="(%2)"/>
      <w:numFmt w:val="lowerLetter"/>
      <w:start w:val="5"/>
    </w:lvl>
  </w:abstractNum>
  <w:abstractNum w:abstractNumId="66">
    <w:nsid w:val="60B6DF70"/>
    <w:multiLevelType w:val="hybridMultilevel"/>
    <w:lvl w:ilvl="0">
      <w:lvlJc w:val="left"/>
      <w:lvlText w:val="(%1)"/>
      <w:numFmt w:val="decimal"/>
      <w:start w:val="5"/>
    </w:lvl>
    <w:lvl w:ilvl="1">
      <w:lvlJc w:val="left"/>
      <w:lvlText w:val="%2"/>
      <w:numFmt w:val="lowerLetter"/>
      <w:start w:val="1"/>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1)"/>
      <w:numFmt w:val="decimal"/>
      <w:start w:val="1"/>
    </w:lvl>
    <w:lvl w:ilvl="1">
      <w:lvlJc w:val="left"/>
      <w:lvlText w:val="(%2)"/>
      <w:numFmt w:val="lowerLetter"/>
      <w:start w:val="2"/>
    </w:lvl>
  </w:abstractNum>
  <w:abstractNum w:abstractNumId="69">
    <w:nsid w:val="7FFFCA11"/>
    <w:multiLevelType w:val="hybridMultilevel"/>
    <w:lvl w:ilvl="0">
      <w:lvlJc w:val="left"/>
      <w:lvlText w:val="(%1)"/>
      <w:numFmt w:val="decimal"/>
      <w:start w:val="6"/>
    </w:lvl>
  </w:abstractNum>
  <w:abstractNum w:abstractNumId="70">
    <w:nsid w:val="1A27709E"/>
    <w:multiLevelType w:val="hybridMultilevel"/>
    <w:lvl w:ilvl="0">
      <w:lvlJc w:val="left"/>
      <w:lvlText w:val="(%1)"/>
      <w:numFmt w:val="decimal"/>
      <w:start w:val="1"/>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2"/>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1)"/>
      <w:numFmt w:val="lowerRoman"/>
      <w:start w:val="1"/>
    </w:lvl>
  </w:abstractNum>
  <w:abstractNum w:abstractNumId="84">
    <w:nsid w:val="68EBC550"/>
    <w:multiLevelType w:val="hybridMultilevel"/>
    <w:lvl w:ilvl="0">
      <w:lvlJc w:val="left"/>
      <w:lvlText w:val="(%1)"/>
      <w:numFmt w:val="lowerRoman"/>
      <w:start w:val="5"/>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1)"/>
      <w:numFmt w:val="lowerRoman"/>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1)"/>
      <w:numFmt w:val="lowerRoman"/>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ldblquote"/>
      <w:numFmt w:val="bullet"/>
      <w:start w:val="1"/>
    </w:lvl>
  </w:abstractNum>
  <w:abstractNum w:abstractNumId="92">
    <w:nsid w:val="60EF0119"/>
    <w:multiLevelType w:val="hybridMultilevel"/>
    <w:lvl w:ilvl="0">
      <w:lvlJc w:val="left"/>
      <w:lvlText w:val="\ldblquote"/>
      <w:numFmt w:val="bullet"/>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2022-04-28T16:26:45Z</dcterms:created>
  <dcterms:modified xsi:type="dcterms:W3CDTF">2022-04-28T16:26:45Z</dcterms:modified>
</cp:coreProperties>
</file>